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787" w:rsidRPr="009B2FAA" w:rsidRDefault="00375787" w:rsidP="00375787">
      <w:pPr>
        <w:spacing w:after="0" w:line="240" w:lineRule="auto"/>
        <w:jc w:val="center"/>
        <w:rPr>
          <w:rFonts w:ascii="Times New Roman" w:hAnsi="Times New Roman" w:cs="Times New Roman"/>
          <w:b/>
          <w:sz w:val="24"/>
          <w:szCs w:val="24"/>
        </w:rPr>
      </w:pPr>
      <w:r w:rsidRPr="009B2FAA">
        <w:rPr>
          <w:rFonts w:ascii="Times New Roman" w:hAnsi="Times New Roman" w:cs="Times New Roman"/>
          <w:b/>
          <w:sz w:val="24"/>
          <w:szCs w:val="24"/>
        </w:rPr>
        <w:t>Dôvodová správa</w:t>
      </w:r>
    </w:p>
    <w:p w:rsidR="00375787" w:rsidRPr="002B6038" w:rsidRDefault="00375787" w:rsidP="00375787">
      <w:pPr>
        <w:spacing w:after="0" w:line="240" w:lineRule="auto"/>
        <w:jc w:val="center"/>
        <w:rPr>
          <w:rFonts w:ascii="Times New Roman" w:hAnsi="Times New Roman" w:cs="Times New Roman"/>
          <w:sz w:val="24"/>
          <w:szCs w:val="24"/>
        </w:rPr>
      </w:pPr>
    </w:p>
    <w:p w:rsidR="00375787" w:rsidRPr="002B6038" w:rsidRDefault="00375787" w:rsidP="00375787">
      <w:pPr>
        <w:numPr>
          <w:ilvl w:val="0"/>
          <w:numId w:val="1"/>
        </w:numPr>
        <w:spacing w:after="0" w:line="240" w:lineRule="auto"/>
        <w:contextualSpacing/>
        <w:jc w:val="both"/>
        <w:rPr>
          <w:rFonts w:ascii="Times New Roman" w:eastAsia="Calibri" w:hAnsi="Times New Roman" w:cs="Times New Roman"/>
          <w:b/>
          <w:bCs/>
          <w:sz w:val="24"/>
          <w:szCs w:val="24"/>
        </w:rPr>
      </w:pPr>
      <w:r w:rsidRPr="002B6038">
        <w:rPr>
          <w:rFonts w:ascii="Times New Roman" w:eastAsia="Calibri" w:hAnsi="Times New Roman" w:cs="Times New Roman"/>
          <w:b/>
          <w:bCs/>
          <w:sz w:val="24"/>
          <w:szCs w:val="24"/>
        </w:rPr>
        <w:t>Všeobecná časť</w:t>
      </w:r>
    </w:p>
    <w:p w:rsidR="00375787" w:rsidRPr="002B6038" w:rsidRDefault="00375787" w:rsidP="00835459">
      <w:pPr>
        <w:spacing w:line="240" w:lineRule="auto"/>
        <w:rPr>
          <w:rFonts w:ascii="Times New Roman" w:hAnsi="Times New Roman"/>
          <w:b/>
          <w:bCs/>
          <w:sz w:val="24"/>
          <w:szCs w:val="24"/>
        </w:rPr>
      </w:pPr>
    </w:p>
    <w:p w:rsidR="00375787" w:rsidRPr="002B6038" w:rsidRDefault="009B2FAA" w:rsidP="00835459">
      <w:pPr>
        <w:spacing w:line="240" w:lineRule="auto"/>
        <w:jc w:val="both"/>
        <w:rPr>
          <w:rFonts w:ascii="Times New Roman" w:eastAsia="Times New Roman" w:hAnsi="Times New Roman" w:cs="Times New Roman"/>
          <w:sz w:val="24"/>
          <w:szCs w:val="24"/>
          <w:lang w:eastAsia="sk-SK"/>
        </w:rPr>
      </w:pPr>
      <w:r>
        <w:rPr>
          <w:rFonts w:ascii="Times New Roman" w:hAnsi="Times New Roman"/>
          <w:sz w:val="24"/>
          <w:szCs w:val="24"/>
        </w:rPr>
        <w:tab/>
      </w:r>
      <w:r w:rsidR="00375787" w:rsidRPr="002B6038">
        <w:rPr>
          <w:rFonts w:ascii="Times New Roman" w:hAnsi="Times New Roman"/>
          <w:sz w:val="24"/>
          <w:szCs w:val="24"/>
        </w:rPr>
        <w:t xml:space="preserve">Návrh zákona, ktorým sa mení a dopĺňa zákon č. 473/2005 Z. z. o poskytovaní služieb </w:t>
      </w:r>
      <w:r w:rsidR="00375787" w:rsidRPr="002B6038">
        <w:rPr>
          <w:rFonts w:ascii="Times New Roman" w:eastAsia="Times New Roman" w:hAnsi="Times New Roman" w:cs="Times New Roman"/>
          <w:sz w:val="24"/>
          <w:szCs w:val="24"/>
          <w:lang w:eastAsia="sk-SK"/>
        </w:rPr>
        <w:t>v</w:t>
      </w:r>
      <w:r w:rsidR="0064002C">
        <w:rPr>
          <w:rFonts w:ascii="Times New Roman" w:eastAsia="Times New Roman" w:hAnsi="Times New Roman" w:cs="Times New Roman"/>
          <w:sz w:val="24"/>
          <w:szCs w:val="24"/>
          <w:lang w:eastAsia="sk-SK"/>
        </w:rPr>
        <w:t> </w:t>
      </w:r>
      <w:r w:rsidR="00375787" w:rsidRPr="002B6038">
        <w:rPr>
          <w:rFonts w:ascii="Times New Roman" w:eastAsia="Times New Roman" w:hAnsi="Times New Roman" w:cs="Times New Roman"/>
          <w:sz w:val="24"/>
          <w:szCs w:val="24"/>
          <w:lang w:eastAsia="sk-SK"/>
        </w:rPr>
        <w:t>oblasti súkromnej bezpečnosti a o zmene a dopln</w:t>
      </w:r>
      <w:r w:rsidR="0064002C">
        <w:rPr>
          <w:rFonts w:ascii="Times New Roman" w:eastAsia="Times New Roman" w:hAnsi="Times New Roman" w:cs="Times New Roman"/>
          <w:sz w:val="24"/>
          <w:szCs w:val="24"/>
          <w:lang w:eastAsia="sk-SK"/>
        </w:rPr>
        <w:t>ení niektorých zákonov (zákon o </w:t>
      </w:r>
      <w:r w:rsidR="00375787" w:rsidRPr="002B6038">
        <w:rPr>
          <w:rFonts w:ascii="Times New Roman" w:eastAsia="Times New Roman" w:hAnsi="Times New Roman" w:cs="Times New Roman"/>
          <w:sz w:val="24"/>
          <w:szCs w:val="24"/>
          <w:lang w:eastAsia="sk-SK"/>
        </w:rPr>
        <w:t xml:space="preserve">súkromnej bezpečnosti) v znení neskorších predpisov je vypracovaný na základe plánu legislatívnych úloh </w:t>
      </w:r>
      <w:r w:rsidR="005D34CC">
        <w:rPr>
          <w:rFonts w:ascii="Times New Roman" w:eastAsia="Times New Roman" w:hAnsi="Times New Roman" w:cs="Times New Roman"/>
          <w:sz w:val="24"/>
          <w:szCs w:val="24"/>
          <w:lang w:eastAsia="sk-SK"/>
        </w:rPr>
        <w:t>vlády</w:t>
      </w:r>
      <w:r w:rsidR="00375787" w:rsidRPr="002B6038">
        <w:rPr>
          <w:rFonts w:ascii="Times New Roman" w:eastAsia="Times New Roman" w:hAnsi="Times New Roman" w:cs="Times New Roman"/>
          <w:sz w:val="24"/>
          <w:szCs w:val="24"/>
          <w:lang w:eastAsia="sk-SK"/>
        </w:rPr>
        <w:t xml:space="preserve"> Slovenskej republiky na rok 2021</w:t>
      </w:r>
      <w:r w:rsidR="005D34CC">
        <w:rPr>
          <w:rFonts w:ascii="Times New Roman" w:eastAsia="Times New Roman" w:hAnsi="Times New Roman" w:cs="Times New Roman"/>
          <w:sz w:val="24"/>
          <w:szCs w:val="24"/>
          <w:lang w:eastAsia="sk-SK"/>
        </w:rPr>
        <w:t>.</w:t>
      </w:r>
    </w:p>
    <w:p w:rsidR="009B2FAA" w:rsidRDefault="009B2FAA" w:rsidP="00835459">
      <w:pPr>
        <w:spacing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375787" w:rsidRPr="002B6038">
        <w:rPr>
          <w:rFonts w:ascii="Times New Roman" w:eastAsia="Times New Roman" w:hAnsi="Times New Roman" w:cs="Times New Roman"/>
          <w:sz w:val="24"/>
          <w:szCs w:val="24"/>
          <w:lang w:eastAsia="sk-SK"/>
        </w:rPr>
        <w:t xml:space="preserve">Primárnym cieľom navrhovanej právnej úpravy je zavedenie novej formy skúšky odbornej spôsobilosti, pri ktorej sa nahradí skúška pozostávajúca z písomného testu a ústnej skúšky, len skúšobným testom, ktorý bude vykonávaný elektronickou formou. Z dôvodu, že skúšobný test sa bude vykonávať v priestoroch </w:t>
      </w:r>
      <w:r w:rsidR="006E74BA">
        <w:rPr>
          <w:rFonts w:ascii="Times New Roman" w:eastAsia="Times New Roman" w:hAnsi="Times New Roman" w:cs="Times New Roman"/>
          <w:sz w:val="24"/>
          <w:szCs w:val="24"/>
          <w:lang w:eastAsia="sk-SK"/>
        </w:rPr>
        <w:t>M</w:t>
      </w:r>
      <w:r w:rsidR="009A1C7C">
        <w:rPr>
          <w:rFonts w:ascii="Times New Roman" w:eastAsia="Times New Roman" w:hAnsi="Times New Roman" w:cs="Times New Roman"/>
          <w:sz w:val="24"/>
          <w:szCs w:val="24"/>
          <w:lang w:eastAsia="sk-SK"/>
        </w:rPr>
        <w:t>inisterstva</w:t>
      </w:r>
      <w:r w:rsidR="006E74BA">
        <w:rPr>
          <w:rFonts w:ascii="Times New Roman" w:eastAsia="Times New Roman" w:hAnsi="Times New Roman" w:cs="Times New Roman"/>
          <w:sz w:val="24"/>
          <w:szCs w:val="24"/>
          <w:lang w:eastAsia="sk-SK"/>
        </w:rPr>
        <w:t xml:space="preserve"> vnútra Slovenskej republiky (ďalej len „ministerstvo“)</w:t>
      </w:r>
      <w:r w:rsidR="00375787" w:rsidRPr="002B6038">
        <w:rPr>
          <w:rFonts w:ascii="Times New Roman" w:eastAsia="Times New Roman" w:hAnsi="Times New Roman" w:cs="Times New Roman"/>
          <w:sz w:val="24"/>
          <w:szCs w:val="24"/>
          <w:lang w:eastAsia="sk-SK"/>
        </w:rPr>
        <w:t>, odpadá povinnosť akreditovanej osoby zabezpečiť miesto, kde by sa skúšobný test m</w:t>
      </w:r>
      <w:r w:rsidR="009A1C7C">
        <w:rPr>
          <w:rFonts w:ascii="Times New Roman" w:eastAsia="Times New Roman" w:hAnsi="Times New Roman" w:cs="Times New Roman"/>
          <w:sz w:val="24"/>
          <w:szCs w:val="24"/>
          <w:lang w:eastAsia="sk-SK"/>
        </w:rPr>
        <w:t>a</w:t>
      </w:r>
      <w:r w:rsidR="00375787" w:rsidRPr="002B6038">
        <w:rPr>
          <w:rFonts w:ascii="Times New Roman" w:eastAsia="Times New Roman" w:hAnsi="Times New Roman" w:cs="Times New Roman"/>
          <w:sz w:val="24"/>
          <w:szCs w:val="24"/>
          <w:lang w:eastAsia="sk-SK"/>
        </w:rPr>
        <w:t xml:space="preserve">l vykonať. Zároveň odpadá povinnosť akreditovanej osoby poskytnúť pomôcky a prostriedky na vykonanie skúšky. </w:t>
      </w:r>
      <w:r w:rsidR="00551A74" w:rsidRPr="00551A74">
        <w:rPr>
          <w:rFonts w:ascii="Times New Roman" w:eastAsia="Times New Roman" w:hAnsi="Times New Roman" w:cs="Times New Roman"/>
          <w:sz w:val="24"/>
          <w:szCs w:val="24"/>
          <w:lang w:eastAsia="sk-SK"/>
        </w:rPr>
        <w:t>Zavedením elektronického skúšobného testu už nebude takáto skúška naďalej vykonávaná pred trojčlennou komisiou, ale len za účasti jednej osoby a to zástupc</w:t>
      </w:r>
      <w:r w:rsidR="008743F9">
        <w:rPr>
          <w:rFonts w:ascii="Times New Roman" w:eastAsia="Times New Roman" w:hAnsi="Times New Roman" w:cs="Times New Roman"/>
          <w:sz w:val="24"/>
          <w:szCs w:val="24"/>
          <w:lang w:eastAsia="sk-SK"/>
        </w:rPr>
        <w:t>u</w:t>
      </w:r>
      <w:r w:rsidR="00551A74" w:rsidRPr="00551A74">
        <w:rPr>
          <w:rFonts w:ascii="Times New Roman" w:eastAsia="Times New Roman" w:hAnsi="Times New Roman" w:cs="Times New Roman"/>
          <w:sz w:val="24"/>
          <w:szCs w:val="24"/>
          <w:lang w:eastAsia="sk-SK"/>
        </w:rPr>
        <w:t xml:space="preserve"> ministerstva, ktorý bude zároveň úspešným uchádzačom vydávať preukazy odbornej spôsobilosti</w:t>
      </w:r>
      <w:r w:rsidR="008308F4">
        <w:rPr>
          <w:rFonts w:ascii="Times New Roman" w:eastAsia="Times New Roman" w:hAnsi="Times New Roman" w:cs="Times New Roman"/>
          <w:sz w:val="24"/>
          <w:szCs w:val="24"/>
          <w:lang w:eastAsia="sk-SK"/>
        </w:rPr>
        <w:t>.</w:t>
      </w:r>
      <w:r w:rsidR="00375787" w:rsidRPr="002B6038">
        <w:rPr>
          <w:rFonts w:ascii="Times New Roman" w:eastAsia="Times New Roman" w:hAnsi="Times New Roman" w:cs="Times New Roman"/>
          <w:sz w:val="24"/>
          <w:szCs w:val="24"/>
          <w:lang w:eastAsia="sk-SK"/>
        </w:rPr>
        <w:t xml:space="preserve"> V súvislosti s akreditovanou osobou</w:t>
      </w:r>
      <w:r w:rsidR="00551A74">
        <w:rPr>
          <w:rFonts w:ascii="Times New Roman" w:eastAsia="Times New Roman" w:hAnsi="Times New Roman" w:cs="Times New Roman"/>
          <w:sz w:val="24"/>
          <w:szCs w:val="24"/>
          <w:lang w:eastAsia="sk-SK"/>
        </w:rPr>
        <w:t>,</w:t>
      </w:r>
      <w:r w:rsidR="00375787" w:rsidRPr="002B6038">
        <w:rPr>
          <w:rFonts w:ascii="Times New Roman" w:eastAsia="Times New Roman" w:hAnsi="Times New Roman" w:cs="Times New Roman"/>
          <w:sz w:val="24"/>
          <w:szCs w:val="24"/>
          <w:lang w:eastAsia="sk-SK"/>
        </w:rPr>
        <w:t xml:space="preserve"> okrem iných legislatívnych úprav</w:t>
      </w:r>
      <w:r w:rsidR="00551A74">
        <w:rPr>
          <w:rFonts w:ascii="Times New Roman" w:eastAsia="Times New Roman" w:hAnsi="Times New Roman" w:cs="Times New Roman"/>
          <w:sz w:val="24"/>
          <w:szCs w:val="24"/>
          <w:lang w:eastAsia="sk-SK"/>
        </w:rPr>
        <w:t>,</w:t>
      </w:r>
      <w:r w:rsidR="00375787" w:rsidRPr="002B6038">
        <w:rPr>
          <w:rFonts w:ascii="Times New Roman" w:eastAsia="Times New Roman" w:hAnsi="Times New Roman" w:cs="Times New Roman"/>
          <w:sz w:val="24"/>
          <w:szCs w:val="24"/>
          <w:lang w:eastAsia="sk-SK"/>
        </w:rPr>
        <w:t xml:space="preserve"> dochádza k zjednoteniu evidencie osôb prihlásených na odbornú prípravu, záznamníkov vydávaných osobám prihláseným na odbornú prípravu a evidencie záznamníkov do novo vytvorenej evidencie osôb</w:t>
      </w:r>
      <w:r>
        <w:rPr>
          <w:rFonts w:ascii="Times New Roman" w:eastAsia="Times New Roman" w:hAnsi="Times New Roman" w:cs="Times New Roman"/>
          <w:sz w:val="24"/>
          <w:szCs w:val="24"/>
          <w:lang w:eastAsia="sk-SK"/>
        </w:rPr>
        <w:t xml:space="preserve"> a priebehu odbornej prípravy.</w:t>
      </w:r>
    </w:p>
    <w:p w:rsidR="00375787" w:rsidRPr="002B6038" w:rsidRDefault="009B2FAA" w:rsidP="00835459">
      <w:pPr>
        <w:spacing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375787" w:rsidRPr="002B6038">
        <w:rPr>
          <w:rFonts w:ascii="Times New Roman" w:eastAsia="Times New Roman" w:hAnsi="Times New Roman" w:cs="Times New Roman"/>
          <w:sz w:val="24"/>
          <w:szCs w:val="24"/>
          <w:lang w:eastAsia="sk-SK"/>
        </w:rPr>
        <w:t>Samotnou aplikáciou zákona o súkromnej bezpečnosti v praxi boli identifikované aplikačné a výkladové problémy, ktorých riešenie je súčasťou ďalších zmien a dopln</w:t>
      </w:r>
      <w:r>
        <w:rPr>
          <w:rFonts w:ascii="Times New Roman" w:eastAsia="Times New Roman" w:hAnsi="Times New Roman" w:cs="Times New Roman"/>
          <w:sz w:val="24"/>
          <w:szCs w:val="24"/>
          <w:lang w:eastAsia="sk-SK"/>
        </w:rPr>
        <w:t>ení</w:t>
      </w:r>
      <w:r w:rsidR="00375787" w:rsidRPr="002B6038">
        <w:rPr>
          <w:rFonts w:ascii="Times New Roman" w:eastAsia="Times New Roman" w:hAnsi="Times New Roman" w:cs="Times New Roman"/>
          <w:sz w:val="24"/>
          <w:szCs w:val="24"/>
          <w:lang w:eastAsia="sk-SK"/>
        </w:rPr>
        <w:t xml:space="preserve"> obsiahnutých v návrhu zákona. </w:t>
      </w:r>
    </w:p>
    <w:p w:rsidR="00375787" w:rsidRDefault="009B2FAA" w:rsidP="00835459">
      <w:pPr>
        <w:spacing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375787" w:rsidRPr="00B4682A">
        <w:rPr>
          <w:rFonts w:ascii="Times New Roman" w:eastAsia="Times New Roman" w:hAnsi="Times New Roman" w:cs="Times New Roman"/>
          <w:sz w:val="24"/>
          <w:szCs w:val="24"/>
          <w:lang w:eastAsia="sk-SK"/>
        </w:rPr>
        <w:t>Návrh zákona je v súlade s Ústavou Slovenskej republiky, ústavnými zákonmi, nálezmi ústavného súdu, zákonmi a ostatnými všeobecne záväznými právnymi predpismi Slovenskej republiky, s právom Európskej únie a s medzinárodnými zmluvami, ktorými je Slovenská republika viazaná.</w:t>
      </w:r>
    </w:p>
    <w:p w:rsidR="00375787" w:rsidRDefault="009B2FAA" w:rsidP="00835459">
      <w:pPr>
        <w:spacing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551A74" w:rsidRPr="00551A74">
        <w:rPr>
          <w:rFonts w:ascii="Times New Roman" w:eastAsia="Times New Roman" w:hAnsi="Times New Roman" w:cs="Times New Roman"/>
          <w:sz w:val="24"/>
          <w:szCs w:val="24"/>
          <w:lang w:eastAsia="sk-SK"/>
        </w:rPr>
        <w:t>Predkladaný návrh zákona nebude mať dopad na rozpočet verejnej správy, nemá sociálne vplyvy, vplyvy na životné prostredie, ani vplyvy na manželstvo, rodičovstvo a</w:t>
      </w:r>
      <w:r w:rsidR="0099182E">
        <w:rPr>
          <w:rFonts w:ascii="Times New Roman" w:eastAsia="Times New Roman" w:hAnsi="Times New Roman" w:cs="Times New Roman"/>
          <w:sz w:val="24"/>
          <w:szCs w:val="24"/>
          <w:lang w:eastAsia="sk-SK"/>
        </w:rPr>
        <w:t> </w:t>
      </w:r>
      <w:r w:rsidR="00551A74" w:rsidRPr="00551A74">
        <w:rPr>
          <w:rFonts w:ascii="Times New Roman" w:eastAsia="Times New Roman" w:hAnsi="Times New Roman" w:cs="Times New Roman"/>
          <w:sz w:val="24"/>
          <w:szCs w:val="24"/>
          <w:lang w:eastAsia="sk-SK"/>
        </w:rPr>
        <w:t>rodinu. Návrh zákona má pozitívny aj negatívny vplyv na podnikateľské prostredie aj na služby verejnej správy pre občana a pozitívny vplyv na informatizáciu spoločnosti.</w:t>
      </w:r>
    </w:p>
    <w:p w:rsidR="00835459" w:rsidRDefault="00835459" w:rsidP="00375787">
      <w:pPr>
        <w:jc w:val="both"/>
        <w:rPr>
          <w:rFonts w:ascii="Times New Roman" w:eastAsia="Times New Roman" w:hAnsi="Times New Roman" w:cs="Times New Roman"/>
          <w:sz w:val="24"/>
          <w:szCs w:val="24"/>
          <w:lang w:eastAsia="sk-SK"/>
        </w:rPr>
      </w:pPr>
    </w:p>
    <w:p w:rsidR="00835459" w:rsidRDefault="00835459" w:rsidP="00375787">
      <w:pPr>
        <w:jc w:val="both"/>
        <w:rPr>
          <w:rFonts w:ascii="Times New Roman" w:eastAsia="Times New Roman" w:hAnsi="Times New Roman" w:cs="Times New Roman"/>
          <w:sz w:val="24"/>
          <w:szCs w:val="24"/>
          <w:lang w:eastAsia="sk-SK"/>
        </w:rPr>
      </w:pPr>
    </w:p>
    <w:p w:rsidR="00835459" w:rsidRDefault="00835459" w:rsidP="00375787">
      <w:pPr>
        <w:jc w:val="both"/>
        <w:rPr>
          <w:rFonts w:ascii="Times New Roman" w:eastAsia="Times New Roman" w:hAnsi="Times New Roman" w:cs="Times New Roman"/>
          <w:sz w:val="24"/>
          <w:szCs w:val="24"/>
          <w:lang w:eastAsia="sk-SK"/>
        </w:rPr>
      </w:pPr>
    </w:p>
    <w:p w:rsidR="00835459" w:rsidRDefault="00835459" w:rsidP="00375787">
      <w:pPr>
        <w:jc w:val="both"/>
        <w:rPr>
          <w:rFonts w:ascii="Times New Roman" w:eastAsia="Times New Roman" w:hAnsi="Times New Roman" w:cs="Times New Roman"/>
          <w:sz w:val="24"/>
          <w:szCs w:val="24"/>
          <w:lang w:eastAsia="sk-SK"/>
        </w:rPr>
      </w:pPr>
    </w:p>
    <w:p w:rsidR="00835459" w:rsidRDefault="00835459" w:rsidP="00375787">
      <w:pPr>
        <w:jc w:val="both"/>
        <w:rPr>
          <w:rFonts w:ascii="Times New Roman" w:eastAsia="Times New Roman" w:hAnsi="Times New Roman" w:cs="Times New Roman"/>
          <w:sz w:val="24"/>
          <w:szCs w:val="24"/>
          <w:lang w:eastAsia="sk-SK"/>
        </w:rPr>
      </w:pPr>
    </w:p>
    <w:p w:rsidR="00835459" w:rsidRDefault="00835459" w:rsidP="00375787">
      <w:pPr>
        <w:jc w:val="both"/>
        <w:rPr>
          <w:rFonts w:ascii="Times New Roman" w:eastAsia="Times New Roman" w:hAnsi="Times New Roman" w:cs="Times New Roman"/>
          <w:sz w:val="24"/>
          <w:szCs w:val="24"/>
          <w:lang w:eastAsia="sk-SK"/>
        </w:rPr>
      </w:pPr>
    </w:p>
    <w:p w:rsidR="00835459" w:rsidRDefault="00835459" w:rsidP="00375787">
      <w:pPr>
        <w:jc w:val="both"/>
        <w:rPr>
          <w:rFonts w:ascii="Times New Roman" w:eastAsia="Times New Roman" w:hAnsi="Times New Roman" w:cs="Times New Roman"/>
          <w:sz w:val="24"/>
          <w:szCs w:val="24"/>
          <w:lang w:eastAsia="sk-SK"/>
        </w:rPr>
      </w:pPr>
    </w:p>
    <w:p w:rsidR="00835459" w:rsidRDefault="00835459" w:rsidP="00375787">
      <w:pPr>
        <w:jc w:val="both"/>
        <w:rPr>
          <w:rFonts w:ascii="Times New Roman" w:eastAsia="Times New Roman" w:hAnsi="Times New Roman" w:cs="Times New Roman"/>
          <w:sz w:val="24"/>
          <w:szCs w:val="24"/>
          <w:lang w:eastAsia="sk-SK"/>
        </w:rPr>
      </w:pPr>
    </w:p>
    <w:p w:rsidR="00286570" w:rsidRDefault="00286570" w:rsidP="00286570">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286570" w:rsidRDefault="00286570" w:rsidP="0028657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286570" w:rsidTr="00A14978">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1.  Základné údaje</w:t>
            </w:r>
          </w:p>
        </w:tc>
      </w:tr>
      <w:tr w:rsidR="00286570" w:rsidTr="00A14978">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Názov materiálu</w:t>
            </w:r>
          </w:p>
        </w:tc>
      </w:tr>
      <w:tr w:rsidR="00286570" w:rsidTr="00A14978">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Zákon, ktorým sa mení a dopĺňa zákon č. 473/2005 Z. z. o poskytovaní služieb v oblasti súkromnej bezpečnosti a o zmene a doplnení niektorých zákonov (zákon o súkromnej bezpečnosti) v znení neskorších predpisov</w:t>
            </w:r>
          </w:p>
        </w:tc>
      </w:tr>
      <w:tr w:rsidR="00286570" w:rsidTr="00A14978">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Predkladateľ (a spolupredkladateľ)</w:t>
            </w:r>
          </w:p>
        </w:tc>
      </w:tr>
      <w:tr w:rsidR="00286570" w:rsidTr="00A14978">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Ministerstvo vnútra Slovenskej republiky</w:t>
            </w:r>
          </w:p>
        </w:tc>
      </w:tr>
      <w:tr w:rsidR="00286570" w:rsidTr="00A14978">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86570" w:rsidRDefault="00286570" w:rsidP="00A14978">
            <w:pPr>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286570" w:rsidTr="00A14978">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286570" w:rsidTr="00A14978">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286570" w:rsidTr="00A14978">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p>
        </w:tc>
      </w:tr>
      <w:tr w:rsidR="00286570" w:rsidTr="00A14978">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Začiatok:    7.12.2021</w:t>
            </w:r>
            <w:r>
              <w:rPr>
                <w:rFonts w:ascii="Times" w:hAnsi="Times" w:cs="Times"/>
                <w:sz w:val="20"/>
                <w:szCs w:val="20"/>
              </w:rPr>
              <w:br/>
              <w:t>Ukončenie: 16.12.2021</w:t>
            </w:r>
          </w:p>
        </w:tc>
      </w:tr>
      <w:tr w:rsidR="00286570" w:rsidTr="00A14978">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Predpokladaný termín predloženia na pripomienkové konanie</w:t>
            </w:r>
          </w:p>
        </w:tc>
        <w:tc>
          <w:tcPr>
            <w:tcW w:w="200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január 2022</w:t>
            </w:r>
          </w:p>
        </w:tc>
      </w:tr>
      <w:tr w:rsidR="00286570" w:rsidTr="00A14978">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Predpokladaný termín začiatku a ukončenia ZP**</w:t>
            </w:r>
          </w:p>
        </w:tc>
        <w:tc>
          <w:tcPr>
            <w:tcW w:w="200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b/>
                <w:bCs/>
              </w:rPr>
            </w:pPr>
          </w:p>
        </w:tc>
      </w:tr>
      <w:tr w:rsidR="00286570" w:rsidTr="00A14978">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Predpokladaný termín predloženia na rokovanie vlády</w:t>
            </w:r>
            <w:r>
              <w:rPr>
                <w:rFonts w:ascii="Times" w:hAnsi="Times" w:cs="Times"/>
                <w:b/>
                <w:bCs/>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február 2022</w:t>
            </w:r>
          </w:p>
        </w:tc>
      </w:tr>
    </w:tbl>
    <w:p w:rsidR="00286570" w:rsidRDefault="00286570" w:rsidP="00286570">
      <w:pPr>
        <w:pStyle w:val="Normlnywebov"/>
        <w:spacing w:before="0" w:beforeAutospacing="0" w:after="0" w:afterAutospacing="0"/>
        <w:rPr>
          <w:bCs/>
          <w:sz w:val="22"/>
          <w:szCs w:val="22"/>
        </w:rPr>
      </w:pPr>
    </w:p>
    <w:p w:rsidR="00286570" w:rsidRDefault="00286570" w:rsidP="0028657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2.  Definovanie problému</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jc w:val="both"/>
              <w:rPr>
                <w:rFonts w:ascii="Times" w:hAnsi="Times" w:cs="Times"/>
                <w:sz w:val="20"/>
                <w:szCs w:val="20"/>
              </w:rPr>
            </w:pPr>
            <w:r>
              <w:rPr>
                <w:rFonts w:ascii="Times" w:hAnsi="Times" w:cs="Times"/>
                <w:sz w:val="20"/>
                <w:szCs w:val="20"/>
              </w:rPr>
              <w:t xml:space="preserve">Návrh zákona, ktorým sa mení a dopĺňa zákon č. 473/2005 Z. z. o poskytovaní služieb v oblasti súkromnej bezpečnosti a o zmene a doplnení niektorých zákonov (zákon o súkromnej bezpečnosti) v znení neskorších predpisov vyplynul z potreby zavedenia nového modelu skúšky odbornej spôsobilosti a prispenia k riešeniu zníženia nákladov a zaťaženia občanov a podnikateľského prostredia, ako aj riešenia problémov vyplývajúcich z aplikačnej praxe. Predkladaný materiál bol zároveň vypracovaný s prihliadnutím na zjednodušenie a zefektívnenie procesu pri uplatňovaní ustanovení zákona o súkromnej bezpečnosti. </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3.  Ciele a výsledný stav</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 xml:space="preserve">Cieľom zákona je </w:t>
            </w:r>
            <w:r>
              <w:rPr>
                <w:rFonts w:ascii="Times" w:hAnsi="Times" w:cs="Times"/>
                <w:sz w:val="20"/>
                <w:szCs w:val="20"/>
              </w:rPr>
              <w:br/>
              <w:t>- zaviesť do praxe výkon skúšok odbornej spôsobilosti elektronickou formou;</w:t>
            </w:r>
          </w:p>
          <w:p w:rsidR="00286570" w:rsidRDefault="00286570" w:rsidP="00A14978">
            <w:pPr>
              <w:jc w:val="both"/>
              <w:rPr>
                <w:rFonts w:ascii="Times" w:hAnsi="Times" w:cs="Times"/>
                <w:sz w:val="20"/>
                <w:szCs w:val="20"/>
              </w:rPr>
            </w:pPr>
            <w:r>
              <w:rPr>
                <w:rFonts w:ascii="Times" w:hAnsi="Times" w:cs="Times"/>
                <w:sz w:val="20"/>
                <w:szCs w:val="20"/>
              </w:rPr>
              <w:t>- upraviť podmienky vykonávania odbornej prípravy znížením administratívnej zaťaženosti dotknutých subjektov;</w:t>
            </w:r>
            <w:r>
              <w:rPr>
                <w:rFonts w:ascii="Times" w:hAnsi="Times" w:cs="Times"/>
                <w:sz w:val="20"/>
                <w:szCs w:val="20"/>
              </w:rPr>
              <w:br/>
              <w:t>- umožniť výkon odbornej prípravy dištančnou formou a definovať podmienky jej vykonávania;</w:t>
            </w:r>
          </w:p>
          <w:p w:rsidR="00286570" w:rsidRDefault="00286570" w:rsidP="00A14978">
            <w:pPr>
              <w:jc w:val="both"/>
              <w:rPr>
                <w:rFonts w:ascii="Times" w:hAnsi="Times" w:cs="Times"/>
                <w:sz w:val="20"/>
                <w:szCs w:val="20"/>
              </w:rPr>
            </w:pPr>
            <w:r>
              <w:rPr>
                <w:rFonts w:ascii="Times" w:hAnsi="Times" w:cs="Times"/>
                <w:sz w:val="20"/>
                <w:szCs w:val="20"/>
              </w:rPr>
              <w:t>- zjednodušiť a definovať formálne a obsahové náležitosti správy o činnosti bezpečnostných služieb, zaviesť zodpovednosť predkladateľa za pravdivosť predložených údajov;</w:t>
            </w:r>
          </w:p>
          <w:p w:rsidR="00286570" w:rsidRDefault="00286570" w:rsidP="00A14978">
            <w:pPr>
              <w:jc w:val="both"/>
              <w:rPr>
                <w:rFonts w:ascii="Times" w:hAnsi="Times" w:cs="Times"/>
                <w:sz w:val="20"/>
                <w:szCs w:val="20"/>
              </w:rPr>
            </w:pPr>
            <w:r>
              <w:rPr>
                <w:rFonts w:ascii="Times" w:hAnsi="Times" w:cs="Times"/>
                <w:sz w:val="20"/>
                <w:szCs w:val="20"/>
              </w:rPr>
              <w:lastRenderedPageBreak/>
              <w:t>- zrovnoprávniť pozície osôb žiadajúcich o vydanie preukazu typu S a typu P a vykonanie kvalifikačnej skúšky;</w:t>
            </w:r>
            <w:r>
              <w:rPr>
                <w:rFonts w:ascii="Times" w:hAnsi="Times" w:cs="Times"/>
                <w:sz w:val="20"/>
                <w:szCs w:val="20"/>
              </w:rPr>
              <w:br/>
              <w:t xml:space="preserve">- vymedziť zákonnú výnimku z povinnosti osoby mať preukaz odbornej spôsobilosti pri sebe, v prípade skončenia platnosti preukazu odbornej spôsobilosti a umožniť jeho odovzdanie aj </w:t>
            </w:r>
            <w:r w:rsidRPr="00A20570">
              <w:rPr>
                <w:rFonts w:ascii="Times" w:hAnsi="Times" w:cs="Times"/>
                <w:sz w:val="20"/>
                <w:szCs w:val="20"/>
              </w:rPr>
              <w:t>ktorémukoľvek útvaru Policajného zboru</w:t>
            </w:r>
            <w:r>
              <w:rPr>
                <w:rFonts w:ascii="Times" w:hAnsi="Times" w:cs="Times"/>
                <w:sz w:val="20"/>
                <w:szCs w:val="20"/>
              </w:rPr>
              <w:t xml:space="preserve"> (ďalej len „policajný útvar“);</w:t>
            </w:r>
          </w:p>
          <w:p w:rsidR="00286570" w:rsidRDefault="00286570" w:rsidP="00A14978">
            <w:pPr>
              <w:jc w:val="both"/>
              <w:rPr>
                <w:rFonts w:ascii="Times" w:hAnsi="Times" w:cs="Times"/>
                <w:sz w:val="20"/>
                <w:szCs w:val="20"/>
              </w:rPr>
            </w:pPr>
            <w:r>
              <w:rPr>
                <w:rFonts w:ascii="Times" w:hAnsi="Times" w:cs="Times"/>
                <w:sz w:val="20"/>
                <w:szCs w:val="20"/>
              </w:rPr>
              <w:t>- zrušiť obmedzenie týkajúce sa možnosti absolvovania odbornej prípravy len šesť mesiacov pred skončením platnosti preukazu;</w:t>
            </w:r>
          </w:p>
          <w:p w:rsidR="00286570" w:rsidRDefault="00286570" w:rsidP="00A14978">
            <w:pPr>
              <w:jc w:val="both"/>
              <w:rPr>
                <w:rFonts w:ascii="Times" w:hAnsi="Times" w:cs="Times"/>
                <w:sz w:val="20"/>
                <w:szCs w:val="20"/>
              </w:rPr>
            </w:pPr>
            <w:r>
              <w:rPr>
                <w:rFonts w:ascii="Times" w:hAnsi="Times" w:cs="Times"/>
                <w:sz w:val="20"/>
                <w:szCs w:val="20"/>
              </w:rPr>
              <w:t>- upraviť podmienky, ktoré musia na vykonávanie odbornej prípravy v rámci akreditácie spĺňať lektori;</w:t>
            </w:r>
          </w:p>
          <w:p w:rsidR="00286570" w:rsidRDefault="00286570" w:rsidP="00A14978">
            <w:pPr>
              <w:jc w:val="both"/>
              <w:rPr>
                <w:rFonts w:ascii="Times" w:hAnsi="Times" w:cs="Times"/>
                <w:sz w:val="20"/>
                <w:szCs w:val="20"/>
              </w:rPr>
            </w:pPr>
            <w:r>
              <w:rPr>
                <w:rFonts w:ascii="Times" w:hAnsi="Times" w:cs="Times"/>
                <w:sz w:val="20"/>
                <w:szCs w:val="20"/>
              </w:rPr>
              <w:t>- vypustiť povinnosť lektorskej činnosti z požiarnej prípravy v rámci odbornej prípravy;</w:t>
            </w:r>
          </w:p>
          <w:p w:rsidR="00286570" w:rsidRDefault="00286570" w:rsidP="00A14978">
            <w:pPr>
              <w:jc w:val="both"/>
              <w:rPr>
                <w:rFonts w:ascii="Times" w:hAnsi="Times" w:cs="Times"/>
                <w:sz w:val="20"/>
                <w:szCs w:val="20"/>
              </w:rPr>
            </w:pPr>
            <w:r>
              <w:rPr>
                <w:rFonts w:ascii="Times" w:hAnsi="Times" w:cs="Times"/>
                <w:sz w:val="20"/>
                <w:szCs w:val="20"/>
              </w:rPr>
              <w:t>- doplniť oprávnenie vyviesť osobu z chráneného objektu alebo chráneného miesta;</w:t>
            </w:r>
          </w:p>
          <w:p w:rsidR="00286570" w:rsidRDefault="00286570" w:rsidP="00A14978">
            <w:pPr>
              <w:jc w:val="both"/>
              <w:rPr>
                <w:rFonts w:ascii="Times" w:hAnsi="Times" w:cs="Times"/>
                <w:sz w:val="20"/>
                <w:szCs w:val="20"/>
              </w:rPr>
            </w:pPr>
            <w:r>
              <w:rPr>
                <w:rFonts w:ascii="Times" w:hAnsi="Times" w:cs="Times"/>
                <w:sz w:val="20"/>
                <w:szCs w:val="20"/>
              </w:rPr>
              <w:t>- zrušiť povinnosť odňatia licencie z dôvodu nečinnosti prevádzkovateľa,</w:t>
            </w:r>
          </w:p>
          <w:p w:rsidR="00286570" w:rsidRDefault="00286570" w:rsidP="00A14978">
            <w:pPr>
              <w:jc w:val="both"/>
              <w:rPr>
                <w:rFonts w:ascii="Times" w:hAnsi="Times" w:cs="Times"/>
                <w:sz w:val="20"/>
                <w:szCs w:val="20"/>
              </w:rPr>
            </w:pPr>
            <w:r>
              <w:rPr>
                <w:rFonts w:ascii="Times" w:hAnsi="Times" w:cs="Times"/>
                <w:sz w:val="20"/>
                <w:szCs w:val="20"/>
              </w:rPr>
              <w:t>- vyriešiť identifikované aplikačné a výkladové problémy zistené aplikáciou zákona o súkromnej bezpečnosti v praxi.</w:t>
            </w:r>
            <w:r>
              <w:rPr>
                <w:rFonts w:ascii="Times" w:hAnsi="Times" w:cs="Times"/>
                <w:sz w:val="20"/>
                <w:szCs w:val="20"/>
              </w:rPr>
              <w:br/>
            </w:r>
            <w:r>
              <w:rPr>
                <w:rFonts w:ascii="Times" w:hAnsi="Times" w:cs="Times"/>
                <w:sz w:val="20"/>
                <w:szCs w:val="20"/>
              </w:rPr>
              <w:br/>
              <w:t>Predkladaným návrhom sa zjednoduší proces vykonávania skúšok odbornej spôsobilosti a to nahradením písomného testu a ústnej skúšky len elektronickým testom. Skúšky odbornej spôsobilosti sa budú vykonávať prostredníctvom elektronického testu s využitím aplikácie umožňujúcej vykonávať samotný skúšobný proces a súčasne evidovať jeho výsledky a s ním spojené údaje v Informačnom systéme súkromnej bezpečnosti. V rámci existujúcich technických infraštruktúr ministerstva je prostredníctvom elektronizácie systému skúšok odbornej spôsobilosti možné celý proces výrazne zefektívniť bez potreby navýšenia finančných prostriedkov rezortu ministerstva, nakoľko všetky náklady spojené s materiálnym a technickým zabezpečením je možné realizovať v pôsobnosti jeho organizačných zložiek. V súvislosti s takýmto vykonávaním skúšok nastane zníženie záťaže akreditovaných osôb, nakoľko nebudú mať povinnosť poskytovať pomôcky, prostriedky a priestory na vykonávanie skúšok. Navrhuje sa nahradenie evidencií súvisiacich s odbornou prípravou len jednou evidenciou osôb a priebehu odbornej prípravy. Nahradí sa prechodné ustanovenie umožňujúce počas krízovej situácie vykonávať odbornú prípravu prostredníctvom elektronických prostriedkov zavedením možnosti výberu vykonávania odbornej prípravy prezenčnou, alebo dištančnou formou prostredníctvom audio a video prenosu medzi osobou, ktorá vykonáva odbornú prípravu a účastníkom odbornej prípravy, pričom za účelom zabezpečenia kontrolnej činnosti tohto úseku sa uloží povinnosť akreditovanej osoby sprístupniť online pripojenie k odbornej príprave vykonávanej dištančnou formou orgánu dozoru alebo orgánu kontroly. Z dôvodu neúčelnosti sa vypustí povinnosť ustanoviť zodpovedného zástupcu akreditovanej osoby, nakoľko túto pozíciu zväčša zastávali žiadatelia o udelenie akreditácie, resp. samotní lektori, pričom za riadne vykonávanie odbornej prípravy má zodpovedať samotná akreditovaná osoba.</w:t>
            </w:r>
          </w:p>
          <w:p w:rsidR="00286570" w:rsidRDefault="00286570" w:rsidP="00A14978">
            <w:pPr>
              <w:jc w:val="both"/>
              <w:rPr>
                <w:rFonts w:ascii="Times" w:hAnsi="Times" w:cs="Times"/>
                <w:sz w:val="20"/>
                <w:szCs w:val="20"/>
              </w:rPr>
            </w:pPr>
            <w:r>
              <w:rPr>
                <w:rFonts w:ascii="Times" w:hAnsi="Times" w:cs="Times"/>
                <w:sz w:val="20"/>
                <w:szCs w:val="20"/>
              </w:rPr>
              <w:br/>
              <w:t>Vytvoria sa možnosti pre držiteľov neplatného preukazu odbornej spôsobilosti odovzdania ho policajnému útvaru, teda v dostupnosti z miesta svojho pobytu, čo vytvára možnosť osobného odovzdania preukazu odbornej spôsobilosti.</w:t>
            </w:r>
          </w:p>
          <w:p w:rsidR="00286570" w:rsidRDefault="00286570" w:rsidP="00A14978">
            <w:pPr>
              <w:jc w:val="both"/>
              <w:rPr>
                <w:rFonts w:ascii="Times" w:hAnsi="Times" w:cs="Times"/>
                <w:sz w:val="20"/>
                <w:szCs w:val="20"/>
              </w:rPr>
            </w:pPr>
            <w:r>
              <w:rPr>
                <w:rFonts w:ascii="Times" w:hAnsi="Times" w:cs="Times"/>
                <w:sz w:val="20"/>
                <w:szCs w:val="20"/>
              </w:rPr>
              <w:br/>
              <w:t>Úpravou formálnych a obsahových náležitostí predkladaných správ o činnosti bezpečnostných služieb sa docieli sprehľadnenie požadovaných údajov od prevádzkovateľov. Z dôvodu absencie zodpovednosti predkladateľa za obsah poskytovaných údajov sa zavádza nový správny delikt.</w:t>
            </w:r>
          </w:p>
          <w:p w:rsidR="00286570" w:rsidRDefault="00286570" w:rsidP="00A14978">
            <w:pPr>
              <w:jc w:val="both"/>
              <w:rPr>
                <w:rFonts w:ascii="Times" w:hAnsi="Times" w:cs="Times"/>
                <w:sz w:val="20"/>
                <w:szCs w:val="20"/>
              </w:rPr>
            </w:pPr>
            <w:r>
              <w:rPr>
                <w:rFonts w:ascii="Times" w:hAnsi="Times" w:cs="Times"/>
                <w:sz w:val="20"/>
                <w:szCs w:val="20"/>
              </w:rPr>
              <w:br/>
              <w:t>Úpravou týkajúcou sa preukazovania praxe pôsobením v ozbrojenom bezpečnostnom zbore sa rozšíri okruh osôb, ktoré spĺňajú podmienky na vydanie preukazu odbornej spôsobilosti bez absolvovania odbornej prípravy a skúšky odbornej spôsobilosti aj o tie osoby, ktoré spĺňajú podmienku dĺžky takéhoto pôsobenia v ozbrojenom bezpečnostnom zbore.</w:t>
            </w:r>
          </w:p>
          <w:p w:rsidR="00286570" w:rsidRDefault="00286570" w:rsidP="00A14978">
            <w:pPr>
              <w:jc w:val="both"/>
              <w:rPr>
                <w:rFonts w:ascii="Times" w:hAnsi="Times" w:cs="Times"/>
                <w:sz w:val="20"/>
                <w:szCs w:val="20"/>
              </w:rPr>
            </w:pPr>
            <w:r>
              <w:rPr>
                <w:rFonts w:ascii="Times" w:hAnsi="Times" w:cs="Times"/>
                <w:sz w:val="20"/>
                <w:szCs w:val="20"/>
              </w:rPr>
              <w:br/>
            </w:r>
            <w:r>
              <w:rPr>
                <w:rFonts w:ascii="Times" w:hAnsi="Times" w:cs="Times"/>
                <w:sz w:val="20"/>
                <w:szCs w:val="20"/>
              </w:rPr>
              <w:lastRenderedPageBreak/>
              <w:t>Umožnením vykonať kvalifikačnú skúšku nielen osobám, ktoré vykonávali bezpečnostnú prax alebo prax v odbore právo, ale aj osobám, ktoré boli príslušníkmi ozbrojeného bezpečnostného zboru sa odstráni nerovný prístup, nakoľko im nebolo umožnené vykonať kvalifikačnú skúšku, aj keď formálne spĺňali podmienky na jej vykonanie.</w:t>
            </w:r>
            <w:r>
              <w:rPr>
                <w:rFonts w:ascii="Times" w:hAnsi="Times" w:cs="Times"/>
                <w:sz w:val="20"/>
                <w:szCs w:val="20"/>
              </w:rPr>
              <w:br/>
            </w:r>
            <w:r>
              <w:rPr>
                <w:rFonts w:ascii="Times" w:hAnsi="Times" w:cs="Times"/>
                <w:sz w:val="20"/>
                <w:szCs w:val="20"/>
              </w:rPr>
              <w:br/>
              <w:t>Umožnením získať bez vykonania odbornej prípravy aj preukaz odbornej spôsobilosti typu S sa umožňuje osobe vybrať si typ preukazu odbornej spôsobilosti zodpovedajúci rozsahu jej budúcej činnosti a zároveň absolvovať skúšku pre daný typ preukazu odbornej spôsobilosti. Zároveň sa bude uplatňovať táto výnimka aj pre absolventov bakalárskeho štúdia, nakoľko boli znevýhodnení oproti osobám, ktoré majú stredné odborné vzdelanie v oblasti bezpečnostných služieb.</w:t>
            </w:r>
          </w:p>
          <w:p w:rsidR="00286570" w:rsidRDefault="00286570" w:rsidP="00A14978">
            <w:pPr>
              <w:jc w:val="both"/>
              <w:rPr>
                <w:rFonts w:ascii="Times" w:hAnsi="Times" w:cs="Times"/>
                <w:sz w:val="20"/>
                <w:szCs w:val="20"/>
              </w:rPr>
            </w:pPr>
            <w:r>
              <w:rPr>
                <w:rFonts w:ascii="Times" w:hAnsi="Times" w:cs="Times"/>
                <w:sz w:val="20"/>
                <w:szCs w:val="20"/>
              </w:rPr>
              <w:br/>
              <w:t>Stanovením výnimky z povinnosti ustanovenej v § 20 ods. 3 zákona o súkromnej bezpečnosti sa odstránia časté problémy z praxe, kedy by osoby ktoré žiadajú o vydanie preukazu odbornej spôsobilosti z dôvodu straty, odcudzenia, ak zápisy v ňom uvedenú sú nečitateľné alebo je porušená jeho celistvosť resp. ak obsahuje údaje nezodpovedajúce skutočnosti, nemohli vykonávať činnosti podľa zákona o súkromnej bezpečnosti, nakoľko v tom čase nespĺňajú ustanovenú povinnosť mať preukaz odbornej spôsobilosti pri sebe. V týchto špecifických prípadoch osoba nestratila svoju odbornú spôsobilosť a preto sa upravuje jej činnosť v období od podania žiadosti ministerstvu do doručenia preukazu odbornej spôsobilosti.</w:t>
            </w:r>
          </w:p>
          <w:p w:rsidR="00286570" w:rsidRDefault="00286570" w:rsidP="00A14978">
            <w:pPr>
              <w:jc w:val="both"/>
              <w:rPr>
                <w:rFonts w:ascii="Times" w:hAnsi="Times" w:cs="Times"/>
                <w:sz w:val="20"/>
                <w:szCs w:val="20"/>
              </w:rPr>
            </w:pPr>
            <w:r>
              <w:rPr>
                <w:rFonts w:ascii="Times" w:hAnsi="Times" w:cs="Times"/>
                <w:sz w:val="20"/>
                <w:szCs w:val="20"/>
              </w:rPr>
              <w:br/>
              <w:t>Zrušením obmedzenia možnosti absolvovania odbornej prípravy len šesť mesiacov pred skončením platnosti preukazu odbornej spôsobilosti sa umožní osobám absolvovať odbornú úpravu podľa svojich potrieb. Teda sa umožní absolvovať odbornú prípravu aj v prípadoch, keď samotný držiteľ preukazu odbornej spôsobilosti potrebuje zopakovať alebo prehĺbiť svoje vedomosti, alebo ak dlhodobo nevykonával činnosti podľa zákona o súkromnej bezpečnosti.</w:t>
            </w:r>
          </w:p>
          <w:p w:rsidR="00286570" w:rsidRDefault="00286570" w:rsidP="00A14978">
            <w:pPr>
              <w:jc w:val="both"/>
              <w:rPr>
                <w:rFonts w:ascii="Times" w:hAnsi="Times" w:cs="Times"/>
                <w:sz w:val="20"/>
                <w:szCs w:val="20"/>
              </w:rPr>
            </w:pPr>
            <w:r>
              <w:rPr>
                <w:rFonts w:ascii="Times" w:hAnsi="Times" w:cs="Times"/>
                <w:sz w:val="20"/>
                <w:szCs w:val="20"/>
              </w:rPr>
              <w:br/>
              <w:t>Vypustením splnenia podmienok spoľahlivosti a bezúhonnosti u osôb, ktoré vykonávajú odbornú prípravu - lektorov, je zohľadnené, že tieto osoby sa priamo nezúčastňujú na výkone bezpečnostnej služby, ale zabezpečujú odbornú prípravu osôb, ktoré chcú alebo už vykonávajú činnosti podľa zákona o súkromnej bezpečnosti. Vypustením požiarnej prípravy z odbornej prípravy v rámci akreditácie sa odstraňuje duplicitné oboznamovanie sa osôb s danou problematikou, nakoľko prevádzkovateľ bezpečnostnej služby podľa vyhlášky Ministerstva vnútra Slovenskej republiky č. 121/2002 Z. z. o požiarnej príprave musí zabezpečiť u novoprijatých zamestnancov po ich zaradení na pracovisko pred začatím práce školenie o ochrane pred požiarmi a raz za 12 mesiacov preškolenie osôb zabezpečujúcich ochranu pred požiarmi v mimopracovnom čase a raz za 24 mesiacov preškolenie vedúcich zamestnancov a ostatných zamestnancov.</w:t>
            </w:r>
          </w:p>
          <w:p w:rsidR="00286570" w:rsidRDefault="00286570" w:rsidP="00A14978">
            <w:pPr>
              <w:jc w:val="both"/>
              <w:rPr>
                <w:rFonts w:ascii="Times" w:hAnsi="Times" w:cs="Times"/>
                <w:sz w:val="20"/>
                <w:szCs w:val="20"/>
              </w:rPr>
            </w:pPr>
            <w:r>
              <w:rPr>
                <w:rFonts w:ascii="Times" w:hAnsi="Times" w:cs="Times"/>
                <w:sz w:val="20"/>
                <w:szCs w:val="20"/>
              </w:rPr>
              <w:br/>
            </w:r>
            <w:r>
              <w:rPr>
                <w:rFonts w:ascii="Times" w:hAnsi="Times" w:cs="Times"/>
                <w:sz w:val="20"/>
                <w:szCs w:val="20"/>
              </w:rPr>
              <w:br/>
              <w:t>Úpravou oprávnenia podľa § 50 ods.4 písm. i) zákona o súkromnej bezpečnosti sa umožní osobám vykonávajúcim fyzickú ochranu na čas nevyhnutný, do príchodu policajta, Vojenskej polície alebo obecnej polície, predviesť osobu na strážne stanovisko nielen v prípadoch, kedy po pristihnutí pri spáchaní priestupku odmieta alebo nemôže hodnoverne preukázať svoju totožnosť, ale aj v prípade, ak sa táto osoba hodnoverne preukáže svoju totožnosť. Potreba úpravy vyplynula najmä z prípadov, kedy bola osoba v predchádzajúcich dvanástich mesiacoch postihnutá za obdobný čin, pri ktorom si prisvojila cudziu vec tým, že sa jej zmocnila, čo zakladá skutkovú podstatu trestného činu krádeže podľa § 212 ods. 1 písm. g) zákona č. 300/2005 Z. z. Trestný zákon v znení neskorších predpisov, pričom o takejto skutočnosti nemôže mať osoba vykonávajúca fyzickú ochranu vedomosť. Pokiaľ takáto osoba hodnoverne preukázala svoju totožnosť, nemohlo byť voči nej uplatnené oprávnenie predvedenia na čas nevyhnutný na strážne stanovisko, čím sa do značnej miery sťažuje ďalšia činnosť útvarov Policajného zboru na úseku trestného konania. Oblasť oprávnení osôb poverených výkonom fyzickej ochrany sa rozšíri o oprávnenie vyviesť osobu z chráneného objektu alebo chráneného miesta, nakoľko absencia tohto oprávnenia v praxi sťažuje výkon fyzickej ochrany. Zároveň sa upravilo použitie vecného bezpečnostného prostriedku, nakoľko takáto úprava absentovala.</w:t>
            </w:r>
          </w:p>
          <w:p w:rsidR="00286570" w:rsidRDefault="00286570" w:rsidP="00A14978">
            <w:pPr>
              <w:jc w:val="both"/>
              <w:rPr>
                <w:rFonts w:ascii="Times" w:hAnsi="Times" w:cs="Times"/>
                <w:sz w:val="20"/>
                <w:szCs w:val="20"/>
              </w:rPr>
            </w:pPr>
            <w:r>
              <w:rPr>
                <w:rFonts w:ascii="Times" w:hAnsi="Times" w:cs="Times"/>
                <w:sz w:val="20"/>
                <w:szCs w:val="20"/>
              </w:rPr>
              <w:lastRenderedPageBreak/>
              <w:br/>
              <w:t>Vypustením povinnosti prevádzkovateľa začať vykonávať povolenú činnosť v určenej lehote odo dňa nadobudnutia právoplatnosti rozhodnutia, ako aj odňatia licencie z dôvodu, že prevádzkovateľ nezačne vykonávať povolenú činnosť v určenej lehote odo dňa nadobudnutia právoplatnosti rozhodnutia o udelení licencie alebo takúto činnosť nevykonáva nepretržite bol zohľadnený účel zákona o súkromnej bezpečnosti, ako aj tá skutočnosť, že licencia je vydávaná na desať rokov a je na samotnom prevádzkovateľovi aj s prihliadnutím na súčasnú ekonomickú situáciu, ako a kedy sa mu podarí zabezpečiť činnosť, ktorú má vykonávať. Zároveň sa odstraňuje nerovný prístup k prevádzkovateľom bezpečnostnej služby a technickej služby, zrovnoprávnením lehoty na podanie žiadosti o vydanie novej licencie na činnosti, ktoré sú predmetom už udelenej licencie.</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lastRenderedPageBreak/>
              <w:t>  4.  Dotknuté subjekty</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Predkladaný návrh zákona sa bude týkať:</w:t>
            </w:r>
            <w:r>
              <w:rPr>
                <w:rFonts w:ascii="Times" w:hAnsi="Times" w:cs="Times"/>
                <w:sz w:val="20"/>
                <w:szCs w:val="20"/>
              </w:rPr>
              <w:br/>
              <w:t>1.) verejnosti – fyzické osoby, fyzické osoby – podnikatelia, právnické osoby,</w:t>
            </w:r>
            <w:r>
              <w:rPr>
                <w:rFonts w:ascii="Times" w:hAnsi="Times" w:cs="Times"/>
                <w:sz w:val="20"/>
                <w:szCs w:val="20"/>
              </w:rPr>
              <w:br/>
              <w:t>2.) odbornej verejnosti – držiteľ preukazu odbornej spôsobilosti, držiteľ licencie na prevádzkovanie bezpečnostnej služby, držiteľ licencie na prevádzkovanie technickej služby, akreditovaná osoba, lektor vykonávajúci odbornú prípravu</w:t>
            </w:r>
            <w:r>
              <w:rPr>
                <w:rFonts w:ascii="Times" w:hAnsi="Times" w:cs="Times"/>
                <w:sz w:val="20"/>
                <w:szCs w:val="20"/>
              </w:rPr>
              <w:br/>
              <w:t xml:space="preserve">3.) verejnej správy – Ministerstvo vnútra Slovenskej republiky, krajské riaditeľstvá Policajného zboru </w:t>
            </w:r>
            <w:r>
              <w:rPr>
                <w:rFonts w:ascii="Times" w:hAnsi="Times" w:cs="Times"/>
                <w:sz w:val="20"/>
                <w:szCs w:val="20"/>
              </w:rPr>
              <w:br/>
              <w:t xml:space="preserve">4.) k 31. 12. 2020 bolo 2516 prevádzkovateľov technickej služby a 73 akreditovaných osôb. </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5.  Alternatívne riešenia</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 xml:space="preserve">V prípade neschválenia predkladaného návrhu nebude zavedená nová forma skúšky odbornej spôsobilosti, ktorá bola primárnym cieľom tejto navrhovanej právnej úpravy, teda sa nezabezpečí zefektívnenie priebehu skúšky. Zároveň nebudú riešené identifikované aplikačné a výkladové probléme. Neschválenie predkladaného návrhu bude mať negatívny vplyv na podnikateľské prostredie ako aj občana. </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6.  Vykonávacie predpisy</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8"/>
                <w:szCs w:val="28"/>
              </w:rPr>
              <w:t></w:t>
            </w:r>
            <w:r>
              <w:rPr>
                <w:rFonts w:ascii="Times" w:hAnsi="Times" w:cs="Times"/>
                <w:sz w:val="20"/>
                <w:szCs w:val="20"/>
              </w:rPr>
              <w:t>  Nie</w:t>
            </w:r>
            <w:r>
              <w:rPr>
                <w:rFonts w:ascii="Times" w:hAnsi="Times" w:cs="Times"/>
                <w:sz w:val="20"/>
                <w:szCs w:val="20"/>
              </w:rPr>
              <w:br/>
              <w:t>Predpokladá sa prijatie novej vyhlášky Ministerstva vnútra Slovenskej republiky, ktorou sa budú vykonávať niektoré ustanovenia zákona č. 473/2005 Z. z. o poskytovaní služieb v oblasti súkromnej bezpečnosti a o zmene a doplnení niektorých zákonov (zákon o súkromnej bezpečnosti).</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xml:space="preserve">  7.  Transpozícia práva EÚ </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V predkladanom návrhu nedochádza k presahu národnej právnej úpravy nad rámec minimálnych požiadaviek EÚ.</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8.  Preskúmanie účelnosti</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rPr>
                <w:rFonts w:ascii="Times" w:hAnsi="Times" w:cs="Times"/>
                <w:sz w:val="20"/>
                <w:szCs w:val="20"/>
              </w:rPr>
            </w:pPr>
            <w:r>
              <w:rPr>
                <w:rFonts w:ascii="Times" w:hAnsi="Times" w:cs="Times"/>
                <w:sz w:val="20"/>
                <w:szCs w:val="20"/>
              </w:rPr>
              <w:t>Preskúmanie účelnosti sa bude uskutočňovať dva roky po nadobudnutí účinnosti jednotlivých opatrení.</w:t>
            </w:r>
            <w:r>
              <w:rPr>
                <w:rFonts w:ascii="Times" w:hAnsi="Times" w:cs="Times"/>
                <w:sz w:val="20"/>
                <w:szCs w:val="20"/>
              </w:rPr>
              <w:br/>
            </w:r>
            <w:r>
              <w:rPr>
                <w:rFonts w:ascii="Times" w:hAnsi="Times" w:cs="Times"/>
                <w:sz w:val="20"/>
                <w:szCs w:val="20"/>
              </w:rPr>
              <w:br/>
              <w:t xml:space="preserve">Hlavným cieľom predkladaného materiálu je zaviesť nový model skúšky odbornej spôsobilosti a tým zefektívniť a zjednodušiť tento proces, znížiť náklady a zaťaženie občanov a podnikateľského prostredia a vyriešiť problémy, ktoré vyplynuli z aplikačnej praxe. </w:t>
            </w:r>
          </w:p>
        </w:tc>
      </w:tr>
    </w:tbl>
    <w:p w:rsidR="00286570" w:rsidRDefault="00286570" w:rsidP="00286570">
      <w:pPr>
        <w:pStyle w:val="Normlnywebov"/>
        <w:spacing w:before="0" w:beforeAutospacing="0" w:after="0" w:afterAutospacing="0"/>
        <w:rPr>
          <w:bCs/>
          <w:sz w:val="22"/>
          <w:szCs w:val="22"/>
        </w:rPr>
      </w:pPr>
    </w:p>
    <w:p w:rsidR="00286570" w:rsidRPr="00543B8E" w:rsidRDefault="00286570" w:rsidP="00286570">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286570" w:rsidRDefault="00286570" w:rsidP="00286570">
      <w:pPr>
        <w:pStyle w:val="Normlnywebov"/>
        <w:spacing w:before="0" w:beforeAutospacing="0" w:after="0" w:afterAutospacing="0"/>
        <w:rPr>
          <w:sz w:val="20"/>
          <w:szCs w:val="20"/>
        </w:rPr>
      </w:pPr>
      <w:r w:rsidRPr="00543B8E">
        <w:rPr>
          <w:sz w:val="20"/>
          <w:szCs w:val="20"/>
        </w:rPr>
        <w:t xml:space="preserve">** </w:t>
      </w:r>
      <w:r w:rsidRPr="00FC4D1C">
        <w:rPr>
          <w:sz w:val="20"/>
          <w:szCs w:val="20"/>
        </w:rPr>
        <w:t>vyplniť iba v prípade, ak sa záverečné posúdenie vybraných vplyvov uskutočnili v zmysle bodu 9.1. jednotnej metodiky.</w:t>
      </w:r>
    </w:p>
    <w:p w:rsidR="00286570" w:rsidRDefault="00286570" w:rsidP="00286570">
      <w:pPr>
        <w:pStyle w:val="Normlnywebov"/>
        <w:spacing w:before="0" w:beforeAutospacing="0" w:after="0" w:afterAutospacing="0"/>
        <w:rPr>
          <w:sz w:val="20"/>
          <w:szCs w:val="20"/>
        </w:rPr>
      </w:pPr>
    </w:p>
    <w:p w:rsidR="00286570" w:rsidRDefault="00286570" w:rsidP="0028657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999"/>
        <w:gridCol w:w="1363"/>
        <w:gridCol w:w="1363"/>
        <w:gridCol w:w="1363"/>
      </w:tblGrid>
      <w:tr w:rsidR="00286570" w:rsidTr="00A14978">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sz w:val="20"/>
                <w:szCs w:val="20"/>
              </w:rPr>
            </w:pPr>
            <w:r>
              <w:rPr>
                <w:rFonts w:ascii="Times" w:hAnsi="Times" w:cs="Times"/>
                <w:b/>
                <w:bCs/>
                <w:sz w:val="20"/>
                <w:szCs w:val="20"/>
              </w:rPr>
              <w:lastRenderedPageBreak/>
              <w:t>  9.   Vybrané vplyvy materiálu</w:t>
            </w:r>
          </w:p>
        </w:tc>
      </w:tr>
      <w:tr w:rsidR="00286570" w:rsidTr="00A14978">
        <w:trPr>
          <w:trHeight w:val="270"/>
          <w:jc w:val="center"/>
        </w:trPr>
        <w:tc>
          <w:tcPr>
            <w:tcW w:w="275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86570" w:rsidRDefault="00286570" w:rsidP="00A14978">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r>
              <w:rPr>
                <w:rFonts w:ascii="Times" w:hAnsi="Times" w:cs="Times"/>
                <w:sz w:val="20"/>
                <w:szCs w:val="20"/>
              </w:rPr>
              <w:br/>
              <w:t xml:space="preserve">    v prípade identifikovaného negatívneho vplyvu     </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86570" w:rsidTr="00A14978">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286570" w:rsidTr="00A14978">
        <w:trPr>
          <w:trHeight w:val="270"/>
          <w:jc w:val="center"/>
        </w:trPr>
        <w:tc>
          <w:tcPr>
            <w:tcW w:w="275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86570" w:rsidRDefault="00286570" w:rsidP="00A14978">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r>
              <w:rPr>
                <w:rFonts w:ascii="Times" w:hAnsi="Times" w:cs="Times"/>
                <w:sz w:val="20"/>
                <w:szCs w:val="20"/>
              </w:rPr>
              <w:br/>
            </w:r>
            <w:r>
              <w:rPr>
                <w:rFonts w:ascii="Times" w:hAnsi="Times" w:cs="Times"/>
                <w:sz w:val="20"/>
                <w:szCs w:val="20"/>
              </w:rPr>
              <w:br/>
              <w:t>    Mechanizmus znižovania byrokracie</w:t>
            </w:r>
            <w:r>
              <w:rPr>
                <w:rFonts w:ascii="Times" w:hAnsi="Times" w:cs="Times"/>
                <w:sz w:val="20"/>
                <w:szCs w:val="20"/>
              </w:rPr>
              <w:br/>
              <w:t>    a nákladov sa uplatňuje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286570" w:rsidTr="00A14978">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286570" w:rsidTr="00A14978">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Áno</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r>
      <w:tr w:rsidR="00286570" w:rsidTr="00A14978">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86570" w:rsidRDefault="00286570" w:rsidP="00A14978">
            <w:pPr>
              <w:rPr>
                <w:rFonts w:ascii="Times" w:hAnsi="Times" w:cs="Times"/>
                <w:sz w:val="20"/>
                <w:szCs w:val="20"/>
              </w:rPr>
            </w:pPr>
            <w:r>
              <w:rPr>
                <w:rFonts w:ascii="Times" w:hAnsi="Times" w:cs="Times"/>
                <w:b/>
                <w:bCs/>
                <w:sz w:val="20"/>
                <w:szCs w:val="20"/>
              </w:rPr>
              <w:t>  Sociálne vplyvy</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86570" w:rsidTr="00A14978">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86570" w:rsidRDefault="00286570" w:rsidP="00A14978">
            <w:pPr>
              <w:rPr>
                <w:rFonts w:ascii="Times" w:hAnsi="Times" w:cs="Times"/>
                <w:sz w:val="20"/>
                <w:szCs w:val="20"/>
              </w:rPr>
            </w:pPr>
            <w:r>
              <w:rPr>
                <w:rFonts w:ascii="Times" w:hAnsi="Times" w:cs="Times"/>
                <w:b/>
                <w:bCs/>
                <w:sz w:val="20"/>
                <w:szCs w:val="20"/>
              </w:rPr>
              <w:t>  Vplyvy na životné prostredie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86570" w:rsidTr="00A14978">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86570" w:rsidRDefault="00286570" w:rsidP="00A14978">
            <w:pPr>
              <w:rPr>
                <w:rFonts w:ascii="Times" w:hAnsi="Times" w:cs="Times"/>
                <w:sz w:val="20"/>
                <w:szCs w:val="20"/>
              </w:rPr>
            </w:pPr>
            <w:r>
              <w:rPr>
                <w:rFonts w:ascii="Times" w:hAnsi="Times" w:cs="Times"/>
                <w:b/>
                <w:bCs/>
                <w:sz w:val="20"/>
                <w:szCs w:val="20"/>
              </w:rPr>
              <w:t>  Vplyvy na informatizáciu spoločnosti</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86570" w:rsidTr="00A14978">
        <w:trPr>
          <w:trHeight w:val="675"/>
          <w:jc w:val="center"/>
        </w:trPr>
        <w:tc>
          <w:tcPr>
            <w:tcW w:w="275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86570" w:rsidRDefault="00286570" w:rsidP="00A14978">
            <w:pPr>
              <w:rPr>
                <w:rFonts w:ascii="Times" w:hAnsi="Times" w:cs="Times"/>
                <w:sz w:val="20"/>
                <w:szCs w:val="20"/>
              </w:rPr>
            </w:pPr>
            <w:r>
              <w:rPr>
                <w:rFonts w:ascii="Times" w:hAnsi="Times" w:cs="Times"/>
                <w:b/>
                <w:bCs/>
                <w:sz w:val="20"/>
                <w:szCs w:val="20"/>
              </w:rPr>
              <w:t>  Vplyvy na služby verejnej správy pre občana, z toho</w:t>
            </w:r>
            <w:r>
              <w:rPr>
                <w:rFonts w:ascii="Times" w:hAnsi="Times" w:cs="Times"/>
                <w:sz w:val="20"/>
                <w:szCs w:val="20"/>
              </w:rPr>
              <w:br/>
              <w:t>    vplyvy služieb verejnej správy</w:t>
            </w:r>
            <w:r>
              <w:rPr>
                <w:rFonts w:ascii="Times" w:hAnsi="Times" w:cs="Times"/>
                <w:sz w:val="20"/>
                <w:szCs w:val="20"/>
              </w:rPr>
              <w:br/>
              <w:t>    na občana</w:t>
            </w:r>
            <w:r>
              <w:rPr>
                <w:rFonts w:ascii="Times" w:hAnsi="Times" w:cs="Times"/>
                <w:sz w:val="20"/>
                <w:szCs w:val="20"/>
              </w:rPr>
              <w:br/>
              <w:t>    vplyvy na procesy služieb vo verejnej</w:t>
            </w:r>
            <w:r>
              <w:rPr>
                <w:rFonts w:ascii="Times" w:hAnsi="Times" w:cs="Times"/>
                <w:sz w:val="20"/>
                <w:szCs w:val="20"/>
              </w:rPr>
              <w:br/>
              <w:t>    správe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286570" w:rsidTr="00A14978">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286570" w:rsidTr="00A14978">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86570" w:rsidRDefault="00286570" w:rsidP="00A14978">
            <w:pPr>
              <w:rPr>
                <w:rFonts w:ascii="Times" w:hAnsi="Times" w:cs="Times"/>
                <w:sz w:val="20"/>
                <w:szCs w:val="20"/>
              </w:rPr>
            </w:pPr>
            <w:r>
              <w:rPr>
                <w:rFonts w:ascii="Times" w:hAnsi="Times" w:cs="Times"/>
                <w:b/>
                <w:bCs/>
                <w:sz w:val="20"/>
                <w:szCs w:val="20"/>
              </w:rPr>
              <w:t>  Vplyvy na manželstvo, rodičovstvo a rodinu</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rsidR="00286570" w:rsidRDefault="00286570" w:rsidP="00A1497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286570" w:rsidRDefault="00286570" w:rsidP="00286570">
      <w:pPr>
        <w:pStyle w:val="Normlnywebov"/>
        <w:spacing w:before="0" w:beforeAutospacing="0" w:after="0" w:afterAutospacing="0"/>
        <w:rPr>
          <w:sz w:val="20"/>
          <w:szCs w:val="20"/>
        </w:rPr>
      </w:pPr>
    </w:p>
    <w:p w:rsidR="00286570" w:rsidRDefault="00286570" w:rsidP="0028657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10.  Poznámky</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Pr="00FA73D9" w:rsidRDefault="00286570" w:rsidP="00A14978">
            <w:pPr>
              <w:pStyle w:val="Normlnywebov"/>
              <w:jc w:val="both"/>
              <w:rPr>
                <w:rFonts w:ascii="Times" w:hAnsi="Times" w:cs="Times"/>
                <w:sz w:val="20"/>
                <w:szCs w:val="20"/>
              </w:rPr>
            </w:pPr>
            <w:r w:rsidRPr="00FA73D9">
              <w:rPr>
                <w:rFonts w:ascii="Times" w:hAnsi="Times" w:cs="Times"/>
                <w:sz w:val="20"/>
                <w:szCs w:val="20"/>
              </w:rPr>
              <w:t>Legislatívna zmena priebehu skúšky nebude vyžadovať navýšenie finančných prostriedkov v rámci verejnej správy, nakoľko všetky náklady spojené s materiálnym a technickým zabezpečením informačného systému budú realizované v pôsobnosti organizačných zložiek ministerstva v rámci existujúcich technických infraštruktúr a praktický výkon skúšok elektronickou formou sa po zavedení do prevádzky bude vykonávať v priestoroch určených pre vykonávanie elektronických skúšok z odbornej spôsobilosti pre žiadateľov o udelenie vodičského oprávnenia vrátane využitia ich materiálno-technického zabezpečenia. Elektronizácia skúšky bude nahrádzať priebeh pôvodnej skúšky pozostávajúcej z písomného testu a ústnej skúšky, pričom koncový výstup bude slúžiť výlučne ako podklad pre ministerstvo, na základe ktorého bude úspešným uchádzačom vydaný preukaz odbornej spôsobilosti. Táto legislatívna zmena bude mať pozitívny vplyv na  informatizáciu spoločnosti</w:t>
            </w:r>
            <w:r>
              <w:rPr>
                <w:rFonts w:ascii="Times" w:hAnsi="Times" w:cs="Times"/>
                <w:sz w:val="20"/>
                <w:szCs w:val="20"/>
              </w:rPr>
              <w:t>.</w:t>
            </w:r>
          </w:p>
          <w:p w:rsidR="00286570" w:rsidRPr="00FA73D9" w:rsidRDefault="00286570" w:rsidP="00A14978">
            <w:pPr>
              <w:pStyle w:val="Normlnywebov"/>
              <w:jc w:val="both"/>
              <w:rPr>
                <w:rFonts w:ascii="Times" w:hAnsi="Times" w:cs="Times"/>
                <w:sz w:val="20"/>
                <w:szCs w:val="20"/>
              </w:rPr>
            </w:pPr>
            <w:r w:rsidRPr="00FA73D9">
              <w:rPr>
                <w:rFonts w:ascii="Times" w:hAnsi="Times" w:cs="Times"/>
                <w:sz w:val="20"/>
                <w:szCs w:val="20"/>
              </w:rPr>
              <w:t xml:space="preserve">Materiál bude mať pozitívne vplyvy služieb verejnej správy na občana. Občanom sa napr. umožňuje  odovzdať neplatný preukaz odbornej spôsobilosti v  dostupnosti z miesta jeho pobytu a nie len Ministerstvu vnútra Slovenskej republike. Z dôvodu umožnenia odovzdania neplatných preukazov odbornej spôsobilosti aj </w:t>
            </w:r>
            <w:r>
              <w:rPr>
                <w:rFonts w:ascii="Times" w:hAnsi="Times" w:cs="Times"/>
                <w:sz w:val="20"/>
                <w:szCs w:val="20"/>
              </w:rPr>
              <w:t>policajným útvarom</w:t>
            </w:r>
            <w:r w:rsidRPr="00FA73D9">
              <w:rPr>
                <w:rFonts w:ascii="Times" w:hAnsi="Times" w:cs="Times"/>
                <w:sz w:val="20"/>
                <w:szCs w:val="20"/>
              </w:rPr>
              <w:t xml:space="preserve"> vzniká negatívny vplyv na procesy služieb vo verejnej správe z dôvodu zvýšenej záťaže na </w:t>
            </w:r>
            <w:r>
              <w:rPr>
                <w:rFonts w:ascii="Times" w:hAnsi="Times" w:cs="Times"/>
                <w:sz w:val="20"/>
                <w:szCs w:val="20"/>
              </w:rPr>
              <w:t>policajné útvary</w:t>
            </w:r>
            <w:r w:rsidRPr="00FA73D9">
              <w:rPr>
                <w:rFonts w:ascii="Times" w:hAnsi="Times" w:cs="Times"/>
                <w:sz w:val="20"/>
                <w:szCs w:val="20"/>
              </w:rPr>
              <w:t>.</w:t>
            </w:r>
          </w:p>
          <w:p w:rsidR="00286570" w:rsidRPr="00FA73D9" w:rsidRDefault="00286570" w:rsidP="00A14978">
            <w:pPr>
              <w:pStyle w:val="Normlnywebov"/>
              <w:rPr>
                <w:rFonts w:ascii="Times" w:hAnsi="Times" w:cs="Times"/>
                <w:sz w:val="20"/>
                <w:szCs w:val="20"/>
              </w:rPr>
            </w:pPr>
            <w:r w:rsidRPr="00FA73D9">
              <w:rPr>
                <w:rFonts w:ascii="Times" w:hAnsi="Times" w:cs="Times"/>
                <w:sz w:val="20"/>
                <w:szCs w:val="20"/>
              </w:rPr>
              <w:t>V predkladanom materiál</w:t>
            </w:r>
            <w:r>
              <w:rPr>
                <w:rFonts w:ascii="Times" w:hAnsi="Times" w:cs="Times"/>
                <w:sz w:val="20"/>
                <w:szCs w:val="20"/>
              </w:rPr>
              <w:t>i</w:t>
            </w:r>
            <w:r w:rsidRPr="00FA73D9">
              <w:rPr>
                <w:rFonts w:ascii="Times" w:hAnsi="Times" w:cs="Times"/>
                <w:sz w:val="20"/>
                <w:szCs w:val="20"/>
              </w:rPr>
              <w:t xml:space="preserve"> prevažujú pozitívne vplyvy na podnikateľské prostredie. </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t>  11.  Kontakt na spracovateľa</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Pr="00FA73D9" w:rsidRDefault="00286570" w:rsidP="00A14978">
            <w:pPr>
              <w:pStyle w:val="Normlnywebov"/>
              <w:rPr>
                <w:rFonts w:ascii="Times" w:hAnsi="Times" w:cs="Times"/>
                <w:sz w:val="20"/>
                <w:szCs w:val="20"/>
              </w:rPr>
            </w:pPr>
            <w:r w:rsidRPr="00FA73D9">
              <w:rPr>
                <w:rFonts w:ascii="Times" w:hAnsi="Times" w:cs="Times"/>
                <w:sz w:val="20"/>
                <w:szCs w:val="20"/>
              </w:rPr>
              <w:t>Ministerstvo vnútra Slovenskej republiky</w:t>
            </w:r>
          </w:p>
          <w:p w:rsidR="00286570" w:rsidRPr="00FA73D9" w:rsidRDefault="00286570" w:rsidP="00A14978">
            <w:pPr>
              <w:pStyle w:val="Normlnywebov"/>
              <w:rPr>
                <w:rFonts w:ascii="Times" w:hAnsi="Times" w:cs="Times"/>
                <w:sz w:val="20"/>
                <w:szCs w:val="20"/>
              </w:rPr>
            </w:pPr>
            <w:r w:rsidRPr="00FA73D9">
              <w:rPr>
                <w:rFonts w:ascii="Times" w:hAnsi="Times" w:cs="Times"/>
                <w:sz w:val="20"/>
                <w:szCs w:val="20"/>
              </w:rPr>
              <w:t>Prezídium Policajného zboru</w:t>
            </w:r>
          </w:p>
          <w:p w:rsidR="00286570" w:rsidRPr="00FA73D9" w:rsidRDefault="00286570" w:rsidP="00A14978">
            <w:pPr>
              <w:pStyle w:val="Normlnywebov"/>
              <w:rPr>
                <w:rFonts w:ascii="Times" w:hAnsi="Times" w:cs="Times"/>
                <w:sz w:val="20"/>
                <w:szCs w:val="20"/>
              </w:rPr>
            </w:pPr>
            <w:r w:rsidRPr="00FA73D9">
              <w:rPr>
                <w:rFonts w:ascii="Times" w:hAnsi="Times" w:cs="Times"/>
                <w:sz w:val="20"/>
                <w:szCs w:val="20"/>
              </w:rPr>
              <w:t>pplk. JUDr. Peter Schmidt</w:t>
            </w:r>
          </w:p>
          <w:p w:rsidR="00286570" w:rsidRDefault="00286570" w:rsidP="00A14978">
            <w:pPr>
              <w:rPr>
                <w:rFonts w:ascii="Times" w:hAnsi="Times" w:cs="Times"/>
                <w:sz w:val="20"/>
                <w:szCs w:val="20"/>
              </w:rPr>
            </w:pPr>
            <w:r>
              <w:rPr>
                <w:rStyle w:val="Zvraznenie"/>
                <w:rFonts w:ascii="Times" w:hAnsi="Times" w:cs="Times"/>
              </w:rPr>
              <w:lastRenderedPageBreak/>
              <w:t>peter.schmidt1@minv.sk</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b/>
                <w:bCs/>
              </w:rPr>
            </w:pPr>
            <w:r>
              <w:rPr>
                <w:rFonts w:ascii="Times" w:hAnsi="Times" w:cs="Times"/>
                <w:b/>
                <w:bCs/>
              </w:rPr>
              <w:lastRenderedPageBreak/>
              <w:t>  12.  Zdroje</w:t>
            </w:r>
          </w:p>
        </w:tc>
      </w:tr>
      <w:tr w:rsidR="00286570" w:rsidTr="00A1497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Pr="00FA73D9" w:rsidRDefault="00286570" w:rsidP="00A14978">
            <w:pPr>
              <w:pStyle w:val="Normlnywebov"/>
              <w:rPr>
                <w:rFonts w:ascii="Times" w:hAnsi="Times" w:cs="Times"/>
                <w:sz w:val="20"/>
                <w:szCs w:val="20"/>
              </w:rPr>
            </w:pPr>
            <w:r w:rsidRPr="00FA73D9">
              <w:rPr>
                <w:rFonts w:ascii="Times" w:hAnsi="Times" w:cs="Times"/>
                <w:sz w:val="20"/>
                <w:szCs w:val="20"/>
              </w:rPr>
              <w:t>Informačné systémy MV SR.</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rPr>
            </w:pPr>
            <w:r>
              <w:rPr>
                <w:rFonts w:ascii="Times" w:hAnsi="Times" w:cs="Times"/>
                <w:b/>
                <w:bCs/>
              </w:rPr>
              <w:t>  13.  Stanovisko Komisie na posudzovanie vybraných vplyvov z PPK</w:t>
            </w:r>
            <w:r>
              <w:rPr>
                <w:rFonts w:ascii="Times" w:hAnsi="Times" w:cs="Times"/>
              </w:rPr>
              <w:br/>
              <w:t>         (v prípade, ak sa uskutočnilo v zmysle bodu 8.1 Jednotnej metodiky)</w:t>
            </w:r>
          </w:p>
        </w:tc>
      </w:tr>
      <w:tr w:rsidR="00286570" w:rsidTr="00A14978">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spacing w:after="24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Súhlasné                    </w:t>
            </w:r>
            <w:r>
              <w:rPr>
                <w:rFonts w:ascii="Wingdings 2" w:hAnsi="Wingdings 2" w:cs="Times"/>
                <w:sz w:val="28"/>
                <w:szCs w:val="28"/>
              </w:rPr>
              <w:t></w:t>
            </w:r>
            <w:r>
              <w:rPr>
                <w:rFonts w:ascii="Times" w:hAnsi="Times" w:cs="Times"/>
                <w:sz w:val="20"/>
                <w:szCs w:val="20"/>
              </w:rPr>
              <w:t xml:space="preserve">    Súhlasné s návrhom na dopracovanie                     </w:t>
            </w:r>
            <w:r>
              <w:rPr>
                <w:rFonts w:ascii="Wingdings 2" w:hAnsi="Wingdings 2" w:cs="Times"/>
                <w:sz w:val="28"/>
                <w:szCs w:val="28"/>
              </w:rPr>
              <w:t></w:t>
            </w:r>
            <w:r>
              <w:rPr>
                <w:rFonts w:ascii="Times" w:hAnsi="Times" w:cs="Times"/>
                <w:sz w:val="20"/>
                <w:szCs w:val="20"/>
              </w:rPr>
              <w:t xml:space="preserve">     Nesúhlasné</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1. K doložke vybraných vplyvov</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Komisia žiada predkladateľa o uvedenie povinných informácií v bode 5. Alternatívne riešenia Doložky vybraných vplyvov v súlade s minimálnymi obsahovými požiadavkami (vrátane nulového variantu) pre tento bod v súlade s Jednotnou metodikou na posudzovanie vybraných vplyvov.</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Komisia žiada predkladateľa o vyčíslenie počtu podnikateľských subjektov, vrátane MSP, ktoré budú dotknuté či ovplyvnené predkladaným materiálom, v bode 4. Dotknuté subjekty Doložky vybraných vplyvov.</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 xml:space="preserve">2. K vplyvom na podnikateľské prostredie </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 xml:space="preserve">Komisia žiada predkladateľa o vyznačenie aj negatívnych vplyvov materiálu v Doložke vybraných vplyvov, spočívajúcich v zavedení evidencie osôb poverených výkonom technickej služby. </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 xml:space="preserve">Komisia odporúča predkladateľovi priložiť Kalkulačku nákladov, o čom bol predkladateľ informovaný v rámci telef. konzultácií k materiálu. </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Komisia žiada predkladateľa o vyčíslenie nákladov a úspor regulácie na celé  podnikateľské prostredie v časti 3.1 Náklady regulácie Analýzy vplyvov na podnikateľské prostredie a ich uvedenie v súhrnnej tabuľke v časti 3.1.1 Súhrnná tabuľka nákladov regulácie Analýzy vplyvov na podnikateľské prostredie, vzhľadom na avizovaný a v materiáloch vyznačený vplyv regulácie na podnikateľské prostredie, vrátane MSP.   </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 xml:space="preserve">3. K vplyvom na informatizáciu spoločnosti </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 xml:space="preserve">Komisia nesúhlasí s tým, že predmetný návrh zákona nemá vplav na informatizáciu spoločnosti. V súvislosti s elektronizáciou skúšok, ako sám predkladateľ uvádza v sprievodných materiáloch, príde k úprave informačného systému a zavedeniu novej evidencie. Oboje predstavuje vplyv na informatizáciu spoločnosti a má aj finančný vplyv, keďže budú vynaložené finančné prostriedky, aj keď v rámci schválených limitov. </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4. K vplyvom na procesy služieb vo verejnej správe</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 xml:space="preserve">Komisia nesúhlasí s vyznačením žiadneho vplyvu na procesy služieb vo verejnej správe v doložke vybraných vplyvov. </w:t>
            </w:r>
          </w:p>
          <w:p w:rsidR="00AD5E00" w:rsidRDefault="00AD5E00" w:rsidP="00A14978">
            <w:pPr>
              <w:pStyle w:val="Normlnywebov"/>
              <w:jc w:val="both"/>
              <w:rPr>
                <w:rStyle w:val="Zvraznenie"/>
                <w:rFonts w:ascii="Times" w:hAnsi="Times" w:cs="Times"/>
              </w:rPr>
            </w:pP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V rámci predkladaného materiálu sa plánuje zavedenie možnosti odovzdania neplatných preukazov nielen priamo na MV SR, ale aj na KR PZ. Táto skutočnosť znamená zavedenie nového procesu v rámci KR PZ. Podľa názoru Komisie to bude mať vplyv minimálne v nasledovnom rozsahu: prevzatie, vystavenie potvrdenia o prijatí/odovzdaní a evidencia v informačnom systéme. Rovnako bude potrebné zaviesť nové právomoci KR PZ pre výkon procesu a potreba vyčlenenia pracovníkov KR PZ na výkon procesu + náklady s tým súvisiace ( napr. informačný systém, školenia, atď.). Túto skutočnosť Komisia navrhuje premietnuť aj do Analýzy vplyvov na služby verejnej správy pre občana.</w:t>
            </w:r>
          </w:p>
          <w:p w:rsidR="00286570" w:rsidRPr="00FA73D9" w:rsidRDefault="00286570" w:rsidP="00A14978">
            <w:pPr>
              <w:pStyle w:val="Normlnywebov"/>
              <w:jc w:val="both"/>
              <w:rPr>
                <w:rFonts w:ascii="Times" w:hAnsi="Times" w:cs="Times"/>
                <w:sz w:val="20"/>
                <w:szCs w:val="20"/>
              </w:rPr>
            </w:pPr>
            <w:r w:rsidRPr="00FA73D9">
              <w:rPr>
                <w:rFonts w:ascii="Times" w:hAnsi="Times" w:cs="Times"/>
                <w:sz w:val="20"/>
                <w:szCs w:val="20"/>
              </w:rPr>
              <w:t> </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Vyhodnotenie pripomienok:</w:t>
            </w:r>
          </w:p>
          <w:p w:rsidR="00286570" w:rsidRPr="00FA73D9" w:rsidRDefault="00286570" w:rsidP="00A14978">
            <w:pPr>
              <w:pStyle w:val="Normlnywebov"/>
              <w:jc w:val="both"/>
              <w:rPr>
                <w:rFonts w:ascii="Times" w:hAnsi="Times" w:cs="Times"/>
                <w:sz w:val="20"/>
                <w:szCs w:val="20"/>
              </w:rPr>
            </w:pPr>
            <w:r w:rsidRPr="00FA73D9">
              <w:rPr>
                <w:rStyle w:val="Zvraznenie"/>
                <w:rFonts w:ascii="Times" w:hAnsi="Times" w:cs="Times"/>
              </w:rPr>
              <w:t>Predkladateľ zapracoval pripomienky do predkladaného materiálu.</w:t>
            </w:r>
          </w:p>
        </w:tc>
      </w:tr>
      <w:tr w:rsidR="00286570" w:rsidTr="00A1497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86570" w:rsidRDefault="00286570" w:rsidP="00A14978">
            <w:pPr>
              <w:rPr>
                <w:rFonts w:ascii="Times" w:hAnsi="Times" w:cs="Times"/>
              </w:rPr>
            </w:pPr>
            <w:r>
              <w:rPr>
                <w:rFonts w:ascii="Times" w:hAnsi="Times" w:cs="Times"/>
                <w:b/>
                <w:bCs/>
              </w:rPr>
              <w:lastRenderedPageBreak/>
              <w:t>  14.  Stanovisko Komisie na posudzovanie vybraných vplyvov zo záverečného posúdenia</w:t>
            </w:r>
            <w:r>
              <w:rPr>
                <w:rFonts w:ascii="Times" w:hAnsi="Times" w:cs="Times"/>
              </w:rPr>
              <w:br/>
              <w:t>         (v prípade, ak sa uskutočnilo v zmysle bodu 9.1. Jednotnej metodiky)</w:t>
            </w:r>
          </w:p>
        </w:tc>
      </w:tr>
      <w:tr w:rsidR="00286570" w:rsidTr="00A14978">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286570" w:rsidRDefault="00286570" w:rsidP="00A14978">
            <w:pPr>
              <w:spacing w:after="24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Súhlasné                    </w:t>
            </w:r>
            <w:r>
              <w:rPr>
                <w:rFonts w:ascii="Wingdings 2" w:hAnsi="Wingdings 2" w:cs="Times"/>
                <w:sz w:val="28"/>
                <w:szCs w:val="28"/>
              </w:rPr>
              <w:t></w:t>
            </w:r>
            <w:r>
              <w:rPr>
                <w:rFonts w:ascii="Times" w:hAnsi="Times" w:cs="Times"/>
                <w:sz w:val="20"/>
                <w:szCs w:val="20"/>
              </w:rPr>
              <w:t xml:space="preserve">    Súhlasné s návrhom na dopracovanie                     </w:t>
            </w:r>
            <w:r>
              <w:rPr>
                <w:rFonts w:ascii="Wingdings 2" w:hAnsi="Wingdings 2" w:cs="Times"/>
                <w:sz w:val="28"/>
                <w:szCs w:val="28"/>
              </w:rPr>
              <w:t></w:t>
            </w:r>
            <w:r>
              <w:rPr>
                <w:rFonts w:ascii="Times" w:hAnsi="Times" w:cs="Times"/>
                <w:sz w:val="20"/>
                <w:szCs w:val="20"/>
              </w:rPr>
              <w:t xml:space="preserve">     Nesúhlasné</w:t>
            </w:r>
          </w:p>
        </w:tc>
      </w:tr>
    </w:tbl>
    <w:p w:rsidR="00286570" w:rsidRDefault="00286570" w:rsidP="00286570">
      <w:pPr>
        <w:pStyle w:val="Normlnywebov"/>
        <w:spacing w:before="0" w:beforeAutospacing="0" w:after="0" w:afterAutospacing="0"/>
        <w:rPr>
          <w:bCs/>
          <w:sz w:val="20"/>
          <w:szCs w:val="20"/>
        </w:rPr>
      </w:pPr>
    </w:p>
    <w:p w:rsidR="00286570" w:rsidRDefault="00286570" w:rsidP="00286570">
      <w:pPr>
        <w:pStyle w:val="Normlnywebov"/>
        <w:spacing w:before="0" w:beforeAutospacing="0" w:after="0" w:afterAutospacing="0"/>
        <w:rPr>
          <w:bCs/>
          <w:sz w:val="20"/>
          <w:szCs w:val="20"/>
        </w:rPr>
      </w:pPr>
    </w:p>
    <w:p w:rsidR="00286570" w:rsidRDefault="00286570" w:rsidP="00286570">
      <w:pPr>
        <w:pStyle w:val="Normlnywebov"/>
        <w:spacing w:before="0" w:beforeAutospacing="0" w:after="0" w:afterAutospacing="0"/>
        <w:rPr>
          <w:bCs/>
          <w:sz w:val="20"/>
          <w:szCs w:val="20"/>
        </w:rPr>
      </w:pPr>
    </w:p>
    <w:p w:rsidR="00286570" w:rsidRDefault="00286570" w:rsidP="00286570">
      <w:pPr>
        <w:pStyle w:val="Normlnywebov"/>
        <w:spacing w:before="0" w:beforeAutospacing="0" w:after="0" w:afterAutospacing="0"/>
        <w:rPr>
          <w:bCs/>
          <w:sz w:val="20"/>
          <w:szCs w:val="20"/>
        </w:rPr>
      </w:pPr>
    </w:p>
    <w:p w:rsidR="00286570" w:rsidRPr="00AD5E00" w:rsidRDefault="00286570" w:rsidP="00286570">
      <w:pPr>
        <w:jc w:val="center"/>
        <w:rPr>
          <w:rFonts w:ascii="Times New Roman" w:eastAsia="Calibri" w:hAnsi="Times New Roman" w:cs="Times New Roman"/>
          <w:b/>
          <w:sz w:val="28"/>
          <w:szCs w:val="28"/>
        </w:rPr>
      </w:pPr>
      <w:r w:rsidRPr="00AD5E00">
        <w:rPr>
          <w:rFonts w:ascii="Times New Roman" w:eastAsia="Calibri" w:hAnsi="Times New Roman" w:cs="Times New Roman"/>
          <w:b/>
          <w:sz w:val="28"/>
          <w:szCs w:val="28"/>
        </w:rPr>
        <w:t>Analýza vplyvov na podnikateľské prostredie</w:t>
      </w:r>
    </w:p>
    <w:p w:rsidR="00286570" w:rsidRPr="00AD5E00" w:rsidRDefault="00286570" w:rsidP="00286570">
      <w:pPr>
        <w:jc w:val="both"/>
        <w:rPr>
          <w:rFonts w:ascii="Times New Roman" w:eastAsia="Calibri" w:hAnsi="Times New Roman" w:cs="Times New Roman"/>
          <w:b/>
        </w:rPr>
      </w:pP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b/>
        </w:rPr>
        <w:t xml:space="preserve">Názov materiálu: </w:t>
      </w:r>
      <w:r w:rsidRPr="00AD5E00">
        <w:rPr>
          <w:rFonts w:ascii="Times New Roman" w:eastAsia="Calibri" w:hAnsi="Times New Roman" w:cs="Times New Roman"/>
        </w:rPr>
        <w:t>Návrh zákona ktorým sa mení a dopĺňa zákon č. 473/2005 Z. z. o poskytovaní služieb v oblasti súkromnej bezpečnosti a o zmene a doplnení niektorých zákonov (zákon o súkromnej bezpečnosti) v znení neskorších predpisov</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b/>
        </w:rPr>
        <w:t xml:space="preserve">Predkladateľ: </w:t>
      </w:r>
      <w:r w:rsidRPr="00AD5E00">
        <w:rPr>
          <w:rFonts w:ascii="Times New Roman" w:eastAsia="Calibri" w:hAnsi="Times New Roman" w:cs="Times New Roman"/>
        </w:rPr>
        <w:t>Ministerstvo vnútra Slovenskej republiky</w:t>
      </w:r>
    </w:p>
    <w:p w:rsidR="00286570" w:rsidRPr="00AD5E00" w:rsidRDefault="00286570" w:rsidP="00286570">
      <w:pPr>
        <w:jc w:val="both"/>
        <w:rPr>
          <w:rFonts w:ascii="Times New Roman" w:eastAsia="Calibri" w:hAnsi="Times New Roman" w:cs="Times New Roman"/>
          <w:b/>
        </w:rPr>
      </w:pPr>
      <w:r w:rsidRPr="00AD5E00">
        <w:rPr>
          <w:rFonts w:ascii="Times New Roman" w:eastAsia="Calibri" w:hAnsi="Times New Roman" w:cs="Times New Roman"/>
          <w:b/>
        </w:rPr>
        <w:t>3.1 Náklady regulácie</w:t>
      </w:r>
    </w:p>
    <w:p w:rsidR="00286570" w:rsidRPr="00AD5E00" w:rsidRDefault="00286570" w:rsidP="00286570">
      <w:pPr>
        <w:tabs>
          <w:tab w:val="left" w:pos="8025"/>
        </w:tabs>
        <w:rPr>
          <w:rFonts w:ascii="Times New Roman" w:eastAsia="Calibri" w:hAnsi="Times New Roman" w:cs="Times New Roman"/>
          <w:bCs/>
          <w:i/>
          <w:iCs/>
        </w:rPr>
      </w:pPr>
      <w:r w:rsidRPr="00AD5E00">
        <w:rPr>
          <w:rFonts w:ascii="Times New Roman" w:eastAsia="Calibri" w:hAnsi="Times New Roman" w:cs="Times New Roman"/>
          <w:b/>
          <w:i/>
          <w:iCs/>
        </w:rPr>
        <w:t xml:space="preserve">3.1.1 Súhrnná tabuľka nákladov regulácie </w:t>
      </w:r>
      <w:r w:rsidRPr="00AD5E00">
        <w:rPr>
          <w:rFonts w:ascii="Times New Roman" w:eastAsia="Calibri" w:hAnsi="Times New Roman" w:cs="Times New Roman"/>
          <w:b/>
          <w:i/>
          <w:iCs/>
        </w:rPr>
        <w:tab/>
      </w:r>
    </w:p>
    <w:p w:rsidR="00286570" w:rsidRPr="00AD5E00" w:rsidRDefault="00286570" w:rsidP="00286570">
      <w:pPr>
        <w:jc w:val="both"/>
        <w:rPr>
          <w:rFonts w:ascii="Times New Roman" w:eastAsia="Calibri" w:hAnsi="Times New Roman" w:cs="Times New Roman"/>
          <w:b/>
        </w:rPr>
      </w:pPr>
    </w:p>
    <w:p w:rsidR="00286570" w:rsidRPr="00AD5E00" w:rsidRDefault="00286570" w:rsidP="00286570">
      <w:pPr>
        <w:jc w:val="both"/>
        <w:rPr>
          <w:rFonts w:ascii="Times New Roman" w:eastAsia="Calibri" w:hAnsi="Times New Roman" w:cs="Times New Roman"/>
          <w:i/>
        </w:rPr>
      </w:pPr>
      <w:r w:rsidRPr="00AD5E00">
        <w:rPr>
          <w:rFonts w:ascii="Times New Roman" w:eastAsia="Calibri" w:hAnsi="Times New Roman" w:cs="Times New Roman"/>
          <w:i/>
        </w:rPr>
        <w:t xml:space="preserve">Tabuľka č. 1: Zmeny nákladov (ročne) v prepočte na podnikateľské prostredie (PP), vyhodnotenie mechanizmu znižovania byrokracie a nákladov. </w:t>
      </w:r>
    </w:p>
    <w:p w:rsidR="00286570" w:rsidRPr="00AD5E00" w:rsidRDefault="00286570" w:rsidP="00286570">
      <w:pPr>
        <w:jc w:val="both"/>
        <w:rPr>
          <w:rFonts w:ascii="Times New Roman" w:eastAsia="Calibri" w:hAnsi="Times New Roman" w:cs="Times New Roman"/>
          <w:i/>
        </w:rPr>
      </w:pPr>
      <w:r w:rsidRPr="00AD5E00">
        <w:rPr>
          <w:rFonts w:ascii="Times New Roman" w:eastAsia="Calibri" w:hAnsi="Times New Roman" w:cs="Times New Roman"/>
          <w:i/>
        </w:rPr>
        <w:t xml:space="preserve">Nahraďte rovnakou tabuľkou po vyplnení Kalkulačky nákladov podnikateľského prostredia, ktorá je povinnou prílohou tejto analýzy a nájdete ju na </w:t>
      </w:r>
      <w:hyperlink r:id="rId9" w:history="1">
        <w:r w:rsidRPr="00AD5E00">
          <w:rPr>
            <w:rFonts w:ascii="Times New Roman" w:eastAsia="Calibri" w:hAnsi="Times New Roman" w:cs="Times New Roman"/>
            <w:i/>
            <w:color w:val="0563C1"/>
            <w:u w:val="single"/>
          </w:rPr>
          <w:t>webovom sídle MH SR</w:t>
        </w:r>
      </w:hyperlink>
      <w:r w:rsidRPr="00AD5E00">
        <w:rPr>
          <w:rFonts w:ascii="Times New Roman" w:eastAsia="Calibri" w:hAnsi="Times New Roman" w:cs="Times New Roman"/>
          <w:i/>
        </w:rPr>
        <w:t>, (ďalej len „Kalkulačka nákladov“):</w:t>
      </w:r>
    </w:p>
    <w:tbl>
      <w:tblPr>
        <w:tblW w:w="14216" w:type="dxa"/>
        <w:tblInd w:w="70" w:type="dxa"/>
        <w:tblCellMar>
          <w:left w:w="70" w:type="dxa"/>
          <w:right w:w="70" w:type="dxa"/>
        </w:tblCellMar>
        <w:tblLook w:val="04A0" w:firstRow="1" w:lastRow="0" w:firstColumn="1" w:lastColumn="0" w:noHBand="0" w:noVBand="1"/>
      </w:tblPr>
      <w:tblGrid>
        <w:gridCol w:w="908"/>
        <w:gridCol w:w="3788"/>
        <w:gridCol w:w="1588"/>
        <w:gridCol w:w="1068"/>
        <w:gridCol w:w="1368"/>
        <w:gridCol w:w="1008"/>
        <w:gridCol w:w="4488"/>
      </w:tblGrid>
      <w:tr w:rsidR="00286570" w:rsidRPr="00A27A29" w:rsidTr="00A14978">
        <w:trPr>
          <w:trHeight w:val="27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nil"/>
              <w:bottom w:val="nil"/>
              <w:right w:val="nil"/>
            </w:tcBorders>
            <w:shd w:val="clear" w:color="auto" w:fill="auto"/>
            <w:noWrap/>
            <w:vAlign w:val="bottom"/>
            <w:hideMark/>
          </w:tcPr>
          <w:p w:rsidR="00286570" w:rsidRDefault="00286570" w:rsidP="00A14978">
            <w:pPr>
              <w:rPr>
                <w:color w:val="000000"/>
                <w:sz w:val="20"/>
                <w:szCs w:val="20"/>
              </w:rPr>
            </w:pPr>
          </w:p>
          <w:p w:rsidR="00AD5E00" w:rsidRPr="00A27A29" w:rsidRDefault="00AD5E00" w:rsidP="00A14978">
            <w:pPr>
              <w:rPr>
                <w:color w:val="000000"/>
                <w:sz w:val="20"/>
                <w:szCs w:val="20"/>
              </w:rPr>
            </w:pPr>
          </w:p>
        </w:tc>
        <w:tc>
          <w:tcPr>
            <w:tcW w:w="15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106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136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1008" w:type="dxa"/>
            <w:tcBorders>
              <w:top w:val="nil"/>
              <w:left w:val="nil"/>
              <w:bottom w:val="nil"/>
              <w:right w:val="nil"/>
            </w:tcBorders>
            <w:shd w:val="clear" w:color="auto" w:fill="auto"/>
            <w:noWrap/>
            <w:vAlign w:val="bottom"/>
            <w:hideMark/>
          </w:tcPr>
          <w:p w:rsidR="00286570" w:rsidRPr="00A27A29" w:rsidRDefault="00286570" w:rsidP="00A14978">
            <w:pPr>
              <w:jc w:val="center"/>
              <w:rPr>
                <w:color w:val="000000"/>
                <w:sz w:val="20"/>
                <w:szCs w:val="20"/>
              </w:rPr>
            </w:pP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51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86570" w:rsidRPr="00A27A29" w:rsidRDefault="00286570" w:rsidP="00A14978">
            <w:pPr>
              <w:jc w:val="center"/>
              <w:rPr>
                <w:b/>
                <w:bCs/>
                <w:i/>
                <w:iCs/>
                <w:color w:val="000000"/>
                <w:sz w:val="20"/>
                <w:szCs w:val="20"/>
              </w:rPr>
            </w:pPr>
            <w:r w:rsidRPr="00A27A29">
              <w:rPr>
                <w:b/>
                <w:bCs/>
                <w:i/>
                <w:iCs/>
                <w:color w:val="000000"/>
                <w:sz w:val="20"/>
                <w:szCs w:val="20"/>
              </w:rPr>
              <w:t>TYP NÁKLADOV</w:t>
            </w:r>
          </w:p>
        </w:tc>
        <w:tc>
          <w:tcPr>
            <w:tcW w:w="2656" w:type="dxa"/>
            <w:gridSpan w:val="2"/>
            <w:tcBorders>
              <w:top w:val="single" w:sz="8" w:space="0" w:color="auto"/>
              <w:left w:val="nil"/>
              <w:bottom w:val="single" w:sz="4"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Zvýšenie nákladov v € na PP</w:t>
            </w:r>
          </w:p>
        </w:tc>
        <w:tc>
          <w:tcPr>
            <w:tcW w:w="2376" w:type="dxa"/>
            <w:gridSpan w:val="2"/>
            <w:tcBorders>
              <w:top w:val="single" w:sz="8" w:space="0" w:color="auto"/>
              <w:left w:val="nil"/>
              <w:bottom w:val="single" w:sz="4"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Zníženie nákladov v € na PP</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66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single" w:sz="8" w:space="0" w:color="auto"/>
              <w:bottom w:val="single" w:sz="4" w:space="0" w:color="auto"/>
              <w:right w:val="single" w:sz="4" w:space="0" w:color="auto"/>
            </w:tcBorders>
            <w:shd w:val="clear" w:color="auto" w:fill="auto"/>
            <w:vAlign w:val="center"/>
            <w:hideMark/>
          </w:tcPr>
          <w:p w:rsidR="00286570" w:rsidRPr="00A27A29" w:rsidRDefault="00286570" w:rsidP="00A14978">
            <w:pPr>
              <w:rPr>
                <w:b/>
                <w:bCs/>
                <w:i/>
                <w:iCs/>
                <w:color w:val="000000"/>
                <w:sz w:val="20"/>
                <w:szCs w:val="20"/>
              </w:rPr>
            </w:pPr>
            <w:r w:rsidRPr="00A27A29">
              <w:rPr>
                <w:b/>
                <w:bCs/>
                <w:i/>
                <w:iCs/>
                <w:color w:val="000000"/>
                <w:sz w:val="20"/>
                <w:szCs w:val="20"/>
              </w:rPr>
              <w:t>A.Dane, odvody, clá a poplatky, ktorých cieľom je znižovať negatívne externality</w:t>
            </w:r>
          </w:p>
        </w:tc>
        <w:tc>
          <w:tcPr>
            <w:tcW w:w="2656" w:type="dxa"/>
            <w:gridSpan w:val="2"/>
            <w:tcBorders>
              <w:top w:val="single" w:sz="4" w:space="0" w:color="auto"/>
              <w:left w:val="nil"/>
              <w:bottom w:val="single" w:sz="4"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0,00</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0,00</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30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single" w:sz="8" w:space="0" w:color="auto"/>
              <w:bottom w:val="single" w:sz="4" w:space="0" w:color="auto"/>
              <w:right w:val="single" w:sz="4" w:space="0" w:color="auto"/>
            </w:tcBorders>
            <w:shd w:val="clear" w:color="auto" w:fill="auto"/>
            <w:vAlign w:val="center"/>
            <w:hideMark/>
          </w:tcPr>
          <w:p w:rsidR="00286570" w:rsidRPr="00A27A29" w:rsidRDefault="00286570" w:rsidP="00A14978">
            <w:pPr>
              <w:rPr>
                <w:b/>
                <w:bCs/>
                <w:i/>
                <w:iCs/>
                <w:color w:val="000000"/>
                <w:sz w:val="20"/>
                <w:szCs w:val="20"/>
              </w:rPr>
            </w:pPr>
            <w:r w:rsidRPr="00A27A29">
              <w:rPr>
                <w:b/>
                <w:bCs/>
                <w:i/>
                <w:iCs/>
                <w:color w:val="000000"/>
                <w:sz w:val="20"/>
                <w:szCs w:val="20"/>
              </w:rPr>
              <w:t>B. Iné poplatky</w:t>
            </w:r>
          </w:p>
        </w:tc>
        <w:tc>
          <w:tcPr>
            <w:tcW w:w="2656" w:type="dxa"/>
            <w:gridSpan w:val="2"/>
            <w:tcBorders>
              <w:top w:val="single" w:sz="4" w:space="0" w:color="auto"/>
              <w:left w:val="nil"/>
              <w:bottom w:val="single" w:sz="4"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0,00</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0,00</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30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single" w:sz="8" w:space="0" w:color="auto"/>
              <w:bottom w:val="single" w:sz="4" w:space="0" w:color="auto"/>
              <w:right w:val="single" w:sz="4" w:space="0" w:color="auto"/>
            </w:tcBorders>
            <w:shd w:val="clear" w:color="auto" w:fill="auto"/>
            <w:vAlign w:val="center"/>
            <w:hideMark/>
          </w:tcPr>
          <w:p w:rsidR="00286570" w:rsidRPr="00A27A29" w:rsidRDefault="00286570" w:rsidP="00A14978">
            <w:pPr>
              <w:rPr>
                <w:b/>
                <w:bCs/>
                <w:i/>
                <w:iCs/>
                <w:color w:val="000000"/>
                <w:sz w:val="20"/>
                <w:szCs w:val="20"/>
              </w:rPr>
            </w:pPr>
            <w:r w:rsidRPr="00A27A29">
              <w:rPr>
                <w:b/>
                <w:bCs/>
                <w:i/>
                <w:iCs/>
                <w:color w:val="000000"/>
                <w:sz w:val="20"/>
                <w:szCs w:val="20"/>
              </w:rPr>
              <w:t>C. Nepriame finančné náklady</w:t>
            </w:r>
          </w:p>
        </w:tc>
        <w:tc>
          <w:tcPr>
            <w:tcW w:w="2656" w:type="dxa"/>
            <w:gridSpan w:val="2"/>
            <w:tcBorders>
              <w:top w:val="single" w:sz="4" w:space="0" w:color="auto"/>
              <w:left w:val="nil"/>
              <w:bottom w:val="single" w:sz="4"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3 145,00</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91 828,50</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30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single" w:sz="8" w:space="0" w:color="auto"/>
              <w:bottom w:val="single" w:sz="4" w:space="0" w:color="auto"/>
              <w:right w:val="single" w:sz="4" w:space="0" w:color="auto"/>
            </w:tcBorders>
            <w:shd w:val="clear" w:color="auto" w:fill="auto"/>
            <w:vAlign w:val="center"/>
            <w:hideMark/>
          </w:tcPr>
          <w:p w:rsidR="00286570" w:rsidRPr="00A27A29" w:rsidRDefault="00286570" w:rsidP="00A14978">
            <w:pPr>
              <w:rPr>
                <w:b/>
                <w:bCs/>
                <w:i/>
                <w:iCs/>
                <w:color w:val="000000"/>
                <w:sz w:val="20"/>
                <w:szCs w:val="20"/>
              </w:rPr>
            </w:pPr>
            <w:r w:rsidRPr="00A27A29">
              <w:rPr>
                <w:b/>
                <w:bCs/>
                <w:i/>
                <w:iCs/>
                <w:color w:val="000000"/>
                <w:sz w:val="20"/>
                <w:szCs w:val="20"/>
              </w:rPr>
              <w:t>D. Administratívne náklady</w:t>
            </w:r>
          </w:p>
        </w:tc>
        <w:tc>
          <w:tcPr>
            <w:tcW w:w="2656" w:type="dxa"/>
            <w:gridSpan w:val="2"/>
            <w:tcBorders>
              <w:top w:val="single" w:sz="4" w:space="0" w:color="auto"/>
              <w:left w:val="nil"/>
              <w:bottom w:val="single" w:sz="4"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3 010,94</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14 851,28</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30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single" w:sz="8" w:space="0" w:color="auto"/>
              <w:bottom w:val="single" w:sz="4" w:space="0" w:color="auto"/>
              <w:right w:val="single" w:sz="4" w:space="0" w:color="auto"/>
            </w:tcBorders>
            <w:shd w:val="clear" w:color="auto" w:fill="auto"/>
            <w:vAlign w:val="center"/>
            <w:hideMark/>
          </w:tcPr>
          <w:p w:rsidR="00286570" w:rsidRPr="00A27A29" w:rsidRDefault="00286570" w:rsidP="00A14978">
            <w:pPr>
              <w:rPr>
                <w:b/>
                <w:bCs/>
                <w:i/>
                <w:iCs/>
                <w:color w:val="000000"/>
                <w:sz w:val="20"/>
                <w:szCs w:val="20"/>
              </w:rPr>
            </w:pPr>
            <w:r w:rsidRPr="00A27A29">
              <w:rPr>
                <w:b/>
                <w:bCs/>
                <w:i/>
                <w:iCs/>
                <w:color w:val="000000"/>
                <w:sz w:val="20"/>
                <w:szCs w:val="20"/>
              </w:rPr>
              <w:t>Spolu = A+B+C+D</w:t>
            </w:r>
          </w:p>
        </w:tc>
        <w:tc>
          <w:tcPr>
            <w:tcW w:w="2656" w:type="dxa"/>
            <w:gridSpan w:val="2"/>
            <w:tcBorders>
              <w:top w:val="single" w:sz="4" w:space="0" w:color="auto"/>
              <w:left w:val="nil"/>
              <w:bottom w:val="single" w:sz="4"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6 155,94</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106 679,78</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30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single" w:sz="8" w:space="0" w:color="auto"/>
              <w:bottom w:val="single" w:sz="4" w:space="0" w:color="auto"/>
              <w:right w:val="single" w:sz="4" w:space="0" w:color="auto"/>
            </w:tcBorders>
            <w:shd w:val="clear" w:color="auto" w:fill="auto"/>
            <w:vAlign w:val="center"/>
            <w:hideMark/>
          </w:tcPr>
          <w:p w:rsidR="00286570" w:rsidRPr="00A27A29" w:rsidRDefault="00286570" w:rsidP="00A14978">
            <w:pPr>
              <w:rPr>
                <w:b/>
                <w:bCs/>
                <w:i/>
                <w:iCs/>
                <w:color w:val="000000"/>
                <w:sz w:val="20"/>
                <w:szCs w:val="20"/>
              </w:rPr>
            </w:pPr>
            <w:r w:rsidRPr="00A27A29">
              <w:rPr>
                <w:b/>
                <w:bCs/>
                <w:i/>
                <w:iCs/>
                <w:color w:val="000000"/>
                <w:sz w:val="20"/>
                <w:szCs w:val="20"/>
              </w:rPr>
              <w:t xml:space="preserve"> Z toho</w:t>
            </w:r>
          </w:p>
        </w:tc>
        <w:tc>
          <w:tcPr>
            <w:tcW w:w="2656" w:type="dxa"/>
            <w:gridSpan w:val="2"/>
            <w:tcBorders>
              <w:top w:val="single" w:sz="4" w:space="0" w:color="auto"/>
              <w:left w:val="nil"/>
              <w:bottom w:val="single" w:sz="4"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 </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 </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615"/>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single" w:sz="8" w:space="0" w:color="auto"/>
              <w:bottom w:val="single" w:sz="4" w:space="0" w:color="auto"/>
              <w:right w:val="single" w:sz="4" w:space="0" w:color="auto"/>
            </w:tcBorders>
            <w:shd w:val="clear" w:color="auto" w:fill="auto"/>
            <w:vAlign w:val="center"/>
            <w:hideMark/>
          </w:tcPr>
          <w:p w:rsidR="00286570" w:rsidRPr="00A27A29" w:rsidRDefault="00286570" w:rsidP="00A14978">
            <w:pPr>
              <w:rPr>
                <w:b/>
                <w:bCs/>
                <w:i/>
                <w:iCs/>
                <w:color w:val="000000"/>
                <w:sz w:val="20"/>
                <w:szCs w:val="20"/>
              </w:rPr>
            </w:pPr>
            <w:r w:rsidRPr="00A27A29">
              <w:rPr>
                <w:b/>
                <w:bCs/>
                <w:i/>
                <w:iCs/>
                <w:color w:val="000000"/>
                <w:sz w:val="20"/>
                <w:szCs w:val="20"/>
              </w:rPr>
              <w:t>E. Vplyv na mikro, malé a stredné podn.</w:t>
            </w:r>
          </w:p>
        </w:tc>
        <w:tc>
          <w:tcPr>
            <w:tcW w:w="2656" w:type="dxa"/>
            <w:gridSpan w:val="2"/>
            <w:tcBorders>
              <w:top w:val="single" w:sz="4" w:space="0" w:color="auto"/>
              <w:left w:val="nil"/>
              <w:bottom w:val="single" w:sz="4"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0,00</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0,00</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99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single" w:sz="8" w:space="0" w:color="auto"/>
              <w:bottom w:val="single" w:sz="8" w:space="0" w:color="auto"/>
              <w:right w:val="single" w:sz="4" w:space="0" w:color="auto"/>
            </w:tcBorders>
            <w:shd w:val="clear" w:color="auto" w:fill="auto"/>
            <w:vAlign w:val="center"/>
            <w:hideMark/>
          </w:tcPr>
          <w:p w:rsidR="00286570" w:rsidRPr="00A27A29" w:rsidRDefault="00286570" w:rsidP="00A14978">
            <w:pPr>
              <w:rPr>
                <w:b/>
                <w:bCs/>
                <w:i/>
                <w:iCs/>
                <w:color w:val="000000"/>
                <w:sz w:val="20"/>
                <w:szCs w:val="20"/>
              </w:rPr>
            </w:pPr>
            <w:r w:rsidRPr="00A27A29">
              <w:rPr>
                <w:b/>
                <w:bCs/>
                <w:i/>
                <w:iCs/>
                <w:color w:val="000000"/>
                <w:sz w:val="20"/>
                <w:szCs w:val="20"/>
              </w:rPr>
              <w:t>F. Úplná harmonizácia práva EÚ</w:t>
            </w:r>
            <w:r w:rsidRPr="00A27A29">
              <w:rPr>
                <w:b/>
                <w:bCs/>
                <w:i/>
                <w:iCs/>
                <w:color w:val="000000"/>
                <w:sz w:val="20"/>
                <w:szCs w:val="20"/>
              </w:rPr>
              <w:br/>
            </w:r>
            <w:r w:rsidRPr="00A27A29">
              <w:rPr>
                <w:i/>
                <w:iCs/>
                <w:color w:val="000000"/>
                <w:sz w:val="16"/>
                <w:szCs w:val="16"/>
              </w:rPr>
              <w:t>(okrem daní, odvodov, ciel a poplatkov, ktorých cieľom je znižovať negatívne externality)</w:t>
            </w:r>
          </w:p>
        </w:tc>
        <w:tc>
          <w:tcPr>
            <w:tcW w:w="2656" w:type="dxa"/>
            <w:gridSpan w:val="2"/>
            <w:tcBorders>
              <w:top w:val="single" w:sz="4" w:space="0" w:color="auto"/>
              <w:left w:val="nil"/>
              <w:bottom w:val="single" w:sz="8"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0,00</w:t>
            </w:r>
          </w:p>
        </w:tc>
        <w:tc>
          <w:tcPr>
            <w:tcW w:w="2376" w:type="dxa"/>
            <w:gridSpan w:val="2"/>
            <w:tcBorders>
              <w:top w:val="single" w:sz="4" w:space="0" w:color="auto"/>
              <w:left w:val="nil"/>
              <w:bottom w:val="single" w:sz="8"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0,00</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27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1588" w:type="dxa"/>
            <w:tcBorders>
              <w:top w:val="nil"/>
              <w:left w:val="nil"/>
              <w:bottom w:val="nil"/>
              <w:right w:val="nil"/>
            </w:tcBorders>
            <w:shd w:val="clear" w:color="auto" w:fill="auto"/>
            <w:vAlign w:val="center"/>
            <w:hideMark/>
          </w:tcPr>
          <w:p w:rsidR="00286570" w:rsidRPr="00A27A29" w:rsidRDefault="00286570" w:rsidP="00A14978">
            <w:pPr>
              <w:rPr>
                <w:i/>
                <w:iCs/>
                <w:color w:val="000000"/>
                <w:sz w:val="20"/>
                <w:szCs w:val="20"/>
              </w:rPr>
            </w:pPr>
          </w:p>
        </w:tc>
        <w:tc>
          <w:tcPr>
            <w:tcW w:w="1068" w:type="dxa"/>
            <w:tcBorders>
              <w:top w:val="nil"/>
              <w:left w:val="nil"/>
              <w:bottom w:val="nil"/>
              <w:right w:val="nil"/>
            </w:tcBorders>
            <w:shd w:val="clear" w:color="auto" w:fill="auto"/>
            <w:vAlign w:val="center"/>
            <w:hideMark/>
          </w:tcPr>
          <w:p w:rsidR="00286570" w:rsidRPr="00A27A29" w:rsidRDefault="00286570" w:rsidP="00A14978">
            <w:pPr>
              <w:rPr>
                <w:i/>
                <w:iCs/>
                <w:color w:val="000000"/>
                <w:sz w:val="20"/>
                <w:szCs w:val="20"/>
              </w:rPr>
            </w:pPr>
          </w:p>
        </w:tc>
        <w:tc>
          <w:tcPr>
            <w:tcW w:w="1368" w:type="dxa"/>
            <w:tcBorders>
              <w:top w:val="nil"/>
              <w:left w:val="nil"/>
              <w:bottom w:val="nil"/>
              <w:right w:val="nil"/>
            </w:tcBorders>
            <w:shd w:val="clear" w:color="auto" w:fill="auto"/>
            <w:vAlign w:val="center"/>
            <w:hideMark/>
          </w:tcPr>
          <w:p w:rsidR="00286570" w:rsidRPr="00A27A29" w:rsidRDefault="00286570" w:rsidP="00A14978">
            <w:pPr>
              <w:rPr>
                <w:i/>
                <w:iCs/>
                <w:color w:val="000000"/>
                <w:sz w:val="20"/>
                <w:szCs w:val="20"/>
              </w:rPr>
            </w:pPr>
          </w:p>
        </w:tc>
        <w:tc>
          <w:tcPr>
            <w:tcW w:w="1008" w:type="dxa"/>
            <w:tcBorders>
              <w:top w:val="nil"/>
              <w:left w:val="nil"/>
              <w:bottom w:val="nil"/>
              <w:right w:val="nil"/>
            </w:tcBorders>
            <w:shd w:val="clear" w:color="auto" w:fill="auto"/>
            <w:vAlign w:val="center"/>
            <w:hideMark/>
          </w:tcPr>
          <w:p w:rsidR="00286570" w:rsidRPr="00A27A29" w:rsidRDefault="00286570" w:rsidP="00A14978">
            <w:pPr>
              <w:rPr>
                <w:i/>
                <w:iCs/>
                <w:color w:val="000000"/>
                <w:sz w:val="20"/>
                <w:szCs w:val="20"/>
              </w:rPr>
            </w:pP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330"/>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86570" w:rsidRPr="00A27A29" w:rsidRDefault="00286570" w:rsidP="00A14978">
            <w:pPr>
              <w:rPr>
                <w:i/>
                <w:iCs/>
                <w:color w:val="000000"/>
                <w:sz w:val="20"/>
                <w:szCs w:val="20"/>
              </w:rPr>
            </w:pPr>
            <w:r w:rsidRPr="00A27A29">
              <w:rPr>
                <w:i/>
                <w:iCs/>
                <w:color w:val="000000"/>
                <w:sz w:val="20"/>
                <w:szCs w:val="20"/>
              </w:rPr>
              <w:t>VÝPOČET PRAVIDLA 1in2out:</w:t>
            </w:r>
          </w:p>
        </w:tc>
        <w:tc>
          <w:tcPr>
            <w:tcW w:w="2656" w:type="dxa"/>
            <w:gridSpan w:val="2"/>
            <w:tcBorders>
              <w:top w:val="single" w:sz="8" w:space="0" w:color="auto"/>
              <w:left w:val="nil"/>
              <w:bottom w:val="single" w:sz="4" w:space="0" w:color="auto"/>
              <w:right w:val="single" w:sz="4" w:space="0" w:color="auto"/>
            </w:tcBorders>
            <w:shd w:val="clear" w:color="000000" w:fill="FFC000"/>
            <w:vAlign w:val="center"/>
            <w:hideMark/>
          </w:tcPr>
          <w:p w:rsidR="00286570" w:rsidRPr="00A27A29" w:rsidRDefault="00286570" w:rsidP="00A14978">
            <w:pPr>
              <w:jc w:val="center"/>
              <w:rPr>
                <w:color w:val="000000"/>
                <w:sz w:val="20"/>
                <w:szCs w:val="20"/>
              </w:rPr>
            </w:pPr>
            <w:r w:rsidRPr="00A27A29">
              <w:rPr>
                <w:color w:val="000000"/>
                <w:sz w:val="20"/>
                <w:szCs w:val="20"/>
              </w:rPr>
              <w:t>IN</w:t>
            </w:r>
          </w:p>
        </w:tc>
        <w:tc>
          <w:tcPr>
            <w:tcW w:w="2376" w:type="dxa"/>
            <w:gridSpan w:val="2"/>
            <w:tcBorders>
              <w:top w:val="single" w:sz="8" w:space="0" w:color="auto"/>
              <w:left w:val="nil"/>
              <w:bottom w:val="single" w:sz="4" w:space="0" w:color="auto"/>
              <w:right w:val="single" w:sz="8" w:space="0" w:color="000000"/>
            </w:tcBorders>
            <w:shd w:val="clear" w:color="000000" w:fill="92D050"/>
            <w:vAlign w:val="center"/>
            <w:hideMark/>
          </w:tcPr>
          <w:p w:rsidR="00286570" w:rsidRPr="00A27A29" w:rsidRDefault="00286570" w:rsidP="00A14978">
            <w:pPr>
              <w:jc w:val="center"/>
              <w:rPr>
                <w:color w:val="000000"/>
                <w:sz w:val="20"/>
                <w:szCs w:val="20"/>
              </w:rPr>
            </w:pPr>
            <w:r w:rsidRPr="00A27A29">
              <w:rPr>
                <w:color w:val="000000"/>
                <w:sz w:val="20"/>
                <w:szCs w:val="20"/>
              </w:rPr>
              <w:t>OUT</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r w:rsidR="00286570" w:rsidRPr="00A27A29" w:rsidTr="00A14978">
        <w:trPr>
          <w:trHeight w:val="345"/>
        </w:trPr>
        <w:tc>
          <w:tcPr>
            <w:tcW w:w="90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c>
          <w:tcPr>
            <w:tcW w:w="3788" w:type="dxa"/>
            <w:tcBorders>
              <w:top w:val="nil"/>
              <w:left w:val="single" w:sz="8" w:space="0" w:color="auto"/>
              <w:bottom w:val="single" w:sz="8" w:space="0" w:color="auto"/>
              <w:right w:val="single" w:sz="4" w:space="0" w:color="auto"/>
            </w:tcBorders>
            <w:shd w:val="clear" w:color="auto" w:fill="auto"/>
            <w:vAlign w:val="center"/>
            <w:hideMark/>
          </w:tcPr>
          <w:p w:rsidR="00286570" w:rsidRPr="00A27A29" w:rsidRDefault="00286570" w:rsidP="00A14978">
            <w:pPr>
              <w:rPr>
                <w:i/>
                <w:iCs/>
                <w:color w:val="000000"/>
                <w:sz w:val="20"/>
                <w:szCs w:val="20"/>
              </w:rPr>
            </w:pPr>
            <w:r w:rsidRPr="00A27A29">
              <w:rPr>
                <w:i/>
                <w:iCs/>
                <w:color w:val="000000"/>
                <w:sz w:val="20"/>
                <w:szCs w:val="20"/>
              </w:rPr>
              <w:t>G. Náklady okrem výnimiek = B+C+D-F</w:t>
            </w:r>
          </w:p>
        </w:tc>
        <w:tc>
          <w:tcPr>
            <w:tcW w:w="2656" w:type="dxa"/>
            <w:gridSpan w:val="2"/>
            <w:tcBorders>
              <w:top w:val="single" w:sz="4" w:space="0" w:color="auto"/>
              <w:left w:val="nil"/>
              <w:bottom w:val="single" w:sz="8" w:space="0" w:color="auto"/>
              <w:right w:val="single" w:sz="4" w:space="0" w:color="auto"/>
            </w:tcBorders>
            <w:shd w:val="clear" w:color="000000" w:fill="FFC000"/>
            <w:vAlign w:val="center"/>
            <w:hideMark/>
          </w:tcPr>
          <w:p w:rsidR="00286570" w:rsidRPr="00A27A29" w:rsidRDefault="00286570" w:rsidP="00A14978">
            <w:pPr>
              <w:jc w:val="center"/>
              <w:rPr>
                <w:b/>
                <w:bCs/>
                <w:color w:val="000000"/>
                <w:sz w:val="20"/>
                <w:szCs w:val="20"/>
              </w:rPr>
            </w:pPr>
            <w:r w:rsidRPr="00A27A29">
              <w:rPr>
                <w:b/>
                <w:bCs/>
                <w:color w:val="000000"/>
                <w:sz w:val="20"/>
                <w:szCs w:val="20"/>
              </w:rPr>
              <w:t>6 155,94</w:t>
            </w:r>
          </w:p>
        </w:tc>
        <w:tc>
          <w:tcPr>
            <w:tcW w:w="2376" w:type="dxa"/>
            <w:gridSpan w:val="2"/>
            <w:tcBorders>
              <w:top w:val="single" w:sz="4" w:space="0" w:color="auto"/>
              <w:left w:val="nil"/>
              <w:bottom w:val="single" w:sz="8" w:space="0" w:color="auto"/>
              <w:right w:val="single" w:sz="8" w:space="0" w:color="000000"/>
            </w:tcBorders>
            <w:shd w:val="clear" w:color="000000" w:fill="92D050"/>
            <w:vAlign w:val="center"/>
            <w:hideMark/>
          </w:tcPr>
          <w:p w:rsidR="00286570" w:rsidRPr="00A27A29" w:rsidRDefault="00286570" w:rsidP="00A14978">
            <w:pPr>
              <w:jc w:val="center"/>
              <w:rPr>
                <w:b/>
                <w:bCs/>
                <w:color w:val="000000"/>
                <w:sz w:val="20"/>
                <w:szCs w:val="20"/>
              </w:rPr>
            </w:pPr>
            <w:r w:rsidRPr="00A27A29">
              <w:rPr>
                <w:b/>
                <w:bCs/>
                <w:color w:val="000000"/>
                <w:sz w:val="20"/>
                <w:szCs w:val="20"/>
              </w:rPr>
              <w:t>106 679,78</w:t>
            </w:r>
          </w:p>
        </w:tc>
        <w:tc>
          <w:tcPr>
            <w:tcW w:w="4488" w:type="dxa"/>
            <w:tcBorders>
              <w:top w:val="nil"/>
              <w:left w:val="nil"/>
              <w:bottom w:val="nil"/>
              <w:right w:val="nil"/>
            </w:tcBorders>
            <w:shd w:val="clear" w:color="auto" w:fill="auto"/>
            <w:noWrap/>
            <w:vAlign w:val="bottom"/>
            <w:hideMark/>
          </w:tcPr>
          <w:p w:rsidR="00286570" w:rsidRPr="00A27A29" w:rsidRDefault="00286570" w:rsidP="00A14978">
            <w:pPr>
              <w:rPr>
                <w:color w:val="000000"/>
                <w:sz w:val="20"/>
                <w:szCs w:val="20"/>
              </w:rPr>
            </w:pPr>
          </w:p>
        </w:tc>
      </w:tr>
    </w:tbl>
    <w:p w:rsidR="00286570" w:rsidRPr="00D8247C" w:rsidRDefault="00286570" w:rsidP="00286570">
      <w:pPr>
        <w:jc w:val="both"/>
        <w:rPr>
          <w:rFonts w:eastAsia="Calibri"/>
          <w:i/>
        </w:rPr>
      </w:pPr>
    </w:p>
    <w:p w:rsidR="00286570" w:rsidRPr="00895898" w:rsidRDefault="00286570" w:rsidP="00286570">
      <w:pPr>
        <w:rPr>
          <w:rFonts w:eastAsia="Calibri"/>
          <w:i/>
        </w:rPr>
      </w:pPr>
    </w:p>
    <w:p w:rsidR="00286570" w:rsidRDefault="00286570" w:rsidP="00286570">
      <w:pPr>
        <w:rPr>
          <w:rFonts w:eastAsia="Calibri"/>
          <w:i/>
        </w:rPr>
      </w:pPr>
    </w:p>
    <w:p w:rsidR="00286570" w:rsidRDefault="00286570" w:rsidP="00286570">
      <w:pPr>
        <w:rPr>
          <w:rFonts w:eastAsia="Calibri"/>
          <w:i/>
        </w:rPr>
      </w:pPr>
    </w:p>
    <w:p w:rsidR="00286570" w:rsidRDefault="00286570" w:rsidP="00286570">
      <w:pPr>
        <w:rPr>
          <w:rFonts w:eastAsia="Calibri"/>
          <w:i/>
        </w:rPr>
      </w:pPr>
    </w:p>
    <w:p w:rsidR="00286570" w:rsidRDefault="00286570" w:rsidP="00286570">
      <w:pPr>
        <w:rPr>
          <w:rFonts w:eastAsia="Calibri"/>
          <w:i/>
        </w:rPr>
      </w:pPr>
    </w:p>
    <w:p w:rsidR="00286570" w:rsidRDefault="00286570" w:rsidP="00286570">
      <w:pPr>
        <w:rPr>
          <w:rFonts w:eastAsia="Calibri"/>
          <w:i/>
        </w:rPr>
      </w:pPr>
    </w:p>
    <w:p w:rsidR="00286570" w:rsidRPr="00895898" w:rsidRDefault="00286570" w:rsidP="00286570">
      <w:pPr>
        <w:rPr>
          <w:rFonts w:eastAsia="Calibri"/>
          <w:i/>
        </w:rPr>
      </w:pPr>
    </w:p>
    <w:p w:rsidR="00286570" w:rsidRPr="00895898" w:rsidRDefault="00286570" w:rsidP="00286570">
      <w:pPr>
        <w:rPr>
          <w:rFonts w:eastAsia="Calibri"/>
          <w:b/>
        </w:rPr>
      </w:pPr>
    </w:p>
    <w:p w:rsidR="00286570" w:rsidRPr="00895898" w:rsidRDefault="00286570" w:rsidP="00286570">
      <w:pPr>
        <w:rPr>
          <w:rFonts w:eastAsia="Calibri"/>
          <w:b/>
        </w:rPr>
        <w:sectPr w:rsidR="00286570" w:rsidRPr="00895898" w:rsidSect="00A14978">
          <w:footerReference w:type="default" r:id="rId10"/>
          <w:pgSz w:w="11906" w:h="16838" w:code="9"/>
          <w:pgMar w:top="993" w:right="1417" w:bottom="1417" w:left="1417" w:header="708" w:footer="708" w:gutter="0"/>
          <w:pgNumType w:start="1"/>
          <w:cols w:space="708"/>
          <w:docGrid w:linePitch="360"/>
        </w:sectPr>
      </w:pPr>
    </w:p>
    <w:p w:rsidR="00286570" w:rsidRPr="00A67140" w:rsidRDefault="00286570" w:rsidP="00A67140">
      <w:pPr>
        <w:spacing w:after="0" w:line="240" w:lineRule="auto"/>
        <w:rPr>
          <w:rFonts w:ascii="Times New Roman" w:eastAsia="Calibri" w:hAnsi="Times New Roman" w:cs="Times New Roman"/>
          <w:b/>
          <w:i/>
          <w:iCs/>
        </w:rPr>
      </w:pPr>
      <w:r w:rsidRPr="00A67140">
        <w:rPr>
          <w:rFonts w:ascii="Times New Roman" w:eastAsia="Calibri" w:hAnsi="Times New Roman" w:cs="Times New Roman"/>
          <w:b/>
          <w:i/>
          <w:iCs/>
        </w:rPr>
        <w:lastRenderedPageBreak/>
        <w:t>3.1.2 Výpočty vplyvov jednotlivých regulácií na zmeny v nákladoch podnikateľov</w:t>
      </w:r>
      <w:r w:rsidRPr="00A67140">
        <w:rPr>
          <w:rFonts w:ascii="Times New Roman" w:eastAsia="Calibri" w:hAnsi="Times New Roman" w:cs="Times New Roman"/>
          <w:i/>
        </w:rPr>
        <w:tab/>
      </w:r>
      <w:r w:rsidRPr="00A67140">
        <w:rPr>
          <w:rFonts w:ascii="Times New Roman" w:eastAsia="Calibri" w:hAnsi="Times New Roman" w:cs="Times New Roman"/>
          <w:i/>
        </w:rPr>
        <w:tab/>
      </w:r>
      <w:r w:rsidRPr="00A67140">
        <w:rPr>
          <w:rFonts w:ascii="Times New Roman" w:eastAsia="Calibri" w:hAnsi="Times New Roman" w:cs="Times New Roman"/>
          <w:i/>
        </w:rPr>
        <w:tab/>
      </w:r>
      <w:r w:rsidRPr="00A67140">
        <w:rPr>
          <w:rFonts w:ascii="Times New Roman" w:eastAsia="Calibri" w:hAnsi="Times New Roman" w:cs="Times New Roman"/>
          <w:i/>
        </w:rPr>
        <w:tab/>
      </w:r>
      <w:r w:rsidRPr="00A67140">
        <w:rPr>
          <w:rFonts w:ascii="Times New Roman" w:eastAsia="Calibri" w:hAnsi="Times New Roman" w:cs="Times New Roman"/>
          <w:i/>
        </w:rPr>
        <w:tab/>
      </w:r>
      <w:r w:rsidRPr="00A67140">
        <w:rPr>
          <w:rFonts w:ascii="Times New Roman" w:eastAsia="Calibri" w:hAnsi="Times New Roman" w:cs="Times New Roman"/>
          <w:i/>
        </w:rPr>
        <w:tab/>
      </w:r>
      <w:r w:rsidRPr="00A67140">
        <w:rPr>
          <w:rFonts w:ascii="Times New Roman" w:eastAsia="Calibri" w:hAnsi="Times New Roman" w:cs="Times New Roman"/>
          <w:i/>
        </w:rPr>
        <w:tab/>
      </w:r>
      <w:r w:rsidRPr="00A67140">
        <w:rPr>
          <w:rFonts w:ascii="Times New Roman" w:eastAsia="Calibri" w:hAnsi="Times New Roman" w:cs="Times New Roman"/>
          <w:i/>
        </w:rPr>
        <w:tab/>
      </w:r>
    </w:p>
    <w:p w:rsidR="00286570" w:rsidRPr="00A67140" w:rsidRDefault="00286570" w:rsidP="00A67140">
      <w:pPr>
        <w:spacing w:after="0" w:line="240" w:lineRule="auto"/>
        <w:jc w:val="both"/>
        <w:rPr>
          <w:rFonts w:ascii="Times New Roman" w:eastAsia="Calibri" w:hAnsi="Times New Roman" w:cs="Times New Roman"/>
          <w:i/>
        </w:rPr>
      </w:pPr>
      <w:r w:rsidRPr="00A67140">
        <w:rPr>
          <w:rFonts w:ascii="Times New Roman" w:eastAsia="Calibri" w:hAnsi="Times New Roman" w:cs="Times New Roman"/>
          <w:i/>
        </w:rPr>
        <w:t>Tabuľka č. 2: Výpočet vplyvov jednotlivých regulácií (nahraďte rovnakou tabuľkou po vyplnení Kalkulačky nákladov):</w:t>
      </w:r>
    </w:p>
    <w:tbl>
      <w:tblPr>
        <w:tblW w:w="15500" w:type="dxa"/>
        <w:tblInd w:w="-781" w:type="dxa"/>
        <w:tblLayout w:type="fixed"/>
        <w:tblCellMar>
          <w:left w:w="70" w:type="dxa"/>
          <w:right w:w="70" w:type="dxa"/>
        </w:tblCellMar>
        <w:tblLook w:val="04A0" w:firstRow="1" w:lastRow="0" w:firstColumn="1" w:lastColumn="0" w:noHBand="0" w:noVBand="1"/>
      </w:tblPr>
      <w:tblGrid>
        <w:gridCol w:w="709"/>
        <w:gridCol w:w="2836"/>
        <w:gridCol w:w="1418"/>
        <w:gridCol w:w="992"/>
        <w:gridCol w:w="1276"/>
        <w:gridCol w:w="992"/>
        <w:gridCol w:w="1701"/>
        <w:gridCol w:w="850"/>
        <w:gridCol w:w="993"/>
        <w:gridCol w:w="850"/>
        <w:gridCol w:w="992"/>
        <w:gridCol w:w="1891"/>
      </w:tblGrid>
      <w:tr w:rsidR="00286570" w:rsidRPr="00A67140" w:rsidTr="00A14978">
        <w:trPr>
          <w:trHeight w:val="481"/>
        </w:trPr>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P.č.</w:t>
            </w:r>
          </w:p>
        </w:tc>
        <w:tc>
          <w:tcPr>
            <w:tcW w:w="283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 xml:space="preserve">Zrozumiteľný a stručný opis regulácie </w:t>
            </w:r>
            <w:r w:rsidRPr="00A67140">
              <w:rPr>
                <w:rFonts w:ascii="Times New Roman" w:hAnsi="Times New Roman" w:cs="Times New Roman"/>
                <w:b/>
                <w:bCs/>
                <w:color w:val="000000"/>
                <w:sz w:val="20"/>
                <w:szCs w:val="20"/>
              </w:rPr>
              <w:br/>
              <w:t>(dôvod zvýšenia/zníženia nákladov na PP)</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Číslo normy</w:t>
            </w:r>
            <w:r w:rsidRPr="00A67140">
              <w:rPr>
                <w:rFonts w:ascii="Times New Roman" w:hAnsi="Times New Roman" w:cs="Times New Roman"/>
                <w:b/>
                <w:bCs/>
                <w:color w:val="000000"/>
                <w:sz w:val="20"/>
                <w:szCs w:val="20"/>
              </w:rPr>
              <w:br/>
            </w:r>
            <w:r w:rsidRPr="00A67140">
              <w:rPr>
                <w:rFonts w:ascii="Times New Roman" w:hAnsi="Times New Roman" w:cs="Times New Roman"/>
                <w:color w:val="000000"/>
                <w:sz w:val="20"/>
                <w:szCs w:val="20"/>
              </w:rPr>
              <w:t>(zákona, vyhlášky a pod.)</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Lokalizácia</w:t>
            </w:r>
            <w:r w:rsidRPr="00A67140">
              <w:rPr>
                <w:rFonts w:ascii="Times New Roman" w:hAnsi="Times New Roman" w:cs="Times New Roman"/>
                <w:b/>
                <w:bCs/>
                <w:color w:val="000000"/>
                <w:sz w:val="20"/>
                <w:szCs w:val="20"/>
              </w:rPr>
              <w:br/>
              <w:t>(§, ods.)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 xml:space="preserve">Pôvod regulácie: </w:t>
            </w:r>
            <w:r w:rsidRPr="00A67140">
              <w:rPr>
                <w:rFonts w:ascii="Times New Roman" w:hAnsi="Times New Roman" w:cs="Times New Roman"/>
                <w:b/>
                <w:bCs/>
                <w:color w:val="000000"/>
                <w:sz w:val="20"/>
                <w:szCs w:val="20"/>
              </w:rPr>
              <w:br/>
            </w:r>
            <w:r w:rsidRPr="00A67140">
              <w:rPr>
                <w:rFonts w:ascii="Times New Roman" w:hAnsi="Times New Roman" w:cs="Times New Roman"/>
                <w:color w:val="000000"/>
                <w:sz w:val="20"/>
                <w:szCs w:val="20"/>
              </w:rPr>
              <w:t>SR/EÚ úplná harm./EÚ harm. s možnosťou voľby</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Účinnosť regulácie</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Kategória dotk. subjektov</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 xml:space="preserve">Počet subjektov spolu </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Počet subjektov MSP</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Vplyv na 1 podnik. v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Vplyv na kategóriu dotk. subjektov v €</w:t>
            </w:r>
          </w:p>
        </w:tc>
        <w:tc>
          <w:tcPr>
            <w:tcW w:w="18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86570" w:rsidRPr="00A67140" w:rsidRDefault="00286570" w:rsidP="00A14978">
            <w:pPr>
              <w:jc w:val="center"/>
              <w:rPr>
                <w:rFonts w:ascii="Times New Roman" w:hAnsi="Times New Roman" w:cs="Times New Roman"/>
                <w:b/>
                <w:bCs/>
                <w:color w:val="000000"/>
                <w:sz w:val="20"/>
                <w:szCs w:val="20"/>
              </w:rPr>
            </w:pPr>
            <w:r w:rsidRPr="00A67140">
              <w:rPr>
                <w:rFonts w:ascii="Times New Roman" w:hAnsi="Times New Roman" w:cs="Times New Roman"/>
                <w:b/>
                <w:bCs/>
                <w:color w:val="000000"/>
                <w:sz w:val="20"/>
                <w:szCs w:val="20"/>
              </w:rPr>
              <w:t>Druh vplyvu</w:t>
            </w:r>
            <w:r w:rsidRPr="00A67140">
              <w:rPr>
                <w:rFonts w:ascii="Times New Roman" w:hAnsi="Times New Roman" w:cs="Times New Roman"/>
                <w:b/>
                <w:bCs/>
                <w:color w:val="000000"/>
                <w:sz w:val="20"/>
                <w:szCs w:val="20"/>
              </w:rPr>
              <w:br/>
            </w:r>
            <w:r w:rsidRPr="00A67140">
              <w:rPr>
                <w:rFonts w:ascii="Times New Roman" w:hAnsi="Times New Roman" w:cs="Times New Roman"/>
                <w:color w:val="000000"/>
                <w:sz w:val="20"/>
                <w:szCs w:val="20"/>
              </w:rPr>
              <w:t xml:space="preserve">In (zvyšuje náklady) / </w:t>
            </w:r>
            <w:r w:rsidRPr="00A67140">
              <w:rPr>
                <w:rFonts w:ascii="Times New Roman" w:hAnsi="Times New Roman" w:cs="Times New Roman"/>
                <w:color w:val="000000"/>
                <w:sz w:val="20"/>
                <w:szCs w:val="20"/>
              </w:rPr>
              <w:br/>
              <w:t>Out (znižuje náklady)</w:t>
            </w:r>
          </w:p>
        </w:tc>
      </w:tr>
      <w:tr w:rsidR="00286570" w:rsidRPr="00A67140" w:rsidTr="00A14978">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r>
      <w:tr w:rsidR="00286570" w:rsidRPr="00A67140" w:rsidTr="00A14978">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r>
      <w:tr w:rsidR="00286570" w:rsidRPr="00A67140" w:rsidTr="00A14978">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r>
      <w:tr w:rsidR="00286570" w:rsidRPr="00A67140" w:rsidTr="00A14978">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r>
      <w:tr w:rsidR="00286570" w:rsidRPr="00A67140" w:rsidTr="00A14978">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vAlign w:val="center"/>
            <w:hideMark/>
          </w:tcPr>
          <w:p w:rsidR="00286570" w:rsidRPr="00A67140" w:rsidRDefault="00286570" w:rsidP="00A14978">
            <w:pPr>
              <w:rPr>
                <w:rFonts w:ascii="Times New Roman" w:hAnsi="Times New Roman" w:cs="Times New Roman"/>
                <w:b/>
                <w:bCs/>
                <w:color w:val="000000"/>
                <w:sz w:val="20"/>
                <w:szCs w:val="20"/>
              </w:rPr>
            </w:pPr>
          </w:p>
        </w:tc>
      </w:tr>
      <w:tr w:rsidR="00286570" w:rsidRPr="00A67140" w:rsidTr="00A14978">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1</w:t>
            </w:r>
          </w:p>
        </w:tc>
        <w:tc>
          <w:tcPr>
            <w:tcW w:w="2836"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Zavedenie evidencie osôb poverených výkonom technickej služby</w:t>
            </w:r>
          </w:p>
        </w:tc>
        <w:tc>
          <w:tcPr>
            <w:tcW w:w="1418"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Zákon č. 473/2005 Z. z. o súkromnej bezpečnosti </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79</w:t>
            </w:r>
          </w:p>
        </w:tc>
        <w:tc>
          <w:tcPr>
            <w:tcW w:w="1276"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SK</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01.08.</w:t>
            </w:r>
          </w:p>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2022</w:t>
            </w:r>
          </w:p>
        </w:tc>
        <w:tc>
          <w:tcPr>
            <w:tcW w:w="1701"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Prevádzkovatelia technickej služby </w:t>
            </w:r>
          </w:p>
        </w:tc>
        <w:tc>
          <w:tcPr>
            <w:tcW w:w="850"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2516 </w:t>
            </w:r>
          </w:p>
        </w:tc>
        <w:tc>
          <w:tcPr>
            <w:tcW w:w="993"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N</w:t>
            </w:r>
          </w:p>
        </w:tc>
        <w:tc>
          <w:tcPr>
            <w:tcW w:w="850"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2,45</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6 155,94</w:t>
            </w:r>
          </w:p>
        </w:tc>
        <w:tc>
          <w:tcPr>
            <w:tcW w:w="1891"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In (zvyšuje náklady)</w:t>
            </w:r>
          </w:p>
        </w:tc>
      </w:tr>
      <w:tr w:rsidR="00286570" w:rsidRPr="00A67140" w:rsidTr="00A14978">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2</w:t>
            </w:r>
          </w:p>
        </w:tc>
        <w:tc>
          <w:tcPr>
            <w:tcW w:w="2836"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Zmena spôsobu skúšky odbornej spôsobilosti</w:t>
            </w:r>
          </w:p>
        </w:tc>
        <w:tc>
          <w:tcPr>
            <w:tcW w:w="1418"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Zákon č. 473/2005 Z. z. o súkromnej bezpečnosti </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19 ods. 9</w:t>
            </w:r>
          </w:p>
        </w:tc>
        <w:tc>
          <w:tcPr>
            <w:tcW w:w="1276"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SK</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01.01.</w:t>
            </w:r>
          </w:p>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2024</w:t>
            </w:r>
          </w:p>
        </w:tc>
        <w:tc>
          <w:tcPr>
            <w:tcW w:w="1701"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Akreditované osoby</w:t>
            </w:r>
          </w:p>
        </w:tc>
        <w:tc>
          <w:tcPr>
            <w:tcW w:w="850"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                 73 </w:t>
            </w:r>
          </w:p>
        </w:tc>
        <w:tc>
          <w:tcPr>
            <w:tcW w:w="993"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N</w:t>
            </w:r>
          </w:p>
        </w:tc>
        <w:tc>
          <w:tcPr>
            <w:tcW w:w="850"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493,48</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36 023,68</w:t>
            </w:r>
          </w:p>
        </w:tc>
        <w:tc>
          <w:tcPr>
            <w:tcW w:w="1891"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Out (znižuje náklady)</w:t>
            </w:r>
          </w:p>
        </w:tc>
      </w:tr>
      <w:tr w:rsidR="00286570" w:rsidRPr="00A67140" w:rsidTr="00A14978">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3</w:t>
            </w:r>
          </w:p>
        </w:tc>
        <w:tc>
          <w:tcPr>
            <w:tcW w:w="2836"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Zrušenie zodpovednej osoby </w:t>
            </w:r>
          </w:p>
        </w:tc>
        <w:tc>
          <w:tcPr>
            <w:tcW w:w="1418"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Zákon č. 473/2005 Z. z.</w:t>
            </w:r>
          </w:p>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  o súkromnej bezpečnosti </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81 ods. 1 písm. b)</w:t>
            </w:r>
          </w:p>
        </w:tc>
        <w:tc>
          <w:tcPr>
            <w:tcW w:w="1276"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SK</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01.08.</w:t>
            </w:r>
          </w:p>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2022</w:t>
            </w:r>
          </w:p>
        </w:tc>
        <w:tc>
          <w:tcPr>
            <w:tcW w:w="1701"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Akreditované osoby</w:t>
            </w:r>
          </w:p>
        </w:tc>
        <w:tc>
          <w:tcPr>
            <w:tcW w:w="850"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                 10 </w:t>
            </w:r>
          </w:p>
        </w:tc>
        <w:tc>
          <w:tcPr>
            <w:tcW w:w="993"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N</w:t>
            </w:r>
          </w:p>
        </w:tc>
        <w:tc>
          <w:tcPr>
            <w:tcW w:w="850"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6 960,00</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69 600,00</w:t>
            </w:r>
          </w:p>
        </w:tc>
        <w:tc>
          <w:tcPr>
            <w:tcW w:w="1891"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Out (znižuje náklady)</w:t>
            </w:r>
          </w:p>
        </w:tc>
      </w:tr>
      <w:tr w:rsidR="00286570" w:rsidRPr="00A67140" w:rsidTr="00A14978">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4</w:t>
            </w:r>
          </w:p>
        </w:tc>
        <w:tc>
          <w:tcPr>
            <w:tcW w:w="2836"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Zavedenie evidencie osôb a priebehu odbornej prípravy</w:t>
            </w:r>
          </w:p>
        </w:tc>
        <w:tc>
          <w:tcPr>
            <w:tcW w:w="1418"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Zákon č. 473/2005 Z. z. o súkromnej bezpečnosti </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 83 ods. 2 až 4</w:t>
            </w:r>
          </w:p>
        </w:tc>
        <w:tc>
          <w:tcPr>
            <w:tcW w:w="1276"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SK</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01.08.</w:t>
            </w:r>
          </w:p>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2022</w:t>
            </w:r>
          </w:p>
        </w:tc>
        <w:tc>
          <w:tcPr>
            <w:tcW w:w="1701"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Akreditované osoby</w:t>
            </w:r>
          </w:p>
        </w:tc>
        <w:tc>
          <w:tcPr>
            <w:tcW w:w="850"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rPr>
                <w:rFonts w:ascii="Times New Roman" w:hAnsi="Times New Roman" w:cs="Times New Roman"/>
                <w:color w:val="000000"/>
                <w:sz w:val="20"/>
                <w:szCs w:val="20"/>
              </w:rPr>
            </w:pPr>
            <w:r w:rsidRPr="00A67140">
              <w:rPr>
                <w:rFonts w:ascii="Times New Roman" w:hAnsi="Times New Roman" w:cs="Times New Roman"/>
                <w:color w:val="000000"/>
                <w:sz w:val="20"/>
                <w:szCs w:val="20"/>
              </w:rPr>
              <w:t xml:space="preserve">                 73 </w:t>
            </w:r>
          </w:p>
        </w:tc>
        <w:tc>
          <w:tcPr>
            <w:tcW w:w="993"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N</w:t>
            </w:r>
          </w:p>
        </w:tc>
        <w:tc>
          <w:tcPr>
            <w:tcW w:w="850"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14,47</w:t>
            </w:r>
          </w:p>
        </w:tc>
        <w:tc>
          <w:tcPr>
            <w:tcW w:w="992"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1 056,10</w:t>
            </w:r>
          </w:p>
        </w:tc>
        <w:tc>
          <w:tcPr>
            <w:tcW w:w="1891" w:type="dxa"/>
            <w:tcBorders>
              <w:top w:val="nil"/>
              <w:left w:val="nil"/>
              <w:bottom w:val="single" w:sz="4" w:space="0" w:color="auto"/>
              <w:right w:val="single" w:sz="4" w:space="0" w:color="auto"/>
            </w:tcBorders>
            <w:shd w:val="clear" w:color="auto" w:fill="auto"/>
            <w:vAlign w:val="center"/>
            <w:hideMark/>
          </w:tcPr>
          <w:p w:rsidR="00286570" w:rsidRPr="00A67140" w:rsidRDefault="00286570" w:rsidP="00A14978">
            <w:pPr>
              <w:jc w:val="center"/>
              <w:rPr>
                <w:rFonts w:ascii="Times New Roman" w:hAnsi="Times New Roman" w:cs="Times New Roman"/>
                <w:color w:val="000000"/>
                <w:sz w:val="20"/>
                <w:szCs w:val="20"/>
              </w:rPr>
            </w:pPr>
            <w:r w:rsidRPr="00A67140">
              <w:rPr>
                <w:rFonts w:ascii="Times New Roman" w:hAnsi="Times New Roman" w:cs="Times New Roman"/>
                <w:color w:val="000000"/>
                <w:sz w:val="20"/>
                <w:szCs w:val="20"/>
              </w:rPr>
              <w:t>Out (znižuje náklady)</w:t>
            </w:r>
          </w:p>
        </w:tc>
      </w:tr>
    </w:tbl>
    <w:p w:rsidR="00286570" w:rsidRDefault="00286570" w:rsidP="00286570">
      <w:pPr>
        <w:jc w:val="both"/>
        <w:rPr>
          <w:rFonts w:eastAsia="Calibri"/>
          <w:b/>
          <w:bCs/>
          <w:i/>
          <w:u w:val="single"/>
        </w:rPr>
        <w:sectPr w:rsidR="00286570" w:rsidSect="00A14978">
          <w:pgSz w:w="16838" w:h="11906" w:orient="landscape" w:code="9"/>
          <w:pgMar w:top="1417" w:right="1417" w:bottom="1417" w:left="1417" w:header="708" w:footer="708" w:gutter="0"/>
          <w:cols w:space="708"/>
          <w:docGrid w:linePitch="360"/>
        </w:sectPr>
      </w:pPr>
    </w:p>
    <w:p w:rsidR="00286570" w:rsidRPr="001F1B43" w:rsidRDefault="00286570" w:rsidP="00286570">
      <w:pPr>
        <w:jc w:val="both"/>
        <w:rPr>
          <w:rFonts w:eastAsia="Calibri"/>
          <w:b/>
          <w:bCs/>
          <w:i/>
          <w:u w:val="single"/>
        </w:rPr>
      </w:pPr>
      <w:r w:rsidRPr="001F1B43">
        <w:rPr>
          <w:rFonts w:eastAsia="Calibri"/>
          <w:b/>
          <w:bCs/>
          <w:i/>
          <w:u w:val="single"/>
        </w:rPr>
        <w:lastRenderedPageBreak/>
        <w:t xml:space="preserve">Doplňujúce informácie k spôsobu výpočtu vplyvov jednotlivých regulácií na zmenu nákladov </w:t>
      </w:r>
    </w:p>
    <w:p w:rsidR="00286570" w:rsidRDefault="00286570" w:rsidP="00286570">
      <w:pPr>
        <w:jc w:val="both"/>
        <w:rPr>
          <w:rFonts w:eastAsia="Calibri"/>
          <w:bCs/>
          <w:iCs/>
          <w:color w:val="000000"/>
        </w:rPr>
      </w:pPr>
    </w:p>
    <w:p w:rsidR="00286570" w:rsidRDefault="00286570" w:rsidP="00286570">
      <w:pPr>
        <w:pStyle w:val="Bezriadkovania"/>
        <w:jc w:val="both"/>
        <w:rPr>
          <w:rFonts w:ascii="Times New Roman" w:hAnsi="Times New Roman" w:cs="Times New Roman"/>
          <w:sz w:val="24"/>
          <w:szCs w:val="24"/>
        </w:rPr>
      </w:pPr>
      <w:r w:rsidRPr="00331313">
        <w:rPr>
          <w:rFonts w:ascii="Times New Roman" w:hAnsi="Times New Roman" w:cs="Times New Roman"/>
          <w:sz w:val="24"/>
          <w:szCs w:val="24"/>
        </w:rPr>
        <w:t xml:space="preserve">1. § 79 Zavedenie evidencie osôb poverených výkonom technickej služby </w:t>
      </w:r>
    </w:p>
    <w:p w:rsidR="00286570" w:rsidRPr="00331313" w:rsidRDefault="00286570" w:rsidP="00286570">
      <w:pPr>
        <w:pStyle w:val="Bezriadkovania"/>
        <w:jc w:val="both"/>
        <w:rPr>
          <w:rFonts w:ascii="Times New Roman" w:hAnsi="Times New Roman" w:cs="Times New Roman"/>
          <w:sz w:val="24"/>
          <w:szCs w:val="24"/>
        </w:rPr>
      </w:pPr>
    </w:p>
    <w:p w:rsidR="00286570" w:rsidRPr="00331313" w:rsidRDefault="00286570" w:rsidP="00286570">
      <w:pPr>
        <w:pStyle w:val="Bezriadkovania"/>
        <w:jc w:val="both"/>
        <w:rPr>
          <w:rFonts w:ascii="Times New Roman" w:hAnsi="Times New Roman" w:cs="Times New Roman"/>
          <w:sz w:val="24"/>
          <w:szCs w:val="24"/>
        </w:rPr>
      </w:pPr>
      <w:r w:rsidRPr="00331313">
        <w:rPr>
          <w:rFonts w:ascii="Times New Roman" w:hAnsi="Times New Roman" w:cs="Times New Roman"/>
          <w:sz w:val="24"/>
          <w:szCs w:val="24"/>
        </w:rPr>
        <w:t xml:space="preserve">Návrhom sú dotknutí prevádzkovatelia technickej služby, ktorí na rozdiel od prevádzkovateľov bezpečnostnej služby nemali povinnosť viesť evidenciu osôb poverených výkonom technickej služby. </w:t>
      </w:r>
      <w:r>
        <w:rPr>
          <w:rFonts w:ascii="Times New Roman" w:hAnsi="Times New Roman" w:cs="Times New Roman"/>
          <w:sz w:val="24"/>
          <w:szCs w:val="24"/>
        </w:rPr>
        <w:t>Zámerom navrhovanej zmeny je z</w:t>
      </w:r>
      <w:r w:rsidRPr="00331313">
        <w:rPr>
          <w:rFonts w:ascii="Times New Roman" w:hAnsi="Times New Roman" w:cs="Times New Roman"/>
          <w:sz w:val="24"/>
          <w:szCs w:val="24"/>
        </w:rPr>
        <w:t>rovnoprávneni</w:t>
      </w:r>
      <w:r>
        <w:rPr>
          <w:rFonts w:ascii="Times New Roman" w:hAnsi="Times New Roman" w:cs="Times New Roman"/>
          <w:sz w:val="24"/>
          <w:szCs w:val="24"/>
        </w:rPr>
        <w:t>e tejto povinnosti</w:t>
      </w:r>
      <w:r w:rsidRPr="00331313">
        <w:rPr>
          <w:rFonts w:ascii="Times New Roman" w:hAnsi="Times New Roman" w:cs="Times New Roman"/>
          <w:sz w:val="24"/>
          <w:szCs w:val="24"/>
        </w:rPr>
        <w:t>. Celkový počet prevádzkovateľov technickej služby k 31.12.2020 bol 2516. Keďže nie je určená forma, len obsah tejto evidencie a prevádzkovateľ si ju môže vytvoriť aj sám v ľubovoľnej papierovej podobe, tak aby spĺňala náležitosti zákona o súkromnej bezpečnosti, bol vytvorený modelový príklad, v ktorom bola určená priemerná cena obvyklá pre takúto evidenciu a to 5</w:t>
      </w:r>
      <w:r>
        <w:rPr>
          <w:rFonts w:ascii="Times New Roman" w:hAnsi="Times New Roman" w:cs="Times New Roman"/>
          <w:sz w:val="24"/>
          <w:szCs w:val="24"/>
        </w:rPr>
        <w:t xml:space="preserve"> eur</w:t>
      </w:r>
      <w:r w:rsidRPr="00331313">
        <w:rPr>
          <w:rFonts w:ascii="Times New Roman" w:hAnsi="Times New Roman" w:cs="Times New Roman"/>
          <w:sz w:val="24"/>
          <w:szCs w:val="24"/>
        </w:rPr>
        <w:t xml:space="preserve">. Taktiež nie je možné presne určiť frekvenciu administratívnych nákladov na jedného prevádzkovateľa technickej služby, nakoľko je u každého subjektu individuálna a záleží od počtu osôb, ktoré sú prevádzkovateľom technickej služby poverené výkonom technickej služby, z uvedeného dôvodu bola určená frekvencia plnenia povinnosti nepravidelne/jednorazovo s odhadom trvania povinnosti 30 min..  </w:t>
      </w:r>
    </w:p>
    <w:p w:rsidR="00286570" w:rsidRDefault="00286570" w:rsidP="00286570">
      <w:pPr>
        <w:pStyle w:val="Bezriadkovania"/>
        <w:jc w:val="both"/>
        <w:rPr>
          <w:rFonts w:ascii="Times New Roman" w:hAnsi="Times New Roman" w:cs="Times New Roman"/>
          <w:sz w:val="24"/>
          <w:szCs w:val="24"/>
        </w:rPr>
      </w:pPr>
    </w:p>
    <w:p w:rsidR="00286570" w:rsidRDefault="00286570" w:rsidP="00286570">
      <w:pPr>
        <w:pStyle w:val="Bezriadkovania"/>
        <w:jc w:val="both"/>
        <w:rPr>
          <w:rFonts w:ascii="Times New Roman" w:hAnsi="Times New Roman" w:cs="Times New Roman"/>
          <w:sz w:val="24"/>
          <w:szCs w:val="24"/>
        </w:rPr>
      </w:pPr>
      <w:r w:rsidRPr="00331313">
        <w:rPr>
          <w:rFonts w:ascii="Times New Roman" w:hAnsi="Times New Roman" w:cs="Times New Roman"/>
          <w:sz w:val="24"/>
          <w:szCs w:val="24"/>
        </w:rPr>
        <w:t xml:space="preserve">2. § 19 ods. 9 Zmena spôsobu skúšky odbornej spôsobilosti </w:t>
      </w:r>
    </w:p>
    <w:p w:rsidR="00286570" w:rsidRPr="00331313" w:rsidRDefault="00286570" w:rsidP="00286570">
      <w:pPr>
        <w:pStyle w:val="Bezriadkovania"/>
        <w:jc w:val="both"/>
        <w:rPr>
          <w:rFonts w:ascii="Times New Roman" w:hAnsi="Times New Roman" w:cs="Times New Roman"/>
          <w:sz w:val="24"/>
          <w:szCs w:val="24"/>
        </w:rPr>
      </w:pPr>
    </w:p>
    <w:p w:rsidR="00286570" w:rsidRDefault="00286570" w:rsidP="00286570">
      <w:pPr>
        <w:pStyle w:val="Bezriadkovania"/>
        <w:jc w:val="both"/>
        <w:rPr>
          <w:rFonts w:ascii="Times New Roman" w:eastAsia="Times New Roman" w:hAnsi="Times New Roman" w:cs="Times New Roman"/>
          <w:sz w:val="24"/>
          <w:szCs w:val="24"/>
          <w:lang w:eastAsia="sk-SK"/>
        </w:rPr>
      </w:pPr>
      <w:r w:rsidRPr="00331313">
        <w:rPr>
          <w:rFonts w:ascii="Times New Roman" w:eastAsia="Times New Roman" w:hAnsi="Times New Roman" w:cs="Times New Roman"/>
          <w:sz w:val="24"/>
          <w:szCs w:val="24"/>
          <w:lang w:eastAsia="sk-SK"/>
        </w:rPr>
        <w:t>Skúšky odbornej spôsobilosti sú vykonávané v priestoroch, v ktorých akreditovaná osoba zabezpečuje aj odbornú prípravu, jedná sa o priestory, ktoré majú vo vlastníctve resp. v prenájme. Zavedenie nového modelu skúšky v priestoroch, ktoré nebude zabezpečovať akreditovaná osoba, bude mať pozitívny vplyv na činnosť akreditovaných osôb, nakoľko môžu napr. priestory využiť na iný účel, môžu mať znížený nájom, resp. sa im znížia náklady na energie. Taktiež bude mať pozitívny vplyv na činnosť akreditovanej osoby</w:t>
      </w:r>
      <w:r>
        <w:rPr>
          <w:rFonts w:ascii="Times New Roman" w:eastAsia="Times New Roman" w:hAnsi="Times New Roman" w:cs="Times New Roman"/>
          <w:sz w:val="24"/>
          <w:szCs w:val="24"/>
          <w:lang w:eastAsia="sk-SK"/>
        </w:rPr>
        <w:t xml:space="preserve"> aj</w:t>
      </w:r>
      <w:r w:rsidRPr="00331313">
        <w:rPr>
          <w:rFonts w:ascii="Times New Roman" w:eastAsia="Times New Roman" w:hAnsi="Times New Roman" w:cs="Times New Roman"/>
          <w:sz w:val="24"/>
          <w:szCs w:val="24"/>
          <w:lang w:eastAsia="sk-SK"/>
        </w:rPr>
        <w:t xml:space="preserve"> zrušenie povinnosti poskytnúť pomôcky a prostriedky na vykonanie skúšky. Celkový počet akreditovaných osôb k 31. 12. 2020 </w:t>
      </w:r>
      <w:r>
        <w:rPr>
          <w:rFonts w:ascii="Times New Roman" w:eastAsia="Times New Roman" w:hAnsi="Times New Roman" w:cs="Times New Roman"/>
          <w:sz w:val="24"/>
          <w:szCs w:val="24"/>
          <w:lang w:eastAsia="sk-SK"/>
        </w:rPr>
        <w:t>bol</w:t>
      </w:r>
      <w:r w:rsidRPr="00331313">
        <w:rPr>
          <w:rFonts w:ascii="Times New Roman" w:eastAsia="Times New Roman" w:hAnsi="Times New Roman" w:cs="Times New Roman"/>
          <w:sz w:val="24"/>
          <w:szCs w:val="24"/>
          <w:lang w:eastAsia="sk-SK"/>
        </w:rPr>
        <w:t xml:space="preserve"> 73. Z dôvodu nedostupnosti nákladových položiek akreditovaných osôb súvisiacich s vykonávaním skúšky odbornej spôsobilosti, bol použitý modelový príklad na 1 akreditovanú osobu. Z verejne dostupných zdrojov bola určená priemerná cena nájmu nebytových priestorov a to 8</w:t>
      </w:r>
      <w:r>
        <w:rPr>
          <w:rFonts w:ascii="Times New Roman" w:eastAsia="Times New Roman" w:hAnsi="Times New Roman" w:cs="Times New Roman"/>
          <w:sz w:val="24"/>
          <w:szCs w:val="24"/>
          <w:lang w:eastAsia="sk-SK"/>
        </w:rPr>
        <w:t xml:space="preserve"> eur</w:t>
      </w:r>
      <w:r w:rsidRPr="00331313">
        <w:rPr>
          <w:rFonts w:ascii="Times New Roman" w:eastAsia="Times New Roman" w:hAnsi="Times New Roman" w:cs="Times New Roman"/>
          <w:sz w:val="24"/>
          <w:szCs w:val="24"/>
          <w:lang w:eastAsia="sk-SK"/>
        </w:rPr>
        <w:t xml:space="preserve"> na m</w:t>
      </w:r>
      <w:r w:rsidRPr="00331313">
        <w:rPr>
          <w:rFonts w:ascii="Times New Roman" w:eastAsia="Times New Roman" w:hAnsi="Times New Roman" w:cs="Times New Roman"/>
          <w:sz w:val="24"/>
          <w:szCs w:val="24"/>
          <w:vertAlign w:val="superscript"/>
          <w:lang w:eastAsia="sk-SK"/>
        </w:rPr>
        <w:t>2</w:t>
      </w:r>
      <w:r w:rsidRPr="00331313">
        <w:rPr>
          <w:rFonts w:ascii="Times New Roman" w:eastAsia="Times New Roman" w:hAnsi="Times New Roman" w:cs="Times New Roman"/>
          <w:sz w:val="24"/>
          <w:szCs w:val="24"/>
          <w:lang w:eastAsia="sk-SK"/>
        </w:rPr>
        <w:t xml:space="preserve"> za mesiac, pričom bola určená priemerná plocha priestoru na vykonanie skúšky o rozlohe 40 m</w:t>
      </w:r>
      <w:r w:rsidRPr="00331313">
        <w:rPr>
          <w:rFonts w:ascii="Times New Roman" w:eastAsia="Times New Roman" w:hAnsi="Times New Roman" w:cs="Times New Roman"/>
          <w:sz w:val="24"/>
          <w:szCs w:val="24"/>
          <w:vertAlign w:val="superscript"/>
          <w:lang w:eastAsia="sk-SK"/>
        </w:rPr>
        <w:t>2</w:t>
      </w:r>
      <w:r w:rsidRPr="00331313">
        <w:rPr>
          <w:rFonts w:ascii="Times New Roman" w:eastAsia="Times New Roman" w:hAnsi="Times New Roman" w:cs="Times New Roman"/>
          <w:sz w:val="24"/>
          <w:szCs w:val="24"/>
          <w:lang w:eastAsia="sk-SK"/>
        </w:rPr>
        <w:t>.</w:t>
      </w:r>
      <w:r w:rsidRPr="00331313">
        <w:rPr>
          <w:rFonts w:ascii="Times New Roman" w:eastAsia="Times New Roman" w:hAnsi="Times New Roman" w:cs="Times New Roman"/>
          <w:sz w:val="24"/>
          <w:szCs w:val="24"/>
          <w:vertAlign w:val="superscript"/>
          <w:lang w:eastAsia="sk-SK"/>
        </w:rPr>
        <w:t xml:space="preserve"> </w:t>
      </w:r>
      <w:r w:rsidRPr="00331313">
        <w:rPr>
          <w:rFonts w:ascii="Times New Roman" w:eastAsia="Times New Roman" w:hAnsi="Times New Roman" w:cs="Times New Roman"/>
          <w:sz w:val="24"/>
          <w:szCs w:val="24"/>
          <w:lang w:eastAsia="sk-SK"/>
        </w:rPr>
        <w:t>Ročné nájomné predstavuje sumu 3840</w:t>
      </w:r>
      <w:r>
        <w:rPr>
          <w:rFonts w:ascii="Times New Roman" w:eastAsia="Times New Roman" w:hAnsi="Times New Roman" w:cs="Times New Roman"/>
          <w:sz w:val="24"/>
          <w:szCs w:val="24"/>
          <w:lang w:eastAsia="sk-SK"/>
        </w:rPr>
        <w:t xml:space="preserve">, z čoho </w:t>
      </w:r>
      <w:r w:rsidRPr="00331313">
        <w:rPr>
          <w:rFonts w:ascii="Times New Roman" w:eastAsia="Times New Roman" w:hAnsi="Times New Roman" w:cs="Times New Roman"/>
          <w:sz w:val="24"/>
          <w:szCs w:val="24"/>
          <w:lang w:eastAsia="sk-SK"/>
        </w:rPr>
        <w:t xml:space="preserve">denné nájomné </w:t>
      </w:r>
      <w:r>
        <w:rPr>
          <w:rFonts w:ascii="Times New Roman" w:eastAsia="Times New Roman" w:hAnsi="Times New Roman" w:cs="Times New Roman"/>
          <w:sz w:val="24"/>
          <w:szCs w:val="24"/>
          <w:lang w:eastAsia="sk-SK"/>
        </w:rPr>
        <w:t xml:space="preserve">predstavuje </w:t>
      </w:r>
      <w:r w:rsidRPr="00331313">
        <w:rPr>
          <w:rFonts w:ascii="Times New Roman" w:eastAsia="Times New Roman" w:hAnsi="Times New Roman" w:cs="Times New Roman"/>
          <w:sz w:val="24"/>
          <w:szCs w:val="24"/>
          <w:lang w:eastAsia="sk-SK"/>
        </w:rPr>
        <w:t>sumu cca 10,50</w:t>
      </w:r>
      <w:r w:rsidRPr="00A540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eura</w:t>
      </w:r>
      <w:r w:rsidRPr="00331313">
        <w:rPr>
          <w:rFonts w:ascii="Times New Roman" w:eastAsia="Times New Roman" w:hAnsi="Times New Roman" w:cs="Times New Roman"/>
          <w:sz w:val="24"/>
          <w:szCs w:val="24"/>
          <w:lang w:eastAsia="sk-SK"/>
        </w:rPr>
        <w:t>. Zároveň sa určila priemerná frekvencia vykonávania skúšok za rok 2020. V roku 2020 bolo vykonaných 346 skúšok, pričom v priemere na jednu akreditovanú osobu pripadá skoro 5 skúšok za rok 2020. Tu je nutné poukázať na pokles vykonaných skúšok v roku 2020 z dôvodu prijatých opatrení pre ochorenie COVID-19, napr. v roku 2019 bolo vykonaných 477 skúšok a v roku 2018 až 640 skúšok. Pokiaľ vychádzame z uvedeného modelového príkladu 5 skúšok za rok, predstavuje pre akreditovanú osobu úspora nákladov na poskytnuté priestory sumu cca 52</w:t>
      </w:r>
      <w:r w:rsidRPr="00A540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w:t>
      </w:r>
      <w:r w:rsidRPr="00331313">
        <w:rPr>
          <w:rFonts w:ascii="Times New Roman" w:eastAsia="Times New Roman" w:hAnsi="Times New Roman" w:cs="Times New Roman"/>
          <w:sz w:val="24"/>
          <w:szCs w:val="24"/>
          <w:lang w:eastAsia="sk-SK"/>
        </w:rPr>
        <w:t xml:space="preserve"> ročne. Celkov</w:t>
      </w:r>
      <w:r>
        <w:rPr>
          <w:rFonts w:ascii="Times New Roman" w:eastAsia="Times New Roman" w:hAnsi="Times New Roman" w:cs="Times New Roman"/>
          <w:sz w:val="24"/>
          <w:szCs w:val="24"/>
          <w:lang w:eastAsia="sk-SK"/>
        </w:rPr>
        <w:t>o</w:t>
      </w:r>
      <w:r w:rsidRPr="00331313">
        <w:rPr>
          <w:rFonts w:ascii="Times New Roman" w:eastAsia="Times New Roman" w:hAnsi="Times New Roman" w:cs="Times New Roman"/>
          <w:sz w:val="24"/>
          <w:szCs w:val="24"/>
          <w:lang w:eastAsia="sk-SK"/>
        </w:rPr>
        <w:t xml:space="preserve"> sa na skúšk</w:t>
      </w:r>
      <w:r>
        <w:rPr>
          <w:rFonts w:ascii="Times New Roman" w:eastAsia="Times New Roman" w:hAnsi="Times New Roman" w:cs="Times New Roman"/>
          <w:sz w:val="24"/>
          <w:szCs w:val="24"/>
          <w:lang w:eastAsia="sk-SK"/>
        </w:rPr>
        <w:t xml:space="preserve">ach </w:t>
      </w:r>
      <w:r w:rsidRPr="00331313">
        <w:rPr>
          <w:rFonts w:ascii="Times New Roman" w:eastAsia="Times New Roman" w:hAnsi="Times New Roman" w:cs="Times New Roman"/>
          <w:sz w:val="24"/>
          <w:szCs w:val="24"/>
          <w:lang w:eastAsia="sk-SK"/>
        </w:rPr>
        <w:t>odbornej spôsobilosti</w:t>
      </w:r>
      <w:r>
        <w:rPr>
          <w:rFonts w:ascii="Times New Roman" w:eastAsia="Times New Roman" w:hAnsi="Times New Roman" w:cs="Times New Roman"/>
          <w:sz w:val="24"/>
          <w:szCs w:val="24"/>
          <w:lang w:eastAsia="sk-SK"/>
        </w:rPr>
        <w:t>, ktorých bolo 346,</w:t>
      </w:r>
      <w:r w:rsidRPr="00331313">
        <w:rPr>
          <w:rFonts w:ascii="Times New Roman" w:eastAsia="Times New Roman" w:hAnsi="Times New Roman" w:cs="Times New Roman"/>
          <w:sz w:val="24"/>
          <w:szCs w:val="24"/>
          <w:lang w:eastAsia="sk-SK"/>
        </w:rPr>
        <w:t xml:space="preserve"> zúčastnilo 3509 uchádzačov. Na jednej skúške sa</w:t>
      </w:r>
      <w:r>
        <w:rPr>
          <w:rFonts w:ascii="Times New Roman" w:eastAsia="Times New Roman" w:hAnsi="Times New Roman" w:cs="Times New Roman"/>
          <w:sz w:val="24"/>
          <w:szCs w:val="24"/>
          <w:lang w:eastAsia="sk-SK"/>
        </w:rPr>
        <w:t xml:space="preserve"> teda </w:t>
      </w:r>
      <w:r w:rsidRPr="00331313">
        <w:rPr>
          <w:rFonts w:ascii="Times New Roman" w:eastAsia="Times New Roman" w:hAnsi="Times New Roman" w:cs="Times New Roman"/>
          <w:sz w:val="24"/>
          <w:szCs w:val="24"/>
          <w:lang w:eastAsia="sk-SK"/>
        </w:rPr>
        <w:t xml:space="preserve">zúčastnilo priemerne cca 10 uchádzačov. Pri frekvencii 5 skúšok za rok 2020 u akreditovanej osoby je to cca 50 uchádzačov za rok. Akreditovaná osoba </w:t>
      </w:r>
      <w:r>
        <w:rPr>
          <w:rFonts w:ascii="Times New Roman" w:eastAsia="Times New Roman" w:hAnsi="Times New Roman" w:cs="Times New Roman"/>
          <w:sz w:val="24"/>
          <w:szCs w:val="24"/>
          <w:lang w:eastAsia="sk-SK"/>
        </w:rPr>
        <w:t xml:space="preserve">taktiež </w:t>
      </w:r>
      <w:r w:rsidRPr="00331313">
        <w:rPr>
          <w:rFonts w:ascii="Times New Roman" w:eastAsia="Times New Roman" w:hAnsi="Times New Roman" w:cs="Times New Roman"/>
          <w:sz w:val="24"/>
          <w:szCs w:val="24"/>
          <w:lang w:eastAsia="sk-SK"/>
        </w:rPr>
        <w:t>poskytuje uchádzačom na skúške papier na prípravu, písacie potreby, spolupodieľa sa pri vypísaní a vytlačení údajov do vydávaných preukazov odbornej spôsobilosti. Odhadovaná suma takýchto nákladov je 5</w:t>
      </w:r>
      <w:r w:rsidRPr="00A540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w:t>
      </w:r>
      <w:r w:rsidRPr="00331313">
        <w:rPr>
          <w:rFonts w:ascii="Times New Roman" w:eastAsia="Times New Roman" w:hAnsi="Times New Roman" w:cs="Times New Roman"/>
          <w:sz w:val="24"/>
          <w:szCs w:val="24"/>
          <w:lang w:eastAsia="sk-SK"/>
        </w:rPr>
        <w:t xml:space="preserve"> na jednéh</w:t>
      </w:r>
      <w:r>
        <w:rPr>
          <w:rFonts w:ascii="Times New Roman" w:eastAsia="Times New Roman" w:hAnsi="Times New Roman" w:cs="Times New Roman"/>
          <w:sz w:val="24"/>
          <w:szCs w:val="24"/>
          <w:lang w:eastAsia="sk-SK"/>
        </w:rPr>
        <w:t>o uchádzača, teda celkove 250</w:t>
      </w:r>
      <w:r w:rsidRPr="00A540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w:t>
      </w:r>
      <w:r w:rsidRPr="00331313">
        <w:rPr>
          <w:rFonts w:ascii="Times New Roman" w:eastAsia="Times New Roman" w:hAnsi="Times New Roman" w:cs="Times New Roman"/>
          <w:sz w:val="24"/>
          <w:szCs w:val="24"/>
          <w:lang w:eastAsia="sk-SK"/>
        </w:rPr>
        <w:t xml:space="preserve"> ročne. Akreditovaná osoba musí prísť pred začiatkom skúšky, zabezpečiť priestory pre priebeh skúšky a je prítomná počas skúšky, až do odchodu uchádzačov  a komisie. Priemerne môže novým modelom skúšky dôjsť k úspore času akreditovanej osoby odhadom cca 4 hod. na jeden deň skúšky, teda 20 hod. ročne.  </w:t>
      </w:r>
    </w:p>
    <w:p w:rsidR="00286570" w:rsidRPr="00331313" w:rsidRDefault="00286570" w:rsidP="00286570">
      <w:pPr>
        <w:pStyle w:val="Bezriadkovania"/>
        <w:jc w:val="both"/>
        <w:rPr>
          <w:rFonts w:ascii="Times New Roman" w:eastAsia="Times New Roman" w:hAnsi="Times New Roman" w:cs="Times New Roman"/>
          <w:sz w:val="24"/>
          <w:szCs w:val="24"/>
          <w:lang w:eastAsia="sk-SK"/>
        </w:rPr>
      </w:pPr>
      <w:r w:rsidRPr="00331313">
        <w:rPr>
          <w:rFonts w:ascii="Times New Roman" w:eastAsia="Times New Roman" w:hAnsi="Times New Roman" w:cs="Times New Roman"/>
          <w:sz w:val="24"/>
          <w:szCs w:val="24"/>
          <w:lang w:eastAsia="sk-SK"/>
        </w:rPr>
        <w:t xml:space="preserve"> </w:t>
      </w:r>
    </w:p>
    <w:p w:rsidR="00286570" w:rsidRDefault="00286570" w:rsidP="00286570">
      <w:pPr>
        <w:pStyle w:val="Bezriadkovania"/>
        <w:jc w:val="both"/>
        <w:rPr>
          <w:rFonts w:ascii="Times New Roman" w:hAnsi="Times New Roman" w:cs="Times New Roman"/>
          <w:sz w:val="24"/>
          <w:szCs w:val="24"/>
        </w:rPr>
      </w:pPr>
      <w:r w:rsidRPr="00331313">
        <w:rPr>
          <w:rFonts w:ascii="Times New Roman" w:eastAsia="Times New Roman" w:hAnsi="Times New Roman" w:cs="Times New Roman"/>
          <w:sz w:val="24"/>
          <w:szCs w:val="24"/>
          <w:lang w:eastAsia="sk-SK"/>
        </w:rPr>
        <w:lastRenderedPageBreak/>
        <w:t>3.</w:t>
      </w:r>
      <w:r w:rsidRPr="00331313">
        <w:rPr>
          <w:rFonts w:ascii="Times New Roman" w:hAnsi="Times New Roman" w:cs="Times New Roman"/>
          <w:sz w:val="24"/>
          <w:szCs w:val="24"/>
        </w:rPr>
        <w:t xml:space="preserve"> § 81 ods. 1 písm. b) Zrušenie povinnosti akreditovanej osoby ustanoviť osobu zodpovednú za riadne vykonávanie odbornej prípravy </w:t>
      </w:r>
    </w:p>
    <w:p w:rsidR="00286570" w:rsidRPr="00331313" w:rsidRDefault="00286570" w:rsidP="00286570">
      <w:pPr>
        <w:pStyle w:val="Bezriadkovania"/>
        <w:jc w:val="both"/>
        <w:rPr>
          <w:rFonts w:ascii="Times New Roman" w:hAnsi="Times New Roman" w:cs="Times New Roman"/>
          <w:sz w:val="24"/>
          <w:szCs w:val="24"/>
        </w:rPr>
      </w:pPr>
    </w:p>
    <w:p w:rsidR="00286570" w:rsidRDefault="00286570" w:rsidP="00286570">
      <w:pPr>
        <w:pStyle w:val="Bezriadkovania"/>
        <w:jc w:val="both"/>
        <w:rPr>
          <w:rFonts w:ascii="Times New Roman" w:eastAsia="Times New Roman" w:hAnsi="Times New Roman" w:cs="Times New Roman"/>
          <w:sz w:val="24"/>
          <w:szCs w:val="24"/>
          <w:lang w:eastAsia="sk-SK"/>
        </w:rPr>
      </w:pPr>
      <w:r w:rsidRPr="00331313">
        <w:rPr>
          <w:rFonts w:ascii="Times New Roman" w:hAnsi="Times New Roman" w:cs="Times New Roman"/>
          <w:sz w:val="24"/>
          <w:szCs w:val="24"/>
        </w:rPr>
        <w:t xml:space="preserve">Opodstatnenosť tejto zmeny je odôvodnená tým, že za riadne vykonávanie odbornej prípravy má zodpovedať samotná akreditovaná osoba. Táto úprava bude mať pozitívny vplyv na činnosť akreditovaných osôb, ktorých ku koncu roka 2020 bolo 73. </w:t>
      </w:r>
      <w:r w:rsidRPr="0033131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w:t>
      </w:r>
      <w:r w:rsidRPr="00331313">
        <w:rPr>
          <w:rFonts w:ascii="Times New Roman" w:eastAsia="Times New Roman" w:hAnsi="Times New Roman" w:cs="Times New Roman"/>
          <w:sz w:val="24"/>
          <w:szCs w:val="24"/>
          <w:lang w:eastAsia="sk-SK"/>
        </w:rPr>
        <w:t>redkladateľovi nie sú známe nákladové položky akreditovaných osôb súvisiace s odmeňovaním zodpovedných zástupcov</w:t>
      </w:r>
      <w:r>
        <w:rPr>
          <w:rFonts w:ascii="Times New Roman" w:eastAsia="Times New Roman" w:hAnsi="Times New Roman" w:cs="Times New Roman"/>
          <w:sz w:val="24"/>
          <w:szCs w:val="24"/>
          <w:lang w:eastAsia="sk-SK"/>
        </w:rPr>
        <w:t xml:space="preserve">. Z uvedeného dôvodu </w:t>
      </w:r>
      <w:r w:rsidRPr="00331313">
        <w:rPr>
          <w:rFonts w:ascii="Times New Roman" w:eastAsia="Times New Roman" w:hAnsi="Times New Roman" w:cs="Times New Roman"/>
          <w:sz w:val="24"/>
          <w:szCs w:val="24"/>
          <w:lang w:eastAsia="sk-SK"/>
        </w:rPr>
        <w:t xml:space="preserve">bol </w:t>
      </w:r>
      <w:r>
        <w:rPr>
          <w:rFonts w:ascii="Times New Roman" w:eastAsia="Times New Roman" w:hAnsi="Times New Roman" w:cs="Times New Roman"/>
          <w:sz w:val="24"/>
          <w:szCs w:val="24"/>
          <w:lang w:eastAsia="sk-SK"/>
        </w:rPr>
        <w:t xml:space="preserve">použitý na výpočet </w:t>
      </w:r>
      <w:r w:rsidRPr="00331313">
        <w:rPr>
          <w:rFonts w:ascii="Times New Roman" w:eastAsia="Times New Roman" w:hAnsi="Times New Roman" w:cs="Times New Roman"/>
          <w:sz w:val="24"/>
          <w:szCs w:val="24"/>
          <w:lang w:eastAsia="sk-SK"/>
        </w:rPr>
        <w:t>modelov</w:t>
      </w:r>
      <w:r>
        <w:rPr>
          <w:rFonts w:ascii="Times New Roman" w:eastAsia="Times New Roman" w:hAnsi="Times New Roman" w:cs="Times New Roman"/>
          <w:sz w:val="24"/>
          <w:szCs w:val="24"/>
          <w:lang w:eastAsia="sk-SK"/>
        </w:rPr>
        <w:t>ý</w:t>
      </w:r>
      <w:r w:rsidRPr="00331313">
        <w:rPr>
          <w:rFonts w:ascii="Times New Roman" w:eastAsia="Times New Roman" w:hAnsi="Times New Roman" w:cs="Times New Roman"/>
          <w:sz w:val="24"/>
          <w:szCs w:val="24"/>
          <w:lang w:eastAsia="sk-SK"/>
        </w:rPr>
        <w:t xml:space="preserve"> príklad</w:t>
      </w:r>
      <w:r>
        <w:rPr>
          <w:rFonts w:ascii="Times New Roman" w:eastAsia="Times New Roman" w:hAnsi="Times New Roman" w:cs="Times New Roman"/>
          <w:sz w:val="24"/>
          <w:szCs w:val="24"/>
          <w:lang w:eastAsia="sk-SK"/>
        </w:rPr>
        <w:t xml:space="preserve"> 10 akreditovaných osôb a</w:t>
      </w:r>
      <w:r w:rsidRPr="00331313">
        <w:rPr>
          <w:rFonts w:ascii="Times New Roman" w:eastAsia="Times New Roman" w:hAnsi="Times New Roman" w:cs="Times New Roman"/>
          <w:sz w:val="24"/>
          <w:szCs w:val="24"/>
          <w:lang w:eastAsia="sk-SK"/>
        </w:rPr>
        <w:t xml:space="preserve"> použitá mesačná minimálna mzda za rok 2020 bez odvodov, ktorá bola vo výške </w:t>
      </w:r>
      <w:r>
        <w:rPr>
          <w:rFonts w:ascii="Times New Roman" w:eastAsia="Times New Roman" w:hAnsi="Times New Roman" w:cs="Times New Roman"/>
          <w:sz w:val="24"/>
          <w:szCs w:val="24"/>
          <w:lang w:eastAsia="sk-SK"/>
        </w:rPr>
        <w:t>580</w:t>
      </w:r>
      <w:r w:rsidRPr="00A540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w:t>
      </w:r>
      <w:r w:rsidRPr="00331313">
        <w:rPr>
          <w:rFonts w:ascii="Times New Roman" w:eastAsia="Times New Roman" w:hAnsi="Times New Roman" w:cs="Times New Roman"/>
          <w:sz w:val="24"/>
          <w:szCs w:val="24"/>
          <w:lang w:eastAsia="sk-SK"/>
        </w:rPr>
        <w:t xml:space="preserve">, čo predstavuje </w:t>
      </w:r>
      <w:r>
        <w:rPr>
          <w:rFonts w:ascii="Times New Roman" w:eastAsia="Times New Roman" w:hAnsi="Times New Roman" w:cs="Times New Roman"/>
          <w:sz w:val="24"/>
          <w:szCs w:val="24"/>
          <w:lang w:eastAsia="sk-SK"/>
        </w:rPr>
        <w:t xml:space="preserve">u jednej akreditovanej osoby </w:t>
      </w:r>
      <w:r w:rsidRPr="00331313">
        <w:rPr>
          <w:rFonts w:ascii="Times New Roman" w:eastAsia="Times New Roman" w:hAnsi="Times New Roman" w:cs="Times New Roman"/>
          <w:sz w:val="24"/>
          <w:szCs w:val="24"/>
          <w:lang w:eastAsia="sk-SK"/>
        </w:rPr>
        <w:t>za rok sumu 6960</w:t>
      </w:r>
      <w:r w:rsidRPr="00A540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w:t>
      </w:r>
      <w:r w:rsidRPr="00331313">
        <w:rPr>
          <w:rFonts w:ascii="Times New Roman" w:eastAsia="Times New Roman" w:hAnsi="Times New Roman" w:cs="Times New Roman"/>
          <w:sz w:val="24"/>
          <w:szCs w:val="24"/>
          <w:lang w:eastAsia="sk-SK"/>
        </w:rPr>
        <w:t xml:space="preserve">. </w:t>
      </w:r>
    </w:p>
    <w:p w:rsidR="00286570" w:rsidRPr="00331313" w:rsidRDefault="00286570" w:rsidP="00286570">
      <w:pPr>
        <w:pStyle w:val="Bezriadkovania"/>
        <w:jc w:val="both"/>
        <w:rPr>
          <w:rFonts w:ascii="Times New Roman" w:eastAsia="Times New Roman" w:hAnsi="Times New Roman" w:cs="Times New Roman"/>
          <w:sz w:val="24"/>
          <w:szCs w:val="24"/>
          <w:lang w:eastAsia="sk-SK"/>
        </w:rPr>
      </w:pPr>
      <w:r w:rsidRPr="00331313">
        <w:rPr>
          <w:rFonts w:ascii="Times New Roman" w:eastAsia="Times New Roman" w:hAnsi="Times New Roman" w:cs="Times New Roman"/>
          <w:sz w:val="24"/>
          <w:szCs w:val="24"/>
          <w:lang w:eastAsia="sk-SK"/>
        </w:rPr>
        <w:t xml:space="preserve"> </w:t>
      </w:r>
      <w:r w:rsidRPr="00331313">
        <w:rPr>
          <w:rFonts w:ascii="Times New Roman" w:hAnsi="Times New Roman" w:cs="Times New Roman"/>
          <w:sz w:val="24"/>
          <w:szCs w:val="24"/>
        </w:rPr>
        <w:t xml:space="preserve"> </w:t>
      </w:r>
      <w:r w:rsidRPr="00331313">
        <w:rPr>
          <w:rFonts w:ascii="Times New Roman" w:eastAsia="Times New Roman" w:hAnsi="Times New Roman" w:cs="Times New Roman"/>
          <w:sz w:val="24"/>
          <w:szCs w:val="24"/>
          <w:lang w:eastAsia="sk-SK"/>
        </w:rPr>
        <w:t xml:space="preserve">   </w:t>
      </w:r>
    </w:p>
    <w:p w:rsidR="00286570" w:rsidRDefault="00286570" w:rsidP="00286570">
      <w:pPr>
        <w:pStyle w:val="Bezriadkovania"/>
        <w:jc w:val="both"/>
        <w:rPr>
          <w:rFonts w:ascii="Times New Roman" w:hAnsi="Times New Roman" w:cs="Times New Roman"/>
          <w:sz w:val="24"/>
          <w:szCs w:val="24"/>
        </w:rPr>
      </w:pPr>
      <w:r>
        <w:rPr>
          <w:rFonts w:ascii="Times New Roman" w:hAnsi="Times New Roman" w:cs="Times New Roman"/>
          <w:sz w:val="24"/>
          <w:szCs w:val="24"/>
        </w:rPr>
        <w:t>4</w:t>
      </w:r>
      <w:r w:rsidRPr="00331313">
        <w:rPr>
          <w:rFonts w:ascii="Times New Roman" w:hAnsi="Times New Roman" w:cs="Times New Roman"/>
          <w:sz w:val="24"/>
          <w:szCs w:val="24"/>
        </w:rPr>
        <w:t>. § 83 ods. 2 až 4 Zrušenie evidencie osôb, evidencie záznamníkov a záznamníkov vedených akreditovanou osobou</w:t>
      </w:r>
    </w:p>
    <w:p w:rsidR="00286570" w:rsidRPr="00331313" w:rsidRDefault="00286570" w:rsidP="00286570">
      <w:pPr>
        <w:pStyle w:val="Bezriadkovania"/>
        <w:jc w:val="both"/>
        <w:rPr>
          <w:rFonts w:ascii="Times New Roman" w:hAnsi="Times New Roman" w:cs="Times New Roman"/>
          <w:sz w:val="24"/>
          <w:szCs w:val="24"/>
        </w:rPr>
      </w:pPr>
    </w:p>
    <w:p w:rsidR="00286570" w:rsidRDefault="00286570" w:rsidP="00286570">
      <w:pPr>
        <w:pStyle w:val="Bezriadkovania"/>
        <w:jc w:val="both"/>
        <w:rPr>
          <w:rFonts w:ascii="Times New Roman" w:hAnsi="Times New Roman" w:cs="Times New Roman"/>
          <w:sz w:val="24"/>
          <w:szCs w:val="24"/>
        </w:rPr>
      </w:pPr>
      <w:r w:rsidRPr="00331313">
        <w:rPr>
          <w:rFonts w:ascii="Times New Roman" w:eastAsia="Times New Roman" w:hAnsi="Times New Roman" w:cs="Times New Roman"/>
          <w:sz w:val="24"/>
          <w:szCs w:val="24"/>
          <w:lang w:eastAsia="sk-SK"/>
        </w:rPr>
        <w:t xml:space="preserve">Záznamník, evidenciu záznamníkov a evidenciu osôb prihlásených na odbornú prípravu nahrádza jedna evidencia a to evidencia osôb a priebehu  odbornej prípravy.  Takouto úpravou nastane zníženie nákladov pre akreditované osoby, ktorých ku koncu roka 2020 bolo 73. Dôjde k priamej úspore nákladov, nakoľko akreditovaná osoba nemusí zaobstarávať záznamník, evidenciu záznamníkov a evidenciu osôb prihlásených na odbornú prípravu, ale len jednu evidenciu. </w:t>
      </w:r>
      <w:r w:rsidRPr="00331313">
        <w:rPr>
          <w:rFonts w:ascii="Times New Roman" w:hAnsi="Times New Roman" w:cs="Times New Roman"/>
          <w:sz w:val="24"/>
          <w:szCs w:val="24"/>
        </w:rPr>
        <w:t>Keďže nie je určená forma</w:t>
      </w:r>
      <w:r w:rsidRPr="00331313">
        <w:rPr>
          <w:rFonts w:ascii="Times New Roman" w:eastAsia="Times New Roman" w:hAnsi="Times New Roman" w:cs="Times New Roman"/>
          <w:sz w:val="24"/>
          <w:szCs w:val="24"/>
          <w:lang w:eastAsia="sk-SK"/>
        </w:rPr>
        <w:t xml:space="preserve"> záznamníka, evidencie záznamníkov, evidencie osôb prihlásených na odbornú prípravu a ani evidencie osôb a priebehu odbornej prípravy,</w:t>
      </w:r>
      <w:r w:rsidRPr="00331313">
        <w:rPr>
          <w:rFonts w:ascii="Times New Roman" w:hAnsi="Times New Roman" w:cs="Times New Roman"/>
          <w:sz w:val="24"/>
          <w:szCs w:val="24"/>
        </w:rPr>
        <w:t xml:space="preserve"> ale  len ich obsah, pričom si ich prevádzkovateľ môže vytvoriť aj sám v ľubovoľnej papierovej podobe, tak aby spĺňali náležitosti zákona o súkromnej bezpečnosti, bol vytvorený modelový príklad, v ktorom bola určená priemerná cena pre t</w:t>
      </w:r>
      <w:r>
        <w:rPr>
          <w:rFonts w:ascii="Times New Roman" w:hAnsi="Times New Roman" w:cs="Times New Roman"/>
          <w:sz w:val="24"/>
          <w:szCs w:val="24"/>
        </w:rPr>
        <w:t xml:space="preserve">akéto písomnosti a to kus za 5 </w:t>
      </w:r>
      <w:r>
        <w:rPr>
          <w:rFonts w:ascii="Times New Roman" w:eastAsia="Times New Roman" w:hAnsi="Times New Roman" w:cs="Times New Roman"/>
          <w:sz w:val="24"/>
          <w:szCs w:val="24"/>
          <w:lang w:eastAsia="sk-SK"/>
        </w:rPr>
        <w:t>eur</w:t>
      </w:r>
      <w:r w:rsidRPr="00331313">
        <w:rPr>
          <w:rFonts w:ascii="Times New Roman" w:hAnsi="Times New Roman" w:cs="Times New Roman"/>
          <w:sz w:val="24"/>
          <w:szCs w:val="24"/>
        </w:rPr>
        <w:t>. Doteraz musela akreditovaná osoba vynaložiť celkovo 15</w:t>
      </w:r>
      <w:r w:rsidRPr="00A540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w:t>
      </w:r>
      <w:r>
        <w:rPr>
          <w:rFonts w:ascii="Times New Roman" w:hAnsi="Times New Roman" w:cs="Times New Roman"/>
          <w:sz w:val="24"/>
          <w:szCs w:val="24"/>
        </w:rPr>
        <w:t xml:space="preserve">, pričom </w:t>
      </w:r>
      <w:r w:rsidRPr="00331313">
        <w:rPr>
          <w:rFonts w:ascii="Times New Roman" w:hAnsi="Times New Roman" w:cs="Times New Roman"/>
          <w:sz w:val="24"/>
          <w:szCs w:val="24"/>
        </w:rPr>
        <w:t xml:space="preserve">zavedením takejto úpravy </w:t>
      </w:r>
      <w:r>
        <w:rPr>
          <w:rFonts w:ascii="Times New Roman" w:hAnsi="Times New Roman" w:cs="Times New Roman"/>
          <w:sz w:val="24"/>
          <w:szCs w:val="24"/>
        </w:rPr>
        <w:t xml:space="preserve">vynaloží </w:t>
      </w:r>
      <w:r w:rsidRPr="00331313">
        <w:rPr>
          <w:rFonts w:ascii="Times New Roman" w:hAnsi="Times New Roman" w:cs="Times New Roman"/>
          <w:sz w:val="24"/>
          <w:szCs w:val="24"/>
        </w:rPr>
        <w:t>len 5</w:t>
      </w:r>
      <w:r w:rsidRPr="00A540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w:t>
      </w:r>
      <w:r w:rsidRPr="00331313">
        <w:rPr>
          <w:rFonts w:ascii="Times New Roman" w:hAnsi="Times New Roman" w:cs="Times New Roman"/>
          <w:sz w:val="24"/>
          <w:szCs w:val="24"/>
        </w:rPr>
        <w:t>, teda je to priama úspora 10</w:t>
      </w:r>
      <w:r w:rsidRPr="00A540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eur</w:t>
      </w:r>
      <w:r w:rsidRPr="00331313">
        <w:rPr>
          <w:rFonts w:ascii="Times New Roman" w:hAnsi="Times New Roman" w:cs="Times New Roman"/>
          <w:sz w:val="24"/>
          <w:szCs w:val="24"/>
        </w:rPr>
        <w:t xml:space="preserve"> u jednej akreditovanej osoby. Zároveň </w:t>
      </w:r>
      <w:r>
        <w:rPr>
          <w:rFonts w:ascii="Times New Roman" w:hAnsi="Times New Roman" w:cs="Times New Roman"/>
          <w:sz w:val="24"/>
          <w:szCs w:val="24"/>
        </w:rPr>
        <w:t xml:space="preserve">takouto úpravou </w:t>
      </w:r>
      <w:r w:rsidRPr="00331313">
        <w:rPr>
          <w:rFonts w:ascii="Times New Roman" w:hAnsi="Times New Roman" w:cs="Times New Roman"/>
          <w:sz w:val="24"/>
          <w:szCs w:val="24"/>
        </w:rPr>
        <w:t>nastane aj zníženie administratívnych nákladov</w:t>
      </w:r>
      <w:r>
        <w:rPr>
          <w:rFonts w:ascii="Times New Roman" w:hAnsi="Times New Roman" w:cs="Times New Roman"/>
          <w:sz w:val="24"/>
          <w:szCs w:val="24"/>
        </w:rPr>
        <w:t xml:space="preserve">. </w:t>
      </w:r>
    </w:p>
    <w:p w:rsidR="00286570" w:rsidRPr="00331313" w:rsidRDefault="00286570" w:rsidP="00286570">
      <w:pPr>
        <w:pStyle w:val="Bezriadkovania"/>
        <w:jc w:val="both"/>
        <w:rPr>
          <w:rFonts w:ascii="Times New Roman" w:hAnsi="Times New Roman" w:cs="Times New Roman"/>
          <w:b/>
          <w:sz w:val="24"/>
          <w:szCs w:val="24"/>
        </w:rPr>
      </w:pPr>
    </w:p>
    <w:p w:rsidR="00286570" w:rsidRPr="00AD5E00" w:rsidRDefault="00286570" w:rsidP="00286570">
      <w:pPr>
        <w:jc w:val="both"/>
        <w:rPr>
          <w:rFonts w:ascii="Times New Roman" w:eastAsia="Calibri" w:hAnsi="Times New Roman" w:cs="Times New Roman"/>
          <w:b/>
        </w:rPr>
      </w:pPr>
      <w:r w:rsidRPr="00AD5E00">
        <w:rPr>
          <w:rFonts w:ascii="Times New Roman" w:eastAsia="Calibri" w:hAnsi="Times New Roman" w:cs="Times New Roman"/>
          <w:b/>
        </w:rPr>
        <w:t>3.2 Vyhodnotenie konzultácií s podnikateľskými subjektmi pred predbežným pripomienkovým konaním</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Návrh zákona bol konzultovaný formou zverejnenej predbežnej informácie v informačnom systéme verejnej správy Slov-Lex (PI/2021/131). V lehote na podanie podnetov a návrhov zo strany verejnosti neboli navrhovateľovi doručené žiadne podnety ani návrhy.</w:t>
      </w:r>
    </w:p>
    <w:p w:rsidR="00286570" w:rsidRPr="00AD5E00" w:rsidRDefault="00286570" w:rsidP="00286570">
      <w:pPr>
        <w:jc w:val="both"/>
        <w:rPr>
          <w:rFonts w:ascii="Times New Roman" w:eastAsia="Calibri" w:hAnsi="Times New Roman" w:cs="Times New Roman"/>
          <w:b/>
        </w:rPr>
      </w:pPr>
      <w:r w:rsidRPr="00AD5E00">
        <w:rPr>
          <w:rFonts w:ascii="Times New Roman" w:eastAsia="Calibri" w:hAnsi="Times New Roman" w:cs="Times New Roman"/>
        </w:rPr>
        <w:t xml:space="preserve">  </w:t>
      </w:r>
      <w:bookmarkStart w:id="0" w:name="_Hlk47698091"/>
      <w:r w:rsidRPr="00AD5E00">
        <w:rPr>
          <w:rFonts w:ascii="Times New Roman" w:eastAsia="Calibri" w:hAnsi="Times New Roman" w:cs="Times New Roman"/>
          <w:b/>
        </w:rPr>
        <w:t>3.3 Vplyvy na konkurencieschopnosť a produktivitu</w:t>
      </w:r>
    </w:p>
    <w:bookmarkEnd w:id="0"/>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 xml:space="preserve">Dochádza k vytvoreniu resp. k zmene bariér na trhu? </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 xml:space="preserve">Bude sa s niektorými podnikmi alebo produktmi zaobchádzať v porovnateľnej situácii rôzne (napr. špeciálne režimy pre mikro, malé a stredné podniky tzv. MSP)? </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 xml:space="preserve">Ovplyvňuje zmena regulácie cezhraničné investície (príliv/odliv zahraničných investícií resp. uplatnenie slovenských podnikov na zahraničných trhoch)? </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 xml:space="preserve">Ovplyvní dostupnosť základných zdrojov (financie, pracovná sila, suroviny, mechanizmy, energie atď.)? </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Ovplyvňuje zmena regulácie inovácie, vedu a výskum?</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iCs/>
        </w:rPr>
        <w:lastRenderedPageBreak/>
        <w:t>Ako prispieva zmena regulácie k cieľu Slovenska mať najlepšie podnikateľské prostredie spomedzi susediacich krajín EÚ?</w:t>
      </w:r>
    </w:p>
    <w:p w:rsidR="00286570" w:rsidRPr="00AD5E00" w:rsidRDefault="00286570" w:rsidP="00286570">
      <w:pPr>
        <w:jc w:val="both"/>
        <w:rPr>
          <w:rFonts w:ascii="Times New Roman" w:eastAsia="Calibri" w:hAnsi="Times New Roman" w:cs="Times New Roman"/>
        </w:rPr>
      </w:pPr>
    </w:p>
    <w:p w:rsidR="00286570" w:rsidRPr="00AD5E00" w:rsidRDefault="00286570" w:rsidP="00286570">
      <w:pPr>
        <w:jc w:val="both"/>
        <w:rPr>
          <w:rFonts w:ascii="Times New Roman" w:eastAsia="Calibri" w:hAnsi="Times New Roman" w:cs="Times New Roman"/>
          <w:b/>
        </w:rPr>
      </w:pPr>
      <w:r w:rsidRPr="00AD5E00">
        <w:rPr>
          <w:rFonts w:ascii="Times New Roman" w:eastAsia="Calibri" w:hAnsi="Times New Roman" w:cs="Times New Roman"/>
          <w:b/>
        </w:rPr>
        <w:t>Konkurencieschopnosť:</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Na základe uvedených odpovedí zaškrtnite a popíšte, či materiál konkurencieschopnosť:</w:t>
      </w:r>
    </w:p>
    <w:p w:rsidR="00286570" w:rsidRPr="00AD5E00" w:rsidRDefault="00BF567A" w:rsidP="00286570">
      <w:pPr>
        <w:jc w:val="both"/>
        <w:rPr>
          <w:rFonts w:ascii="Times New Roman" w:eastAsia="Calibri" w:hAnsi="Times New Roman" w:cs="Times New Roman"/>
          <w:i/>
        </w:rPr>
      </w:pPr>
      <w:sdt>
        <w:sdtPr>
          <w:rPr>
            <w:rFonts w:ascii="Times New Roman" w:eastAsia="Calibri" w:hAnsi="Times New Roman" w:cs="Times New Roman"/>
            <w:i/>
          </w:rPr>
          <w:id w:val="798576880"/>
        </w:sdtPr>
        <w:sdtEndPr/>
        <w:sdtContent>
          <w:sdt>
            <w:sdtPr>
              <w:rPr>
                <w:rFonts w:ascii="Times New Roman" w:eastAsia="Calibri" w:hAnsi="Times New Roman" w:cs="Times New Roman"/>
                <w:i/>
              </w:rPr>
              <w:id w:val="1729873660"/>
            </w:sdtPr>
            <w:sdtEndPr/>
            <w:sdtContent>
              <w:r w:rsidR="00286570" w:rsidRPr="00AD5E00">
                <w:rPr>
                  <w:rFonts w:ascii="Segoe UI Symbol" w:eastAsia="Calibri" w:hAnsi="Segoe UI Symbol" w:cs="Segoe UI Symbol"/>
                  <w:i/>
                </w:rPr>
                <w:t>☐</w:t>
              </w:r>
            </w:sdtContent>
          </w:sdt>
        </w:sdtContent>
      </w:sdt>
      <w:r w:rsidR="00286570" w:rsidRPr="00AD5E00">
        <w:rPr>
          <w:rFonts w:ascii="Times New Roman" w:eastAsia="Calibri" w:hAnsi="Times New Roman" w:cs="Times New Roman"/>
          <w:i/>
        </w:rPr>
        <w:t xml:space="preserve"> zvyšuje  </w:t>
      </w:r>
      <w:r w:rsidR="00286570" w:rsidRPr="00AD5E00">
        <w:rPr>
          <w:rFonts w:ascii="Times New Roman" w:eastAsia="Calibri" w:hAnsi="Times New Roman" w:cs="Times New Roman"/>
          <w:i/>
        </w:rPr>
        <w:tab/>
      </w:r>
      <w:sdt>
        <w:sdtPr>
          <w:rPr>
            <w:rFonts w:ascii="Times New Roman" w:eastAsia="Calibri" w:hAnsi="Times New Roman" w:cs="Times New Roman"/>
            <w:i/>
          </w:rPr>
          <w:id w:val="410579887"/>
        </w:sdtPr>
        <w:sdtEndPr/>
        <w:sdtContent>
          <w:sdt>
            <w:sdtPr>
              <w:rPr>
                <w:rFonts w:ascii="Times New Roman" w:eastAsia="Calibri" w:hAnsi="Times New Roman" w:cs="Times New Roman"/>
                <w:i/>
              </w:rPr>
              <w:id w:val="-80300261"/>
              <w:showingPlcHdr/>
            </w:sdtPr>
            <w:sdtEndPr/>
            <w:sdtContent>
              <w:r w:rsidR="00286570" w:rsidRPr="00AD5E00">
                <w:rPr>
                  <w:rFonts w:ascii="Times New Roman" w:eastAsia="Calibri" w:hAnsi="Times New Roman" w:cs="Times New Roman"/>
                  <w:i/>
                </w:rPr>
                <w:t xml:space="preserve">     </w:t>
              </w:r>
            </w:sdtContent>
          </w:sdt>
        </w:sdtContent>
      </w:sdt>
      <w:r w:rsidR="00286570" w:rsidRPr="00AD5E00">
        <w:rPr>
          <w:rFonts w:ascii="Times New Roman" w:hAnsi="Times New Roman" w:cs="Times New Roman"/>
          <w:b/>
          <w:sz w:val="20"/>
          <w:szCs w:val="20"/>
        </w:rPr>
        <w:t xml:space="preserve"> </w:t>
      </w:r>
      <w:sdt>
        <w:sdtPr>
          <w:rPr>
            <w:rFonts w:ascii="Times New Roman" w:hAnsi="Times New Roman" w:cs="Times New Roman"/>
            <w:b/>
            <w:sz w:val="20"/>
            <w:szCs w:val="20"/>
          </w:rPr>
          <w:id w:val="536247804"/>
        </w:sdtPr>
        <w:sdtEndPr/>
        <w:sdtContent>
          <w:r w:rsidR="00286570" w:rsidRPr="00AD5E00">
            <w:rPr>
              <w:rFonts w:ascii="Times New Roman" w:hAnsi="Times New Roman" w:cs="Times New Roman"/>
              <w:sz w:val="20"/>
              <w:szCs w:val="20"/>
            </w:rPr>
            <w:t></w:t>
          </w:r>
        </w:sdtContent>
      </w:sdt>
      <w:r w:rsidR="00286570" w:rsidRPr="00AD5E00">
        <w:rPr>
          <w:rFonts w:ascii="Times New Roman" w:eastAsia="Calibri" w:hAnsi="Times New Roman" w:cs="Times New Roman"/>
          <w:i/>
        </w:rPr>
        <w:t xml:space="preserve"> nemení</w:t>
      </w:r>
      <w:r w:rsidR="00286570" w:rsidRPr="00AD5E00">
        <w:rPr>
          <w:rFonts w:ascii="Times New Roman" w:eastAsia="Calibri" w:hAnsi="Times New Roman" w:cs="Times New Roman"/>
          <w:i/>
        </w:rPr>
        <w:tab/>
      </w:r>
      <w:sdt>
        <w:sdtPr>
          <w:rPr>
            <w:rFonts w:ascii="Times New Roman" w:eastAsia="Calibri" w:hAnsi="Times New Roman" w:cs="Times New Roman"/>
            <w:i/>
          </w:rPr>
          <w:id w:val="-474604883"/>
        </w:sdtPr>
        <w:sdtEndPr/>
        <w:sdtContent>
          <w:sdt>
            <w:sdtPr>
              <w:rPr>
                <w:rFonts w:ascii="Times New Roman" w:eastAsia="Calibri" w:hAnsi="Times New Roman" w:cs="Times New Roman"/>
                <w:i/>
              </w:rPr>
              <w:id w:val="-1706551548"/>
            </w:sdtPr>
            <w:sdtEndPr/>
            <w:sdtContent>
              <w:r w:rsidR="00286570" w:rsidRPr="00AD5E00">
                <w:rPr>
                  <w:rFonts w:ascii="Segoe UI Symbol" w:eastAsia="Calibri" w:hAnsi="Segoe UI Symbol" w:cs="Segoe UI Symbol"/>
                  <w:i/>
                </w:rPr>
                <w:t>☐</w:t>
              </w:r>
            </w:sdtContent>
          </w:sdt>
        </w:sdtContent>
      </w:sdt>
      <w:r w:rsidR="00286570" w:rsidRPr="00AD5E00">
        <w:rPr>
          <w:rFonts w:ascii="Times New Roman" w:eastAsia="Calibri" w:hAnsi="Times New Roman" w:cs="Times New Roman"/>
          <w:i/>
        </w:rPr>
        <w:t xml:space="preserve"> znižuje</w:t>
      </w:r>
    </w:p>
    <w:p w:rsidR="00286570" w:rsidRPr="00AD5E00" w:rsidRDefault="00286570" w:rsidP="00286570">
      <w:pPr>
        <w:jc w:val="both"/>
        <w:rPr>
          <w:rFonts w:ascii="Times New Roman" w:eastAsia="Calibri" w:hAnsi="Times New Roman" w:cs="Times New Roman"/>
          <w:i/>
        </w:rPr>
      </w:pPr>
    </w:p>
    <w:p w:rsidR="00286570" w:rsidRPr="00AD5E00" w:rsidRDefault="00286570" w:rsidP="00286570">
      <w:pPr>
        <w:jc w:val="both"/>
        <w:rPr>
          <w:rFonts w:ascii="Times New Roman" w:eastAsia="Calibri" w:hAnsi="Times New Roman" w:cs="Times New Roman"/>
          <w:b/>
        </w:rPr>
      </w:pPr>
      <w:r w:rsidRPr="00AD5E00">
        <w:rPr>
          <w:rFonts w:ascii="Times New Roman" w:eastAsia="Calibri" w:hAnsi="Times New Roman" w:cs="Times New Roman"/>
          <w:b/>
        </w:rPr>
        <w:t>Produktivita:</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 xml:space="preserve">Aký má materiál vplyv na zmenu pomeru medzi produkciou podnikov a ich nákladmi? </w:t>
      </w:r>
    </w:p>
    <w:p w:rsidR="00286570" w:rsidRPr="00AD5E00" w:rsidRDefault="00286570" w:rsidP="00286570">
      <w:pPr>
        <w:jc w:val="both"/>
        <w:rPr>
          <w:rFonts w:ascii="Times New Roman" w:eastAsia="Calibri" w:hAnsi="Times New Roman" w:cs="Times New Roman"/>
        </w:rPr>
      </w:pP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Na základe uvedenej odpovede zaškrtnite a popíšte, či materiál produktivitu:</w:t>
      </w:r>
    </w:p>
    <w:p w:rsidR="00286570" w:rsidRPr="00AD5E00" w:rsidRDefault="00BF567A" w:rsidP="00286570">
      <w:pPr>
        <w:jc w:val="both"/>
        <w:rPr>
          <w:rFonts w:ascii="Times New Roman" w:eastAsia="Calibri" w:hAnsi="Times New Roman" w:cs="Times New Roman"/>
          <w:i/>
        </w:rPr>
      </w:pPr>
      <w:sdt>
        <w:sdtPr>
          <w:rPr>
            <w:rFonts w:ascii="Times New Roman" w:eastAsia="Calibri" w:hAnsi="Times New Roman" w:cs="Times New Roman"/>
            <w:i/>
          </w:rPr>
          <w:id w:val="-1545903528"/>
        </w:sdtPr>
        <w:sdtEndPr/>
        <w:sdtContent>
          <w:sdt>
            <w:sdtPr>
              <w:rPr>
                <w:rFonts w:ascii="Times New Roman" w:eastAsia="Calibri" w:hAnsi="Times New Roman" w:cs="Times New Roman"/>
                <w:i/>
              </w:rPr>
              <w:id w:val="825715010"/>
            </w:sdtPr>
            <w:sdtEndPr/>
            <w:sdtContent>
              <w:r w:rsidR="00286570" w:rsidRPr="00AD5E00">
                <w:rPr>
                  <w:rFonts w:ascii="Segoe UI Symbol" w:eastAsia="Calibri" w:hAnsi="Segoe UI Symbol" w:cs="Segoe UI Symbol"/>
                  <w:i/>
                </w:rPr>
                <w:t>☐</w:t>
              </w:r>
            </w:sdtContent>
          </w:sdt>
        </w:sdtContent>
      </w:sdt>
      <w:r w:rsidR="00286570" w:rsidRPr="00AD5E00">
        <w:rPr>
          <w:rFonts w:ascii="Times New Roman" w:eastAsia="Calibri" w:hAnsi="Times New Roman" w:cs="Times New Roman"/>
          <w:i/>
        </w:rPr>
        <w:t xml:space="preserve"> zvyšuje  </w:t>
      </w:r>
      <w:r w:rsidR="00286570" w:rsidRPr="00AD5E00">
        <w:rPr>
          <w:rFonts w:ascii="Times New Roman" w:eastAsia="Calibri" w:hAnsi="Times New Roman" w:cs="Times New Roman"/>
          <w:i/>
        </w:rPr>
        <w:tab/>
      </w:r>
      <w:sdt>
        <w:sdtPr>
          <w:rPr>
            <w:rFonts w:ascii="Times New Roman" w:eastAsia="Calibri" w:hAnsi="Times New Roman" w:cs="Times New Roman"/>
            <w:i/>
          </w:rPr>
          <w:id w:val="-353966921"/>
        </w:sdtPr>
        <w:sdtEndPr/>
        <w:sdtContent>
          <w:sdt>
            <w:sdtPr>
              <w:rPr>
                <w:rFonts w:ascii="Times New Roman" w:eastAsia="Calibri" w:hAnsi="Times New Roman" w:cs="Times New Roman"/>
                <w:i/>
              </w:rPr>
              <w:id w:val="-1222205104"/>
              <w:showingPlcHdr/>
            </w:sdtPr>
            <w:sdtEndPr/>
            <w:sdtContent>
              <w:r w:rsidR="00286570" w:rsidRPr="00AD5E00">
                <w:rPr>
                  <w:rFonts w:ascii="Times New Roman" w:eastAsia="Calibri" w:hAnsi="Times New Roman" w:cs="Times New Roman"/>
                  <w:i/>
                </w:rPr>
                <w:t xml:space="preserve">     </w:t>
              </w:r>
            </w:sdtContent>
          </w:sdt>
        </w:sdtContent>
      </w:sdt>
      <w:r w:rsidR="00286570" w:rsidRPr="00AD5E00">
        <w:rPr>
          <w:rFonts w:ascii="Times New Roman" w:hAnsi="Times New Roman" w:cs="Times New Roman"/>
          <w:b/>
          <w:sz w:val="20"/>
          <w:szCs w:val="20"/>
        </w:rPr>
        <w:t xml:space="preserve"> </w:t>
      </w:r>
      <w:sdt>
        <w:sdtPr>
          <w:rPr>
            <w:rFonts w:ascii="Times New Roman" w:hAnsi="Times New Roman" w:cs="Times New Roman"/>
            <w:b/>
            <w:sz w:val="20"/>
            <w:szCs w:val="20"/>
          </w:rPr>
          <w:id w:val="-1972043084"/>
        </w:sdtPr>
        <w:sdtEndPr/>
        <w:sdtContent>
          <w:r w:rsidR="00286570" w:rsidRPr="00AD5E00">
            <w:rPr>
              <w:rFonts w:ascii="Times New Roman" w:hAnsi="Times New Roman" w:cs="Times New Roman"/>
              <w:sz w:val="20"/>
              <w:szCs w:val="20"/>
            </w:rPr>
            <w:t></w:t>
          </w:r>
        </w:sdtContent>
      </w:sdt>
      <w:r w:rsidR="00286570" w:rsidRPr="00AD5E00">
        <w:rPr>
          <w:rFonts w:ascii="Times New Roman" w:eastAsia="Calibri" w:hAnsi="Times New Roman" w:cs="Times New Roman"/>
          <w:i/>
        </w:rPr>
        <w:t xml:space="preserve"> nemení</w:t>
      </w:r>
      <w:r w:rsidR="00286570" w:rsidRPr="00AD5E00">
        <w:rPr>
          <w:rFonts w:ascii="Times New Roman" w:eastAsia="Calibri" w:hAnsi="Times New Roman" w:cs="Times New Roman"/>
          <w:i/>
        </w:rPr>
        <w:tab/>
      </w:r>
      <w:sdt>
        <w:sdtPr>
          <w:rPr>
            <w:rFonts w:ascii="Times New Roman" w:eastAsia="Calibri" w:hAnsi="Times New Roman" w:cs="Times New Roman"/>
            <w:i/>
          </w:rPr>
          <w:id w:val="-1457723544"/>
        </w:sdtPr>
        <w:sdtEndPr/>
        <w:sdtContent>
          <w:sdt>
            <w:sdtPr>
              <w:rPr>
                <w:rFonts w:ascii="Times New Roman" w:eastAsia="Calibri" w:hAnsi="Times New Roman" w:cs="Times New Roman"/>
                <w:i/>
              </w:rPr>
              <w:id w:val="-623767955"/>
            </w:sdtPr>
            <w:sdtEndPr/>
            <w:sdtContent>
              <w:r w:rsidR="00286570" w:rsidRPr="00AD5E00">
                <w:rPr>
                  <w:rFonts w:ascii="Segoe UI Symbol" w:eastAsia="Calibri" w:hAnsi="Segoe UI Symbol" w:cs="Segoe UI Symbol"/>
                  <w:i/>
                </w:rPr>
                <w:t>☐</w:t>
              </w:r>
            </w:sdtContent>
          </w:sdt>
        </w:sdtContent>
      </w:sdt>
      <w:r w:rsidR="00286570" w:rsidRPr="00AD5E00">
        <w:rPr>
          <w:rFonts w:ascii="Times New Roman" w:eastAsia="Calibri" w:hAnsi="Times New Roman" w:cs="Times New Roman"/>
          <w:i/>
        </w:rPr>
        <w:t xml:space="preserve"> znižuje</w:t>
      </w:r>
    </w:p>
    <w:p w:rsidR="00286570" w:rsidRPr="00AD5E00" w:rsidRDefault="00286570" w:rsidP="00286570">
      <w:pPr>
        <w:jc w:val="both"/>
        <w:rPr>
          <w:rFonts w:ascii="Times New Roman" w:eastAsia="Calibri" w:hAnsi="Times New Roman" w:cs="Times New Roman"/>
          <w:i/>
        </w:rPr>
      </w:pPr>
    </w:p>
    <w:p w:rsidR="00286570" w:rsidRPr="00AD5E00" w:rsidRDefault="00286570" w:rsidP="00286570">
      <w:pPr>
        <w:jc w:val="both"/>
        <w:rPr>
          <w:rFonts w:ascii="Times New Roman" w:eastAsia="Calibri" w:hAnsi="Times New Roman" w:cs="Times New Roman"/>
          <w:i/>
        </w:rPr>
      </w:pPr>
    </w:p>
    <w:p w:rsidR="00286570" w:rsidRPr="00AD5E00" w:rsidRDefault="00286570" w:rsidP="00286570">
      <w:pPr>
        <w:jc w:val="both"/>
        <w:rPr>
          <w:rFonts w:ascii="Times New Roman" w:eastAsia="Calibri" w:hAnsi="Times New Roman" w:cs="Times New Roman"/>
          <w:b/>
        </w:rPr>
      </w:pPr>
      <w:r w:rsidRPr="00AD5E00">
        <w:rPr>
          <w:rFonts w:ascii="Times New Roman" w:eastAsia="Calibri" w:hAnsi="Times New Roman" w:cs="Times New Roman"/>
          <w:b/>
        </w:rPr>
        <w:t xml:space="preserve">3.4  Iné vplyvy na podnikateľské prostredie </w:t>
      </w:r>
    </w:p>
    <w:p w:rsidR="00286570" w:rsidRPr="00AD5E00" w:rsidRDefault="00286570" w:rsidP="00286570">
      <w:pPr>
        <w:jc w:val="both"/>
        <w:rPr>
          <w:rFonts w:ascii="Times New Roman" w:eastAsia="Calibri" w:hAnsi="Times New Roman" w:cs="Times New Roman"/>
        </w:rPr>
      </w:pP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 xml:space="preserve">1. § 19 ods. 2 Zmena lehoty na vykonanie opravnej skúšky </w:t>
      </w:r>
    </w:p>
    <w:p w:rsidR="00286570" w:rsidRPr="00AD5E00" w:rsidRDefault="00286570" w:rsidP="00286570">
      <w:pPr>
        <w:jc w:val="both"/>
        <w:rPr>
          <w:rFonts w:ascii="Times New Roman" w:eastAsia="Calibri" w:hAnsi="Times New Roman" w:cs="Times New Roman"/>
        </w:rPr>
      </w:pP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 xml:space="preserve">Navrhovanou zmenou dôjde k zmene v tom, že uchádzač musí byť prihlásený na opravnú skúšku do troch mesiacov od vykonania predchádzajúcej skúšky, pričom podľa platnej úpravy bolo nožné opravnú skúšku vykonať najneskôr do šiestich mesiacov od vykonania poslednej skúšky. Takouto úpravou sa bude predchádzať situáciám, kedy osoba nemôže z rôznych dôvodov a to aj nezavinených, vykonať opravnú skúšku do šiestich mesiacov od vykonania predchádzajúcej skúšky, čo má za následok, že skúšku neabsolvuje v určenej lehote a teda bude musieť opätovne absolvovať odbornú prípravu. V roku 2020 vykonalo skúšku odbornej spôsobilosti celkovo 3509 uchádzačov. Predkladateľovi nie sú známe údaje, z akých dôvodov neabsolvovali uchádzači skúšku v určenej lehote, napr. to môže byť aj z vlastného rozhodnutia neabsolvovať skúšku.  </w:t>
      </w:r>
    </w:p>
    <w:p w:rsidR="00286570" w:rsidRPr="00AD5E00" w:rsidRDefault="00286570" w:rsidP="00286570">
      <w:pPr>
        <w:jc w:val="both"/>
        <w:rPr>
          <w:rFonts w:ascii="Times New Roman" w:eastAsia="Calibri" w:hAnsi="Times New Roman" w:cs="Times New Roman"/>
        </w:rPr>
      </w:pPr>
      <w:r w:rsidRPr="00AD5E00">
        <w:rPr>
          <w:rFonts w:ascii="Times New Roman" w:eastAsia="Calibri" w:hAnsi="Times New Roman" w:cs="Times New Roman"/>
        </w:rPr>
        <w:t xml:space="preserve">3. § 29 ods. 7, § 73 ods. 5  Povinnosť prevádzkovateľa písomne oznámiť každú zmenu skutočností rozhodujúcich na posúdenie bezúhonnosti a spoľahlivosti </w:t>
      </w:r>
    </w:p>
    <w:p w:rsidR="00286570" w:rsidRPr="00331313" w:rsidRDefault="00286570" w:rsidP="00286570">
      <w:pPr>
        <w:pStyle w:val="Bezriadkovania"/>
        <w:jc w:val="both"/>
        <w:rPr>
          <w:rFonts w:ascii="Times New Roman" w:hAnsi="Times New Roman" w:cs="Times New Roman"/>
          <w:sz w:val="24"/>
          <w:szCs w:val="24"/>
        </w:rPr>
      </w:pPr>
      <w:r w:rsidRPr="00331313">
        <w:rPr>
          <w:rFonts w:ascii="Times New Roman" w:hAnsi="Times New Roman" w:cs="Times New Roman"/>
          <w:sz w:val="24"/>
          <w:szCs w:val="24"/>
        </w:rPr>
        <w:t xml:space="preserve">Táto povinnosť len spresňuje už uložené povinnosti prevádzkovateľov v zákone o súkromnej bezpečnosti oznámiť príslušnému orgánu každú zmenu skutočností rozhodujúcich na posúdenie bezúhonnosti  a spoľahlivosti osôb uvedených v § 11, 11a, 12, 12a a 70. Nejedná sa teda o novo vytvorenú záťaž na prevádzkovateľov.   </w:t>
      </w:r>
    </w:p>
    <w:p w:rsidR="00286570" w:rsidRPr="00331313" w:rsidRDefault="00286570" w:rsidP="00286570">
      <w:pPr>
        <w:pStyle w:val="Bezriadkovania"/>
        <w:jc w:val="both"/>
        <w:rPr>
          <w:rFonts w:ascii="Times New Roman" w:hAnsi="Times New Roman" w:cs="Times New Roman"/>
          <w:sz w:val="24"/>
          <w:szCs w:val="24"/>
          <w:lang w:eastAsia="sk-SK"/>
        </w:rPr>
      </w:pPr>
    </w:p>
    <w:p w:rsidR="00914C18" w:rsidRDefault="00914C18" w:rsidP="00286570">
      <w:pPr>
        <w:pStyle w:val="Bezriadkovania"/>
        <w:jc w:val="both"/>
        <w:rPr>
          <w:rFonts w:ascii="Times New Roman" w:hAnsi="Times New Roman" w:cs="Times New Roman"/>
          <w:sz w:val="24"/>
          <w:szCs w:val="24"/>
          <w:lang w:eastAsia="sk-SK"/>
        </w:rPr>
      </w:pPr>
    </w:p>
    <w:p w:rsidR="00286570" w:rsidRPr="00331313" w:rsidRDefault="00286570" w:rsidP="00286570">
      <w:pPr>
        <w:pStyle w:val="Bezriadkovania"/>
        <w:jc w:val="both"/>
        <w:rPr>
          <w:rFonts w:ascii="Times New Roman" w:hAnsi="Times New Roman" w:cs="Times New Roman"/>
          <w:sz w:val="24"/>
          <w:szCs w:val="24"/>
          <w:lang w:eastAsia="sk-SK"/>
        </w:rPr>
      </w:pPr>
      <w:r w:rsidRPr="00331313">
        <w:rPr>
          <w:rFonts w:ascii="Times New Roman" w:hAnsi="Times New Roman" w:cs="Times New Roman"/>
          <w:sz w:val="24"/>
          <w:szCs w:val="24"/>
          <w:lang w:eastAsia="sk-SK"/>
        </w:rPr>
        <w:lastRenderedPageBreak/>
        <w:t>4. § 54 ods. 2 Rozšírenie povinnosti prevádzkovateľa súvisiacej s identifikačným preukazom</w:t>
      </w:r>
    </w:p>
    <w:p w:rsidR="00286570" w:rsidRPr="00331313" w:rsidRDefault="00286570" w:rsidP="00286570">
      <w:pPr>
        <w:pStyle w:val="Bezriadkovania"/>
        <w:jc w:val="both"/>
        <w:rPr>
          <w:rFonts w:ascii="Times New Roman" w:hAnsi="Times New Roman" w:cs="Times New Roman"/>
          <w:sz w:val="24"/>
          <w:szCs w:val="24"/>
          <w:lang w:eastAsia="sk-SK"/>
        </w:rPr>
      </w:pPr>
    </w:p>
    <w:p w:rsidR="00286570" w:rsidRPr="00331313" w:rsidRDefault="00286570" w:rsidP="00286570">
      <w:pPr>
        <w:pStyle w:val="Bezriadkovania"/>
        <w:jc w:val="both"/>
        <w:rPr>
          <w:rFonts w:ascii="Times New Roman" w:hAnsi="Times New Roman" w:cs="Times New Roman"/>
          <w:sz w:val="24"/>
          <w:szCs w:val="24"/>
          <w:lang w:eastAsia="sk-SK"/>
        </w:rPr>
      </w:pPr>
      <w:r w:rsidRPr="00331313">
        <w:rPr>
          <w:rFonts w:ascii="Times New Roman" w:hAnsi="Times New Roman" w:cs="Times New Roman"/>
          <w:sz w:val="24"/>
          <w:szCs w:val="24"/>
          <w:lang w:eastAsia="sk-SK"/>
        </w:rPr>
        <w:t xml:space="preserve">Prevádzkovateľovi už zákon o súkromnej bezpečnosti ukladá povinnosť evidovať identifikačný preukaz. Rozširuje sa teda už uložená povinnosť o novú povinnosť uviesť dátum prevzatia identifikačného preukazu, ktorého prevzatie preberajúca osoba potvrdí podpisom. Prevádzkovateľ teda okrem už povinných údajov, medzi ktorými je aj číslo identifikačného preukazu a ktoré musí viesť podľa zákona o súkromnej bezpečnosti dopíše k číslu vydaného identifikačného preukazu aj dátum jeho </w:t>
      </w:r>
      <w:r>
        <w:rPr>
          <w:rFonts w:ascii="Times New Roman" w:hAnsi="Times New Roman" w:cs="Times New Roman"/>
          <w:sz w:val="24"/>
          <w:szCs w:val="24"/>
          <w:lang w:eastAsia="sk-SK"/>
        </w:rPr>
        <w:t>prevzatia</w:t>
      </w:r>
      <w:r w:rsidRPr="00331313">
        <w:rPr>
          <w:rFonts w:ascii="Times New Roman" w:hAnsi="Times New Roman" w:cs="Times New Roman"/>
          <w:sz w:val="24"/>
          <w:szCs w:val="24"/>
          <w:lang w:eastAsia="sk-SK"/>
        </w:rPr>
        <w:t xml:space="preserve">.  Osoba si musí podľa platného zákona o súkromnej bezpečnosti vydaný identifikačný preukaz aj fyzicky prevziať, teda prevádzkovateľovi s zavedením tejto povinnosti vzniknú len zanedbateľné náklady.  </w:t>
      </w:r>
    </w:p>
    <w:p w:rsidR="00286570" w:rsidRPr="00331313" w:rsidRDefault="00286570" w:rsidP="00286570">
      <w:pPr>
        <w:pStyle w:val="Bezriadkovania"/>
        <w:jc w:val="both"/>
        <w:rPr>
          <w:rFonts w:ascii="Times New Roman" w:hAnsi="Times New Roman" w:cs="Times New Roman"/>
          <w:sz w:val="24"/>
          <w:szCs w:val="24"/>
          <w:lang w:eastAsia="sk-SK"/>
        </w:rPr>
      </w:pPr>
    </w:p>
    <w:p w:rsidR="00286570" w:rsidRPr="00331313" w:rsidRDefault="00286570" w:rsidP="00286570">
      <w:pPr>
        <w:pStyle w:val="Bezriadkovania"/>
        <w:jc w:val="both"/>
        <w:rPr>
          <w:rFonts w:ascii="Times New Roman" w:eastAsia="Times New Roman" w:hAnsi="Times New Roman" w:cs="Times New Roman"/>
          <w:sz w:val="24"/>
          <w:szCs w:val="24"/>
          <w:lang w:eastAsia="sk-SK"/>
        </w:rPr>
      </w:pPr>
      <w:r w:rsidRPr="00331313">
        <w:rPr>
          <w:rFonts w:ascii="Times New Roman" w:eastAsia="Times New Roman" w:hAnsi="Times New Roman" w:cs="Times New Roman"/>
          <w:sz w:val="24"/>
          <w:szCs w:val="24"/>
          <w:lang w:eastAsia="sk-SK"/>
        </w:rPr>
        <w:t xml:space="preserve">5. § 62 ods. 2 Úprava lehoty na uchovávanie evidencie osôb poverených výkonom odbornej prípravy a poradenstva a inšpekčnej knihy </w:t>
      </w:r>
    </w:p>
    <w:p w:rsidR="00286570" w:rsidRPr="00331313" w:rsidRDefault="00286570" w:rsidP="00286570">
      <w:pPr>
        <w:pStyle w:val="Bezriadkovania"/>
        <w:jc w:val="both"/>
        <w:rPr>
          <w:rFonts w:ascii="Times New Roman" w:eastAsia="Times New Roman" w:hAnsi="Times New Roman" w:cs="Times New Roman"/>
          <w:sz w:val="24"/>
          <w:szCs w:val="24"/>
          <w:lang w:eastAsia="sk-SK"/>
        </w:rPr>
      </w:pPr>
    </w:p>
    <w:p w:rsidR="00286570" w:rsidRPr="00331313" w:rsidRDefault="00286570" w:rsidP="00286570">
      <w:pPr>
        <w:pStyle w:val="Bezriadkovania"/>
        <w:jc w:val="both"/>
        <w:rPr>
          <w:rFonts w:ascii="Times New Roman" w:eastAsia="Times New Roman" w:hAnsi="Times New Roman" w:cs="Times New Roman"/>
          <w:sz w:val="24"/>
          <w:szCs w:val="24"/>
          <w:lang w:eastAsia="sk-SK"/>
        </w:rPr>
      </w:pPr>
      <w:r w:rsidRPr="00331313">
        <w:rPr>
          <w:rFonts w:ascii="Times New Roman" w:eastAsia="Times New Roman" w:hAnsi="Times New Roman" w:cs="Times New Roman"/>
          <w:sz w:val="24"/>
          <w:szCs w:val="24"/>
          <w:lang w:eastAsia="sk-SK"/>
        </w:rPr>
        <w:t>Upravuje sa lehota archivácie evidencie osôb poverených výkonom odbornej prípravy a poradenstva a inšpekčnej knihy u prevádzkovateľov odbornej prípravy a poradenstva z piatich na tri roky. Takáto úprava sa dotkne 125 subjektov. Evidencia osôb poverených výkonom odbornej prípravy a poradenstva a inšpekčná kniha dozoru sa vedú počas celej doby prevádzkovania odbornej prípravy a poradenstva a</w:t>
      </w:r>
      <w:r>
        <w:rPr>
          <w:rFonts w:ascii="Times New Roman" w:eastAsia="Times New Roman" w:hAnsi="Times New Roman" w:cs="Times New Roman"/>
          <w:sz w:val="24"/>
          <w:szCs w:val="24"/>
          <w:lang w:eastAsia="sk-SK"/>
        </w:rPr>
        <w:t xml:space="preserve"> podľa navrhovanej zmeny sa </w:t>
      </w:r>
      <w:r w:rsidRPr="00331313">
        <w:rPr>
          <w:rFonts w:ascii="Times New Roman" w:eastAsia="Times New Roman" w:hAnsi="Times New Roman" w:cs="Times New Roman"/>
          <w:sz w:val="24"/>
          <w:szCs w:val="24"/>
          <w:lang w:eastAsia="sk-SK"/>
        </w:rPr>
        <w:t>budú ucho</w:t>
      </w:r>
      <w:r>
        <w:rPr>
          <w:rFonts w:ascii="Times New Roman" w:eastAsia="Times New Roman" w:hAnsi="Times New Roman" w:cs="Times New Roman"/>
          <w:sz w:val="24"/>
          <w:szCs w:val="24"/>
          <w:lang w:eastAsia="sk-SK"/>
        </w:rPr>
        <w:t>vá</w:t>
      </w:r>
      <w:r w:rsidRPr="00331313">
        <w:rPr>
          <w:rFonts w:ascii="Times New Roman" w:eastAsia="Times New Roman" w:hAnsi="Times New Roman" w:cs="Times New Roman"/>
          <w:sz w:val="24"/>
          <w:szCs w:val="24"/>
          <w:lang w:eastAsia="sk-SK"/>
        </w:rPr>
        <w:t xml:space="preserve">vať tri nasledujúce roky po vykonaní posledného zápisu. Predkladateľ nepredpokladá zníženie nákladov dotknutých subjektov, resp. len nepatrné,  nakoľko sa len skracuje lehota uloženia a neruší sa celkovo táto povinnosť. </w:t>
      </w:r>
    </w:p>
    <w:p w:rsidR="00286570" w:rsidRPr="00331313" w:rsidRDefault="00286570" w:rsidP="00286570">
      <w:pPr>
        <w:pStyle w:val="Bezriadkovania"/>
        <w:jc w:val="both"/>
        <w:rPr>
          <w:rFonts w:ascii="Times New Roman" w:eastAsia="Times New Roman" w:hAnsi="Times New Roman" w:cs="Times New Roman"/>
          <w:sz w:val="24"/>
          <w:szCs w:val="24"/>
          <w:lang w:eastAsia="sk-SK"/>
        </w:rPr>
      </w:pPr>
    </w:p>
    <w:p w:rsidR="00286570" w:rsidRPr="00331313" w:rsidRDefault="00286570" w:rsidP="00286570">
      <w:pPr>
        <w:pStyle w:val="Bezriadkovania"/>
        <w:jc w:val="both"/>
        <w:rPr>
          <w:rFonts w:ascii="Times New Roman" w:eastAsia="Times New Roman" w:hAnsi="Times New Roman" w:cs="Times New Roman"/>
          <w:sz w:val="24"/>
          <w:szCs w:val="24"/>
          <w:lang w:eastAsia="sk-SK"/>
        </w:rPr>
      </w:pPr>
      <w:r w:rsidRPr="00331313">
        <w:rPr>
          <w:rFonts w:ascii="Times New Roman" w:eastAsia="Times New Roman" w:hAnsi="Times New Roman" w:cs="Times New Roman"/>
          <w:sz w:val="24"/>
          <w:szCs w:val="24"/>
          <w:lang w:eastAsia="sk-SK"/>
        </w:rPr>
        <w:t xml:space="preserve">6. § 27 ods. 4, § 33 ods. 1 písm. c, </w:t>
      </w:r>
      <w:r>
        <w:rPr>
          <w:rFonts w:ascii="Times New Roman" w:eastAsia="Times New Roman" w:hAnsi="Times New Roman" w:cs="Times New Roman"/>
          <w:sz w:val="24"/>
          <w:szCs w:val="24"/>
          <w:lang w:eastAsia="sk-SK"/>
        </w:rPr>
        <w:t xml:space="preserve">ods. </w:t>
      </w:r>
      <w:r w:rsidRPr="00331313">
        <w:rPr>
          <w:rFonts w:ascii="Times New Roman" w:eastAsia="Times New Roman" w:hAnsi="Times New Roman" w:cs="Times New Roman"/>
          <w:sz w:val="24"/>
          <w:szCs w:val="24"/>
          <w:lang w:eastAsia="sk-SK"/>
        </w:rPr>
        <w:t>6, 7 a 9, § 72 ods. 3, § 76 ods. 3 a § 77 ods. 1 písm. c  Zrušenie a zosúladenie niektorých povinností týkajúcich sa licencii na prevádzkovanie bezpečnostnej služby a technickej služby</w:t>
      </w:r>
    </w:p>
    <w:p w:rsidR="00286570" w:rsidRPr="00331313" w:rsidRDefault="00286570" w:rsidP="00286570">
      <w:pPr>
        <w:pStyle w:val="Bezriadkovania"/>
        <w:jc w:val="both"/>
        <w:rPr>
          <w:rFonts w:ascii="Times New Roman" w:eastAsia="Times New Roman" w:hAnsi="Times New Roman" w:cs="Times New Roman"/>
          <w:sz w:val="24"/>
          <w:szCs w:val="24"/>
          <w:lang w:eastAsia="sk-SK"/>
        </w:rPr>
      </w:pPr>
    </w:p>
    <w:p w:rsidR="00286570" w:rsidRPr="00331313" w:rsidRDefault="00286570" w:rsidP="00286570">
      <w:pPr>
        <w:pStyle w:val="Bezriadkovania"/>
        <w:jc w:val="both"/>
        <w:rPr>
          <w:rFonts w:ascii="Times New Roman" w:hAnsi="Times New Roman" w:cs="Times New Roman"/>
          <w:sz w:val="24"/>
          <w:szCs w:val="24"/>
        </w:rPr>
      </w:pPr>
      <w:r w:rsidRPr="00331313">
        <w:rPr>
          <w:rFonts w:ascii="Times New Roman" w:eastAsia="Times New Roman" w:hAnsi="Times New Roman" w:cs="Times New Roman"/>
          <w:sz w:val="24"/>
          <w:szCs w:val="24"/>
          <w:lang w:eastAsia="sk-SK"/>
        </w:rPr>
        <w:t>Z dôvodu neúčelnosti zavedenej povinnosti začať vykonávať prevádzkovateľovi povolenú činnosť v určenej lehote odo dňa nadobudnutia právoplatnosti rozhodnutia, ako aj odňatia licencie z dôvodu, že prevádzkovateľ nezačne vykonávať aspoň jednu povolenú činnosť v určenej lehote odo dňa nadobudnutia právoplatnosti rozhodnutia o udelení licencie alebo takúto činnosť nevykonáva nepretržite sa tieto ustanovenia vypúšťajú. Licencia je vydávaná na desať rokov a je na samotnom prevádzkovateľovi aj s prihliadnutím na súčasnú ekonomickú situáciu, ako a kedy sa mu podarí zabezpečiť činnosť, ktorú má vykonávať. Zároveň sa zjednocuje</w:t>
      </w:r>
      <w:r w:rsidRPr="00331313">
        <w:rPr>
          <w:rFonts w:ascii="Times New Roman" w:hAnsi="Times New Roman" w:cs="Times New Roman"/>
          <w:sz w:val="24"/>
          <w:szCs w:val="24"/>
        </w:rPr>
        <w:t xml:space="preserve"> lehota na podanie žiadosti o vydanie novej licencie na činnosti, ktoré sú predmetom už udelenej licencie u prevádzkovateľov bezpečnostnej služby a technickej služby. Tieto navrhované zmeny budú pozitívne vplývať  na činnosť prevádzkovateľov. Nakoľko predkladateľovi nie sú známe údaje, aký počet prevádzkovateľov bol dotknutý týmito ustanoveniami zákona o súkromnej bezpečnosti, nie je možné vyčísliť predpokladanú úsporu nákladov. </w:t>
      </w:r>
    </w:p>
    <w:p w:rsidR="00286570" w:rsidRPr="00331313" w:rsidRDefault="00286570" w:rsidP="00286570">
      <w:pPr>
        <w:pStyle w:val="Bezriadkovania"/>
        <w:jc w:val="both"/>
        <w:rPr>
          <w:rFonts w:ascii="Times New Roman" w:eastAsia="Times New Roman" w:hAnsi="Times New Roman" w:cs="Times New Roman"/>
          <w:sz w:val="24"/>
          <w:szCs w:val="24"/>
          <w:lang w:eastAsia="sk-SK"/>
        </w:rPr>
      </w:pPr>
      <w:r w:rsidRPr="00331313">
        <w:rPr>
          <w:rFonts w:ascii="Times New Roman" w:hAnsi="Times New Roman" w:cs="Times New Roman"/>
          <w:sz w:val="24"/>
          <w:szCs w:val="24"/>
        </w:rPr>
        <w:t xml:space="preserve">   </w:t>
      </w:r>
    </w:p>
    <w:p w:rsidR="00286570" w:rsidRPr="00331313" w:rsidRDefault="00286570" w:rsidP="00286570">
      <w:pPr>
        <w:pStyle w:val="Bezriadkovania"/>
        <w:jc w:val="both"/>
        <w:rPr>
          <w:rFonts w:ascii="Times New Roman" w:hAnsi="Times New Roman" w:cs="Times New Roman"/>
          <w:sz w:val="24"/>
          <w:szCs w:val="24"/>
        </w:rPr>
      </w:pPr>
      <w:r w:rsidRPr="00331313">
        <w:rPr>
          <w:rFonts w:ascii="Times New Roman" w:hAnsi="Times New Roman" w:cs="Times New Roman"/>
          <w:sz w:val="24"/>
          <w:szCs w:val="24"/>
        </w:rPr>
        <w:t>7. § 91 ods. 1 písm. f) Zavedenie nového správneho deliktu</w:t>
      </w:r>
    </w:p>
    <w:p w:rsidR="00286570" w:rsidRPr="00331313" w:rsidRDefault="00286570" w:rsidP="00286570">
      <w:pPr>
        <w:pStyle w:val="Bezriadkovania"/>
        <w:jc w:val="both"/>
        <w:rPr>
          <w:rFonts w:ascii="Times New Roman" w:hAnsi="Times New Roman" w:cs="Times New Roman"/>
          <w:sz w:val="24"/>
          <w:szCs w:val="24"/>
        </w:rPr>
      </w:pPr>
    </w:p>
    <w:p w:rsidR="00286570" w:rsidRPr="00331313" w:rsidRDefault="00286570" w:rsidP="00286570">
      <w:pPr>
        <w:pStyle w:val="Bezriadkovania"/>
        <w:jc w:val="both"/>
        <w:rPr>
          <w:rFonts w:ascii="Times New Roman" w:hAnsi="Times New Roman" w:cs="Times New Roman"/>
          <w:sz w:val="24"/>
          <w:szCs w:val="24"/>
        </w:rPr>
      </w:pPr>
      <w:r w:rsidRPr="00331313">
        <w:rPr>
          <w:rFonts w:ascii="Times New Roman" w:hAnsi="Times New Roman" w:cs="Times New Roman"/>
          <w:sz w:val="24"/>
          <w:szCs w:val="24"/>
        </w:rPr>
        <w:t>Aplikuje sa nový správny delikt pre prevádzkovateľov bezpečnostných služieb, ktorí uvedú nepravdivé informácie v správe o činnosti bezpečnostnej služby podľa § 39 a 40 zákona o súkromnej bezpečnosti. Za takýto správny delikt j</w:t>
      </w:r>
      <w:r>
        <w:rPr>
          <w:rFonts w:ascii="Times New Roman" w:hAnsi="Times New Roman" w:cs="Times New Roman"/>
          <w:sz w:val="24"/>
          <w:szCs w:val="24"/>
        </w:rPr>
        <w:t xml:space="preserve">e možné uložiť pokutu do 3319 </w:t>
      </w:r>
      <w:r>
        <w:rPr>
          <w:rFonts w:ascii="Times New Roman" w:eastAsia="Times New Roman" w:hAnsi="Times New Roman" w:cs="Times New Roman"/>
          <w:sz w:val="24"/>
          <w:szCs w:val="24"/>
          <w:lang w:eastAsia="sk-SK"/>
        </w:rPr>
        <w:t>eur</w:t>
      </w:r>
      <w:r w:rsidRPr="00331313">
        <w:rPr>
          <w:rFonts w:ascii="Times New Roman" w:hAnsi="Times New Roman" w:cs="Times New Roman"/>
          <w:sz w:val="24"/>
          <w:szCs w:val="24"/>
        </w:rPr>
        <w:t xml:space="preserve"> a zákaz činnosti do troch rokov. </w:t>
      </w:r>
      <w:r>
        <w:rPr>
          <w:rFonts w:ascii="Times New Roman" w:hAnsi="Times New Roman" w:cs="Times New Roman"/>
          <w:sz w:val="24"/>
          <w:szCs w:val="24"/>
        </w:rPr>
        <w:t xml:space="preserve">Takáto právna úprava sa dotkne celkovo 1107 prevádzkovateľov.  </w:t>
      </w:r>
    </w:p>
    <w:p w:rsidR="00286570" w:rsidRPr="00331313" w:rsidRDefault="00286570" w:rsidP="00286570">
      <w:pPr>
        <w:pStyle w:val="Bezriadkovania"/>
        <w:jc w:val="both"/>
        <w:rPr>
          <w:rFonts w:ascii="Times New Roman" w:hAnsi="Times New Roman" w:cs="Times New Roman"/>
          <w:sz w:val="24"/>
          <w:szCs w:val="24"/>
        </w:rPr>
      </w:pPr>
    </w:p>
    <w:p w:rsidR="00286570" w:rsidRPr="00331313" w:rsidRDefault="00286570" w:rsidP="00286570">
      <w:pPr>
        <w:jc w:val="both"/>
        <w:rPr>
          <w:rFonts w:eastAsia="Calibri"/>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286570" w:rsidRPr="00B610D2" w:rsidTr="00A14978">
        <w:trPr>
          <w:trHeight w:val="822"/>
        </w:trPr>
        <w:tc>
          <w:tcPr>
            <w:tcW w:w="9371" w:type="dxa"/>
            <w:gridSpan w:val="6"/>
            <w:shd w:val="clear" w:color="auto" w:fill="BFBFBF"/>
            <w:vAlign w:val="center"/>
          </w:tcPr>
          <w:p w:rsidR="00286570" w:rsidRPr="00B610D2" w:rsidRDefault="00286570" w:rsidP="00A14978">
            <w:pPr>
              <w:widowControl w:val="0"/>
              <w:adjustRightInd w:val="0"/>
              <w:jc w:val="center"/>
              <w:textAlignment w:val="baseline"/>
              <w:rPr>
                <w:rFonts w:ascii="Times New Roman" w:hAnsi="Times New Roman" w:cs="Times New Roman"/>
                <w:b/>
                <w:bCs/>
                <w:sz w:val="32"/>
                <w:szCs w:val="32"/>
              </w:rPr>
            </w:pPr>
            <w:r w:rsidRPr="00B610D2">
              <w:rPr>
                <w:rFonts w:ascii="Times New Roman" w:hAnsi="Times New Roman" w:cs="Times New Roman"/>
                <w:b/>
                <w:bCs/>
                <w:sz w:val="32"/>
                <w:szCs w:val="32"/>
              </w:rPr>
              <w:lastRenderedPageBreak/>
              <w:t>Analýza vplyvov na služby verejnej správy pre občana</w:t>
            </w:r>
          </w:p>
          <w:p w:rsidR="00286570" w:rsidRPr="00B610D2" w:rsidRDefault="00286570" w:rsidP="00A14978">
            <w:pPr>
              <w:widowControl w:val="0"/>
              <w:adjustRightInd w:val="0"/>
              <w:jc w:val="both"/>
              <w:textAlignment w:val="baseline"/>
              <w:rPr>
                <w:rFonts w:ascii="Times New Roman" w:hAnsi="Times New Roman" w:cs="Times New Roman"/>
                <w:b/>
                <w:i/>
                <w:iCs/>
                <w:sz w:val="2"/>
              </w:rPr>
            </w:pPr>
          </w:p>
        </w:tc>
      </w:tr>
      <w:tr w:rsidR="00286570" w:rsidRPr="00B610D2" w:rsidTr="00A14978">
        <w:trPr>
          <w:trHeight w:val="367"/>
        </w:trPr>
        <w:tc>
          <w:tcPr>
            <w:tcW w:w="9371" w:type="dxa"/>
            <w:gridSpan w:val="6"/>
            <w:shd w:val="clear" w:color="auto" w:fill="C0C0C0"/>
            <w:vAlign w:val="center"/>
          </w:tcPr>
          <w:p w:rsidR="00286570" w:rsidRPr="00B610D2" w:rsidRDefault="00286570" w:rsidP="00A14978">
            <w:pPr>
              <w:widowControl w:val="0"/>
              <w:adjustRightInd w:val="0"/>
              <w:jc w:val="center"/>
              <w:textAlignment w:val="baseline"/>
              <w:rPr>
                <w:rFonts w:ascii="Times New Roman" w:hAnsi="Times New Roman" w:cs="Times New Roman"/>
                <w:b/>
                <w:sz w:val="28"/>
                <w:szCs w:val="28"/>
              </w:rPr>
            </w:pPr>
            <w:r w:rsidRPr="00B610D2">
              <w:rPr>
                <w:rFonts w:ascii="Times New Roman" w:hAnsi="Times New Roman" w:cs="Times New Roman"/>
                <w:b/>
                <w:sz w:val="28"/>
                <w:szCs w:val="28"/>
              </w:rPr>
              <w:t xml:space="preserve">7.1 Identifikácia služby verejnej správy, ktorá je dotknutá návrhom </w:t>
            </w:r>
          </w:p>
        </w:tc>
      </w:tr>
      <w:tr w:rsidR="00286570" w:rsidRPr="00B610D2" w:rsidTr="00A14978">
        <w:trPr>
          <w:trHeight w:val="316"/>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i/>
              </w:rPr>
            </w:pPr>
            <w:r w:rsidRPr="00B610D2">
              <w:rPr>
                <w:rFonts w:ascii="Times New Roman" w:hAnsi="Times New Roman" w:cs="Times New Roman"/>
                <w:b/>
              </w:rPr>
              <w:t>7.1.1 Predpokladá predložený návrh zmenu existujúcej služby verejnej správy alebo vytvorenie novej služby?</w:t>
            </w:r>
          </w:p>
        </w:tc>
      </w:tr>
      <w:tr w:rsidR="00286570" w:rsidRPr="00B610D2" w:rsidTr="00A14978">
        <w:trPr>
          <w:trHeight w:val="296"/>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i/>
              </w:rPr>
            </w:pPr>
            <w:r w:rsidRPr="00B610D2">
              <w:rPr>
                <w:rFonts w:ascii="Times New Roman" w:hAnsi="Times New Roman" w:cs="Times New Roman"/>
                <w:i/>
              </w:rPr>
              <w:t>Zmena existujúcej služby (konkretizujte a popíšte)</w:t>
            </w:r>
          </w:p>
        </w:tc>
      </w:tr>
      <w:tr w:rsidR="00286570" w:rsidRPr="00B610D2" w:rsidTr="00A14978">
        <w:trPr>
          <w:trHeight w:val="655"/>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Umožňuje sa  odovzdať neplatný preukaz odbornej spôsobilosti nielen Ministerstvu vnútra Slovenskej republiky (ďalej len „ministerstvo“), ale aj ktorémukoľvek útvaru Policajného zboru (ďalej len „policajný útvar“).</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Upravuje sa výber typu preukazu odbornej prípravy a získaného vzdelania u osôb, ktoré nemusia absolvovať odbornú prípravu.   </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Upravuje sa splnenie podmienky bezúhonnosti a spoľahlivosti u osôb, ktoré môžu v rámci akreditácie vykonávať odbornú prípravu.</w:t>
            </w: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    </w:t>
            </w:r>
          </w:p>
        </w:tc>
      </w:tr>
      <w:tr w:rsidR="00286570" w:rsidRPr="00B610D2" w:rsidTr="00A14978">
        <w:trPr>
          <w:trHeight w:val="212"/>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Nová služba (konkretizujte a popíšte)</w:t>
            </w:r>
          </w:p>
        </w:tc>
      </w:tr>
      <w:tr w:rsidR="00286570" w:rsidRPr="00B610D2" w:rsidTr="00A14978">
        <w:trPr>
          <w:trHeight w:val="598"/>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p>
        </w:tc>
      </w:tr>
      <w:tr w:rsidR="00286570" w:rsidRPr="00B610D2" w:rsidTr="00A14978">
        <w:trPr>
          <w:trHeight w:val="248"/>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rPr>
            </w:pPr>
            <w:r w:rsidRPr="00B610D2">
              <w:rPr>
                <w:rFonts w:ascii="Times New Roman" w:hAnsi="Times New Roman" w:cs="Times New Roman"/>
                <w:b/>
              </w:rPr>
              <w:t>7.1.2 Špecifikácia služby verejnej správy, ktorá je dotknutá návrhom</w:t>
            </w:r>
          </w:p>
        </w:tc>
      </w:tr>
      <w:tr w:rsidR="00286570" w:rsidRPr="00B610D2" w:rsidTr="00A14978">
        <w:trPr>
          <w:trHeight w:val="248"/>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Názov služby </w:t>
            </w:r>
          </w:p>
        </w:tc>
      </w:tr>
      <w:tr w:rsidR="00286570" w:rsidRPr="00B610D2" w:rsidTr="00A14978">
        <w:trPr>
          <w:trHeight w:val="545"/>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Odovzdanie neplatného preukazu odbornej spôsobilosti. </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Preukázanie požiadavky ustanoveného vzdelania na prevádzkovanie detektívnej služby, odbornej prípravy a poradenstva  a podmienky na vydanie preukazu odbornej spôsobilosti. </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Vykonanie kvalifikačnej skúšky.</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Úprava podmienok u osôb, ktoré nemusia vykonať odbornú prípravu.  </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lastRenderedPageBreak/>
              <w:t xml:space="preserve">Úprava podmienok, kto môže vykonávať odbornú prípravu v rámci akreditácie.   </w:t>
            </w:r>
          </w:p>
          <w:p w:rsidR="00286570" w:rsidRPr="00B610D2" w:rsidRDefault="00286570" w:rsidP="00A14978">
            <w:pPr>
              <w:widowControl w:val="0"/>
              <w:adjustRightInd w:val="0"/>
              <w:jc w:val="both"/>
              <w:textAlignment w:val="baseline"/>
              <w:rPr>
                <w:rFonts w:ascii="Times New Roman" w:hAnsi="Times New Roman" w:cs="Times New Roman"/>
                <w:i/>
              </w:rPr>
            </w:pPr>
          </w:p>
        </w:tc>
      </w:tr>
      <w:tr w:rsidR="00286570" w:rsidRPr="00B610D2" w:rsidTr="00A14978">
        <w:trPr>
          <w:trHeight w:val="248"/>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i/>
              </w:rPr>
            </w:pPr>
            <w:r w:rsidRPr="00B610D2">
              <w:rPr>
                <w:rFonts w:ascii="Times New Roman" w:hAnsi="Times New Roman" w:cs="Times New Roman"/>
                <w:i/>
              </w:rPr>
              <w:lastRenderedPageBreak/>
              <w:t>Platná právna úprava, na základe ktorej je služba poskytovaná (ak ide o zmenu existujúcej služby)</w:t>
            </w:r>
          </w:p>
        </w:tc>
      </w:tr>
      <w:tr w:rsidR="00286570" w:rsidRPr="00B610D2" w:rsidTr="00A14978">
        <w:trPr>
          <w:trHeight w:val="63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Zákon č. 473/2005 Z. z. o poskytovaní služieb v oblasti súkromnej bezpečnosti a o zmene a doplnení niektorých zákonov (zákon o súkromnej bezpečnosti ) v znení neskorších predpisov </w:t>
            </w:r>
          </w:p>
        </w:tc>
      </w:tr>
      <w:tr w:rsidR="00286570" w:rsidRPr="00B610D2" w:rsidTr="00A14978">
        <w:trPr>
          <w:trHeight w:val="2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i/>
              </w:rPr>
            </w:pPr>
            <w:r w:rsidRPr="00B610D2">
              <w:rPr>
                <w:rFonts w:ascii="Times New Roman" w:hAnsi="Times New Roman" w:cs="Times New Roman"/>
                <w:i/>
              </w:rPr>
              <w:t xml:space="preserve">Subjekt, ktorý je na základe platnej právnej úpravy oprávnený službu poskytovať </w:t>
            </w:r>
          </w:p>
        </w:tc>
      </w:tr>
      <w:tr w:rsidR="00286570" w:rsidRPr="00B610D2" w:rsidTr="00A14978">
        <w:trPr>
          <w:trHeight w:val="587"/>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ministerstvo </w:t>
            </w:r>
          </w:p>
        </w:tc>
      </w:tr>
      <w:tr w:rsidR="00286570" w:rsidRPr="00B610D2" w:rsidTr="00A14978">
        <w:trPr>
          <w:trHeight w:val="423"/>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i/>
              </w:rPr>
            </w:pPr>
            <w:r w:rsidRPr="00B610D2">
              <w:rPr>
                <w:rFonts w:ascii="Times New Roman" w:hAnsi="Times New Roman" w:cs="Times New Roman"/>
                <w:b/>
              </w:rPr>
              <w:t xml:space="preserve">7.1.3 O aký vplyv na službu verejnej správy ide? </w:t>
            </w:r>
          </w:p>
        </w:tc>
      </w:tr>
      <w:tr w:rsidR="00286570" w:rsidRPr="00B610D2" w:rsidTr="00A14978">
        <w:trPr>
          <w:trHeight w:val="256"/>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i/>
              </w:rPr>
            </w:pPr>
            <w:r w:rsidRPr="00B610D2">
              <w:rPr>
                <w:rFonts w:ascii="Times New Roman" w:hAnsi="Times New Roman" w:cs="Times New Roman"/>
                <w:i/>
              </w:rPr>
              <w:t xml:space="preserve">Priamy vplyv (popíšte) </w:t>
            </w:r>
          </w:p>
        </w:tc>
      </w:tr>
      <w:tr w:rsidR="00286570" w:rsidRPr="00B610D2" w:rsidTr="00A14978">
        <w:trPr>
          <w:trHeight w:val="543"/>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Občan si môže podľa dostupnosti z miesta svojho pobytu vybrať komu a akým spôsobom neplatný preukaz odbornej spôsobilosti odovzdá.</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Umožní sa občanom, ktorí nemusia absolvovať odbornú prípravu, vybrať si medzi typom skúšky S a P a zároveň sa umožní túto výnimku uplatniť aj absolventom bakalárskeho štúdia.</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b/>
                <w:i/>
              </w:rPr>
            </w:pPr>
            <w:r w:rsidRPr="00B610D2">
              <w:rPr>
                <w:rFonts w:ascii="Times New Roman" w:hAnsi="Times New Roman" w:cs="Times New Roman"/>
                <w:i/>
              </w:rPr>
              <w:t xml:space="preserve">Umožní sa vykonávať odbornú prípravu v rámci akreditácie občanom bez preukázania bezúhonnosti  a spoľahlivosti.       </w:t>
            </w:r>
          </w:p>
        </w:tc>
      </w:tr>
      <w:tr w:rsidR="00286570" w:rsidRPr="00B610D2" w:rsidTr="00A14978">
        <w:trPr>
          <w:trHeight w:val="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i/>
              </w:rPr>
            </w:pPr>
            <w:r w:rsidRPr="00B610D2">
              <w:rPr>
                <w:rFonts w:ascii="Times New Roman" w:hAnsi="Times New Roman" w:cs="Times New Roman"/>
                <w:i/>
              </w:rPr>
              <w:t xml:space="preserve">Nepriamy vplyv (popíšte) </w:t>
            </w:r>
          </w:p>
        </w:tc>
      </w:tr>
      <w:tr w:rsidR="00286570" w:rsidRPr="00B610D2" w:rsidTr="00A14978">
        <w:trPr>
          <w:trHeight w:val="616"/>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 </w:t>
            </w:r>
          </w:p>
        </w:tc>
      </w:tr>
      <w:tr w:rsidR="00286570" w:rsidRPr="00B610D2" w:rsidTr="00A14978">
        <w:trPr>
          <w:trHeight w:val="20"/>
        </w:trPr>
        <w:tc>
          <w:tcPr>
            <w:tcW w:w="9371" w:type="dxa"/>
            <w:gridSpan w:val="6"/>
            <w:shd w:val="clear" w:color="auto" w:fill="C0C0C0"/>
            <w:vAlign w:val="center"/>
          </w:tcPr>
          <w:p w:rsidR="00286570" w:rsidRPr="00B610D2" w:rsidRDefault="00286570" w:rsidP="00A14978">
            <w:pPr>
              <w:widowControl w:val="0"/>
              <w:adjustRightInd w:val="0"/>
              <w:jc w:val="center"/>
              <w:textAlignment w:val="baseline"/>
              <w:rPr>
                <w:rFonts w:ascii="Times New Roman" w:hAnsi="Times New Roman" w:cs="Times New Roman"/>
                <w:b/>
                <w:sz w:val="28"/>
                <w:szCs w:val="28"/>
              </w:rPr>
            </w:pPr>
            <w:r w:rsidRPr="00B610D2">
              <w:rPr>
                <w:rFonts w:ascii="Times New Roman" w:hAnsi="Times New Roman" w:cs="Times New Roman"/>
                <w:b/>
                <w:sz w:val="28"/>
                <w:szCs w:val="28"/>
              </w:rPr>
              <w:t>7.2 Vplyv služieb verejnej správy na občana</w:t>
            </w:r>
          </w:p>
        </w:tc>
      </w:tr>
      <w:tr w:rsidR="00286570" w:rsidRPr="00B610D2" w:rsidTr="00A14978">
        <w:trPr>
          <w:trHeight w:val="388"/>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rPr>
            </w:pPr>
            <w:r w:rsidRPr="00B610D2">
              <w:rPr>
                <w:rFonts w:ascii="Times New Roman" w:hAnsi="Times New Roman" w:cs="Times New Roman"/>
                <w:b/>
              </w:rPr>
              <w:t xml:space="preserve">7.2.1 Náklady </w:t>
            </w:r>
          </w:p>
        </w:tc>
      </w:tr>
      <w:tr w:rsidR="00286570" w:rsidRPr="00B610D2" w:rsidTr="00A14978">
        <w:trPr>
          <w:trHeight w:val="226"/>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rPr>
            </w:pPr>
            <w:r w:rsidRPr="00B610D2">
              <w:rPr>
                <w:rFonts w:ascii="Times New Roman" w:hAnsi="Times New Roman" w:cs="Times New Roman"/>
                <w:i/>
              </w:rPr>
              <w:t xml:space="preserve">Zníženie priamych finančných nákladov </w:t>
            </w:r>
          </w:p>
        </w:tc>
      </w:tr>
      <w:tr w:rsidR="00286570" w:rsidRPr="00B610D2" w:rsidTr="00A14978">
        <w:trPr>
          <w:trHeight w:val="599"/>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Doplnením možnosti získať občanovi bez vykonania odbornej prípravy aj preukaz odbornej spôsobilosti typu S, umožňuje si vybrať typ preukazu odbornej spôsobilosti zodpovedajúci rozsahu jeho budúcej činnosti a zároveň absolvovať skúšku pre daný typ preukazu odbornej spôsobilosti. V prípade vykonania skúšky odbornej spôsobilosti typu S, by si občan znížil náklady za správny poplatok za podanie prihlášky na vykonanie skúšky odbornej spôsobilosti, nakoľko správny poplatok u skúšky typu S je 16,50€ a u typu P je 49,50€. Priame vyčíslenie tejto zmeny nie je možné poskytnúť, nakoľko predkladateľ nedisponuje údajmi, koľko občanov by takúto zmenu využilo. </w:t>
            </w:r>
          </w:p>
        </w:tc>
      </w:tr>
      <w:tr w:rsidR="00286570" w:rsidRPr="00B610D2" w:rsidTr="00A14978">
        <w:trPr>
          <w:trHeight w:val="294"/>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Zvýšenie priamych finančných nákladov</w:t>
            </w:r>
          </w:p>
        </w:tc>
      </w:tr>
      <w:tr w:rsidR="00286570" w:rsidRPr="00B610D2" w:rsidTr="00A14978">
        <w:trPr>
          <w:trHeight w:val="572"/>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p>
        </w:tc>
      </w:tr>
      <w:tr w:rsidR="00286570" w:rsidRPr="00B610D2" w:rsidTr="00A14978">
        <w:trPr>
          <w:trHeight w:val="214"/>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Zníženie nepriamych finančných nákladov</w:t>
            </w:r>
          </w:p>
        </w:tc>
      </w:tr>
      <w:tr w:rsidR="00286570" w:rsidRPr="00B610D2" w:rsidTr="00A14978">
        <w:trPr>
          <w:trHeight w:val="707"/>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Umožnením odovzdania neplatného preukazu odbornej spôsobilosti ministerstvu alebo policajnému útvaru občanovi podľa dostupnosti z miesta jeho pobytu, môže prispieť k zníženiu jeho administratívnych nákladov.  </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Doplnením možnosti získať bez vykonania odbornej prípravy preukaz odbornej spôsobilosti typu S aj absolventom bakalárskeho štúdia sa odstráni nerovný prístup, nakoľko ich neuvedením v tomto ustanovení dochádzalo k ich znevýhodňovaniu oproti osobám, ktoré majú úplné stredné odborné vzdelanie v oblasti bezpečnostných službách, čo malo za následok, že museli absolvovať odbornú prípravu, čo znamená pre nich zvýšené finančné náklady.    </w:t>
            </w:r>
          </w:p>
          <w:p w:rsidR="00286570" w:rsidRPr="00B610D2" w:rsidRDefault="00286570" w:rsidP="00A14978">
            <w:pPr>
              <w:widowControl w:val="0"/>
              <w:adjustRightInd w:val="0"/>
              <w:jc w:val="both"/>
              <w:textAlignment w:val="baseline"/>
              <w:rPr>
                <w:rFonts w:ascii="Times New Roman" w:hAnsi="Times New Roman" w:cs="Times New Roman"/>
                <w:i/>
              </w:rPr>
            </w:pPr>
          </w:p>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 xml:space="preserve">Umožní sa vykonávať odbornú prípravu v rámci akreditácie aj osobám, ktoré nespĺňajú podmienku bezúhonnosti a spoľahlivosti, nakoľko sa tieto osoby priamo nezúčastňujú na výkone bezpečnostnej služby, ale zabezpečujú len odbornú prípravu osôb. Svoju činnosť vykonávajú len na základe požadovaného získaného vysokoškolského vzdelania, resp. iného vzdelania. Uvedenou zmenou sa umožní túto činnosť vykonávať širšiemu okruhu záujemcov, ktorí nebudú obmedzení podmienkou bezúhonnosti a spoľahlivosti. </w:t>
            </w:r>
          </w:p>
          <w:p w:rsidR="00286570" w:rsidRPr="00B610D2" w:rsidRDefault="00286570" w:rsidP="00A14978">
            <w:pPr>
              <w:widowControl w:val="0"/>
              <w:adjustRightInd w:val="0"/>
              <w:jc w:val="both"/>
              <w:textAlignment w:val="baseline"/>
              <w:rPr>
                <w:rFonts w:ascii="Times New Roman" w:hAnsi="Times New Roman" w:cs="Times New Roman"/>
                <w:i/>
              </w:rPr>
            </w:pPr>
          </w:p>
        </w:tc>
      </w:tr>
      <w:tr w:rsidR="00286570" w:rsidRPr="00B610D2" w:rsidTr="00A14978">
        <w:trPr>
          <w:trHeight w:val="388"/>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r w:rsidRPr="00B610D2">
              <w:rPr>
                <w:rFonts w:ascii="Times New Roman" w:hAnsi="Times New Roman" w:cs="Times New Roman"/>
                <w:i/>
              </w:rPr>
              <w:t>Zvýšenie nepriamych finančných nákladov</w:t>
            </w:r>
          </w:p>
        </w:tc>
      </w:tr>
      <w:tr w:rsidR="00286570" w:rsidRPr="00B610D2" w:rsidTr="00A14978">
        <w:trPr>
          <w:trHeight w:val="80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rPr>
            </w:pPr>
          </w:p>
        </w:tc>
      </w:tr>
      <w:tr w:rsidR="00286570" w:rsidRPr="00B610D2" w:rsidTr="00A14978">
        <w:trPr>
          <w:trHeight w:val="388"/>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b/>
              </w:rPr>
              <w:t xml:space="preserve">7.2.2 Časový vplyv </w:t>
            </w:r>
          </w:p>
        </w:tc>
      </w:tr>
      <w:tr w:rsidR="00286570" w:rsidRPr="00B610D2" w:rsidTr="00A14978">
        <w:trPr>
          <w:trHeight w:val="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rPr>
            </w:pPr>
            <w:r w:rsidRPr="00B610D2">
              <w:rPr>
                <w:rFonts w:ascii="Times New Roman" w:hAnsi="Times New Roman" w:cs="Times New Roman"/>
                <w:i/>
              </w:rPr>
              <w:t>Zvýšenie času vybavenia požiadavky (popíšte)</w:t>
            </w:r>
          </w:p>
        </w:tc>
      </w:tr>
      <w:tr w:rsidR="00286570" w:rsidRPr="00B610D2" w:rsidTr="00A14978">
        <w:trPr>
          <w:trHeight w:val="703"/>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rPr>
            </w:pPr>
          </w:p>
        </w:tc>
      </w:tr>
      <w:tr w:rsidR="00286570" w:rsidRPr="00B610D2" w:rsidTr="00A14978">
        <w:trPr>
          <w:trHeight w:val="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rPr>
            </w:pPr>
            <w:r w:rsidRPr="00B610D2">
              <w:rPr>
                <w:rFonts w:ascii="Times New Roman" w:hAnsi="Times New Roman" w:cs="Times New Roman"/>
                <w:i/>
              </w:rPr>
              <w:t>Zníženie času  vybavenia požiadavky (popíšte)</w:t>
            </w:r>
          </w:p>
        </w:tc>
      </w:tr>
      <w:tr w:rsidR="00286570" w:rsidRPr="00B610D2" w:rsidTr="00A14978">
        <w:trPr>
          <w:trHeight w:val="729"/>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rPr>
            </w:pPr>
          </w:p>
        </w:tc>
      </w:tr>
      <w:tr w:rsidR="00286570" w:rsidRPr="00B610D2" w:rsidTr="00A14978">
        <w:trPr>
          <w:trHeight w:val="424"/>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rPr>
            </w:pPr>
            <w:r w:rsidRPr="00B610D2">
              <w:rPr>
                <w:rFonts w:ascii="Times New Roman" w:hAnsi="Times New Roman" w:cs="Times New Roman"/>
                <w:b/>
              </w:rPr>
              <w:t xml:space="preserve">7.2.3 Ktorá skupina občanov bude predloženým návrhom ovplyvnená? </w:t>
            </w:r>
          </w:p>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i/>
                <w:iCs/>
              </w:rPr>
              <w:t>Špecifikujte skupinu občanov, ktorá bude návrhom ovplyvnená (napr. držitelia vodičských oprávnení). Aká je  veľkosť tejto skupiny?</w:t>
            </w:r>
          </w:p>
        </w:tc>
      </w:tr>
      <w:tr w:rsidR="00286570" w:rsidRPr="00B610D2" w:rsidTr="00A14978">
        <w:trPr>
          <w:trHeight w:val="734"/>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i/>
                <w:iCs/>
              </w:rPr>
              <w:lastRenderedPageBreak/>
              <w:t>Držitelia neplatných preukazov odbornej spôsobilosti.</w:t>
            </w:r>
          </w:p>
          <w:p w:rsidR="00286570" w:rsidRPr="00B610D2" w:rsidRDefault="00286570" w:rsidP="00A14978">
            <w:pPr>
              <w:widowControl w:val="0"/>
              <w:adjustRightInd w:val="0"/>
              <w:jc w:val="both"/>
              <w:textAlignment w:val="baseline"/>
              <w:rPr>
                <w:rFonts w:ascii="Times New Roman" w:hAnsi="Times New Roman" w:cs="Times New Roman"/>
                <w:i/>
                <w:iCs/>
              </w:rPr>
            </w:pPr>
          </w:p>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i/>
                <w:iCs/>
              </w:rPr>
              <w:t xml:space="preserve">Občania, ktorí nemusia vykonať odbornú prípravu na skúšku odbornej spôsobilosti. </w:t>
            </w:r>
          </w:p>
          <w:p w:rsidR="00286570" w:rsidRPr="00B610D2" w:rsidRDefault="00286570" w:rsidP="00A14978">
            <w:pPr>
              <w:widowControl w:val="0"/>
              <w:adjustRightInd w:val="0"/>
              <w:jc w:val="both"/>
              <w:textAlignment w:val="baseline"/>
              <w:rPr>
                <w:rFonts w:ascii="Times New Roman" w:hAnsi="Times New Roman" w:cs="Times New Roman"/>
                <w:i/>
                <w:iCs/>
              </w:rPr>
            </w:pPr>
          </w:p>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i/>
                <w:iCs/>
              </w:rPr>
              <w:t xml:space="preserve">Občania, ktorí chcú vykonávať odbornú prípravu v rámci akreditácie.    </w:t>
            </w:r>
          </w:p>
        </w:tc>
      </w:tr>
      <w:tr w:rsidR="00286570" w:rsidRPr="00B610D2" w:rsidTr="00A14978">
        <w:trPr>
          <w:trHeight w:val="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b/>
              </w:rPr>
              <w:t xml:space="preserve">7.2.4 Vyplývajú z návrhu pre občana pri vybavení svojej požiadavky nové povinnosti alebo zanikajú už existujúce povinnosti?  </w:t>
            </w:r>
          </w:p>
        </w:tc>
      </w:tr>
      <w:tr w:rsidR="00286570" w:rsidRPr="00B610D2" w:rsidTr="00A14978">
        <w:trPr>
          <w:trHeight w:val="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i/>
                <w:iCs/>
              </w:rPr>
              <w:t xml:space="preserve">Nové povinnosti (identifikujte) </w:t>
            </w:r>
          </w:p>
        </w:tc>
      </w:tr>
      <w:tr w:rsidR="00286570" w:rsidRPr="00B610D2" w:rsidTr="00A14978">
        <w:trPr>
          <w:trHeight w:val="726"/>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p>
        </w:tc>
      </w:tr>
      <w:tr w:rsidR="00286570" w:rsidRPr="00B610D2" w:rsidTr="00A14978">
        <w:trPr>
          <w:trHeight w:val="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i/>
                <w:iCs/>
              </w:rPr>
              <w:t>Zanikajúce povinnosti (identifikujte)</w:t>
            </w:r>
          </w:p>
        </w:tc>
      </w:tr>
      <w:tr w:rsidR="00286570" w:rsidRPr="00B610D2" w:rsidTr="00A14978">
        <w:trPr>
          <w:trHeight w:val="609"/>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p>
        </w:tc>
      </w:tr>
      <w:tr w:rsidR="00286570" w:rsidRPr="00B610D2" w:rsidTr="00A14978">
        <w:trPr>
          <w:trHeight w:val="20"/>
        </w:trPr>
        <w:tc>
          <w:tcPr>
            <w:tcW w:w="9371" w:type="dxa"/>
            <w:gridSpan w:val="6"/>
            <w:shd w:val="clear" w:color="auto" w:fill="BFBFBF"/>
            <w:vAlign w:val="center"/>
          </w:tcPr>
          <w:p w:rsidR="00286570" w:rsidRPr="00B610D2" w:rsidRDefault="00286570" w:rsidP="00A14978">
            <w:pPr>
              <w:widowControl w:val="0"/>
              <w:adjustRightInd w:val="0"/>
              <w:jc w:val="center"/>
              <w:textAlignment w:val="baseline"/>
              <w:rPr>
                <w:rFonts w:ascii="Times New Roman" w:hAnsi="Times New Roman" w:cs="Times New Roman"/>
                <w:b/>
                <w:sz w:val="28"/>
                <w:szCs w:val="28"/>
              </w:rPr>
            </w:pPr>
            <w:r w:rsidRPr="00B610D2">
              <w:rPr>
                <w:rFonts w:ascii="Times New Roman" w:hAnsi="Times New Roman" w:cs="Times New Roman"/>
                <w:b/>
                <w:sz w:val="28"/>
                <w:szCs w:val="28"/>
              </w:rPr>
              <w:t>7.3 Vplyv na procesy služieb vo verejnej správe</w:t>
            </w:r>
          </w:p>
        </w:tc>
      </w:tr>
      <w:tr w:rsidR="00286570" w:rsidRPr="00B610D2" w:rsidTr="00A14978">
        <w:trPr>
          <w:trHeight w:val="39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b/>
              </w:rPr>
            </w:pPr>
            <w:r w:rsidRPr="00B610D2">
              <w:rPr>
                <w:rFonts w:ascii="Times New Roman" w:hAnsi="Times New Roman" w:cs="Times New Roman"/>
                <w:b/>
              </w:rPr>
              <w:t xml:space="preserve">7.3.1 Ktoré sú dotknuté subjekty verejnej správy? </w:t>
            </w:r>
          </w:p>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i/>
              </w:rPr>
              <w:t xml:space="preserve">Ktoré subjekty verejnej správy sú účastné procesu poskytnutia služby? </w:t>
            </w:r>
          </w:p>
        </w:tc>
      </w:tr>
      <w:tr w:rsidR="00286570" w:rsidRPr="00B610D2" w:rsidTr="00A14978">
        <w:trPr>
          <w:trHeight w:val="733"/>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rPr>
            </w:pPr>
            <w:r w:rsidRPr="00B610D2">
              <w:rPr>
                <w:rFonts w:ascii="Times New Roman" w:hAnsi="Times New Roman" w:cs="Times New Roman"/>
              </w:rPr>
              <w:t xml:space="preserve">Ministerstvo, policajné útvary.  </w:t>
            </w:r>
          </w:p>
        </w:tc>
      </w:tr>
      <w:tr w:rsidR="00286570" w:rsidRPr="00B610D2" w:rsidTr="00A14978">
        <w:trPr>
          <w:trHeight w:val="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b/>
              </w:rPr>
              <w:t xml:space="preserve">7.3.2 Vyplývajú z návrhu pre orgán verejnej správy pri vybavení požiadavky nové povinnosti alebo zanikajú už existujúce povinnosti?  </w:t>
            </w:r>
            <w:r w:rsidRPr="00B610D2">
              <w:rPr>
                <w:rFonts w:ascii="Times New Roman" w:hAnsi="Times New Roman" w:cs="Times New Roman"/>
                <w:iCs/>
              </w:rPr>
              <w:t xml:space="preserve"> </w:t>
            </w:r>
          </w:p>
        </w:tc>
      </w:tr>
      <w:tr w:rsidR="00286570" w:rsidRPr="00B610D2" w:rsidTr="00A14978">
        <w:trPr>
          <w:trHeight w:val="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i/>
                <w:iCs/>
              </w:rPr>
              <w:t>Nové povinnosti (identifikujte)</w:t>
            </w:r>
          </w:p>
        </w:tc>
      </w:tr>
      <w:tr w:rsidR="00286570" w:rsidRPr="00B610D2" w:rsidTr="00A14978">
        <w:trPr>
          <w:trHeight w:val="674"/>
        </w:trPr>
        <w:tc>
          <w:tcPr>
            <w:tcW w:w="9371" w:type="dxa"/>
            <w:gridSpan w:val="6"/>
          </w:tcPr>
          <w:p w:rsidR="00286570" w:rsidRPr="00B610D2" w:rsidRDefault="00286570" w:rsidP="00914C18">
            <w:pPr>
              <w:spacing w:after="160" w:line="259" w:lineRule="auto"/>
              <w:ind w:right="-1"/>
              <w:jc w:val="both"/>
              <w:rPr>
                <w:rFonts w:ascii="Times New Roman" w:hAnsi="Times New Roman" w:cs="Times New Roman"/>
                <w:i/>
                <w:iCs/>
              </w:rPr>
            </w:pPr>
            <w:r w:rsidRPr="00B610D2">
              <w:rPr>
                <w:rFonts w:ascii="Times New Roman" w:eastAsia="Calibri" w:hAnsi="Times New Roman" w:cs="Times New Roman"/>
                <w:sz w:val="20"/>
                <w:szCs w:val="20"/>
              </w:rPr>
              <w:t xml:space="preserve">Z dôvodu umožnenia odovzdania neplatných preukazov odbornej spôsobilosti nielen ministerstvu ale aj policajnému útvaru vzniká negatívny vplyv na procesy služieb vo verejnej správe z dôvodu zvýšenej záťaže na policajné útvary. </w:t>
            </w:r>
          </w:p>
        </w:tc>
      </w:tr>
      <w:tr w:rsidR="00286570" w:rsidRPr="00B610D2" w:rsidTr="00A14978">
        <w:trPr>
          <w:trHeight w:val="20"/>
        </w:trPr>
        <w:tc>
          <w:tcPr>
            <w:tcW w:w="9371" w:type="dxa"/>
            <w:gridSpan w:val="6"/>
          </w:tcPr>
          <w:p w:rsidR="00286570" w:rsidRPr="00B610D2" w:rsidRDefault="00286570" w:rsidP="00A14978">
            <w:pPr>
              <w:widowControl w:val="0"/>
              <w:adjustRightInd w:val="0"/>
              <w:jc w:val="both"/>
              <w:textAlignment w:val="baseline"/>
              <w:rPr>
                <w:rFonts w:ascii="Times New Roman" w:hAnsi="Times New Roman" w:cs="Times New Roman"/>
                <w:i/>
                <w:iCs/>
              </w:rPr>
            </w:pPr>
            <w:r w:rsidRPr="00B610D2">
              <w:rPr>
                <w:rFonts w:ascii="Times New Roman" w:hAnsi="Times New Roman" w:cs="Times New Roman"/>
                <w:i/>
                <w:iCs/>
              </w:rPr>
              <w:t>Zanikajúce povinnosti (identifikujte)</w:t>
            </w:r>
          </w:p>
        </w:tc>
      </w:tr>
      <w:tr w:rsidR="00286570" w:rsidRPr="00B610D2" w:rsidTr="00A14978">
        <w:trPr>
          <w:trHeight w:val="859"/>
        </w:trPr>
        <w:tc>
          <w:tcPr>
            <w:tcW w:w="9371" w:type="dxa"/>
            <w:gridSpan w:val="6"/>
          </w:tcPr>
          <w:p w:rsidR="00286570" w:rsidRDefault="00286570" w:rsidP="00A14978">
            <w:pPr>
              <w:widowControl w:val="0"/>
              <w:adjustRightInd w:val="0"/>
              <w:jc w:val="both"/>
              <w:textAlignment w:val="baseline"/>
              <w:rPr>
                <w:rFonts w:ascii="Times New Roman" w:hAnsi="Times New Roman" w:cs="Times New Roman"/>
                <w:i/>
                <w:iCs/>
              </w:rPr>
            </w:pPr>
          </w:p>
          <w:p w:rsidR="003444D1" w:rsidRDefault="003444D1" w:rsidP="00A14978">
            <w:pPr>
              <w:widowControl w:val="0"/>
              <w:adjustRightInd w:val="0"/>
              <w:jc w:val="both"/>
              <w:textAlignment w:val="baseline"/>
              <w:rPr>
                <w:rFonts w:ascii="Times New Roman" w:hAnsi="Times New Roman" w:cs="Times New Roman"/>
                <w:i/>
                <w:iCs/>
              </w:rPr>
            </w:pPr>
          </w:p>
          <w:p w:rsidR="003444D1" w:rsidRDefault="003444D1" w:rsidP="00A14978">
            <w:pPr>
              <w:widowControl w:val="0"/>
              <w:adjustRightInd w:val="0"/>
              <w:jc w:val="both"/>
              <w:textAlignment w:val="baseline"/>
              <w:rPr>
                <w:rFonts w:ascii="Times New Roman" w:hAnsi="Times New Roman" w:cs="Times New Roman"/>
                <w:i/>
                <w:iCs/>
              </w:rPr>
            </w:pPr>
          </w:p>
          <w:p w:rsidR="003444D1" w:rsidRDefault="003444D1" w:rsidP="00A14978">
            <w:pPr>
              <w:widowControl w:val="0"/>
              <w:adjustRightInd w:val="0"/>
              <w:jc w:val="both"/>
              <w:textAlignment w:val="baseline"/>
              <w:rPr>
                <w:rFonts w:ascii="Times New Roman" w:hAnsi="Times New Roman" w:cs="Times New Roman"/>
                <w:i/>
                <w:iCs/>
              </w:rPr>
            </w:pPr>
          </w:p>
          <w:p w:rsidR="003444D1" w:rsidRPr="00B610D2" w:rsidRDefault="003444D1" w:rsidP="00A14978">
            <w:pPr>
              <w:widowControl w:val="0"/>
              <w:adjustRightInd w:val="0"/>
              <w:jc w:val="both"/>
              <w:textAlignment w:val="baseline"/>
              <w:rPr>
                <w:rFonts w:ascii="Times New Roman" w:hAnsi="Times New Roman" w:cs="Times New Roman"/>
                <w:i/>
                <w:iCs/>
              </w:rPr>
            </w:pPr>
          </w:p>
        </w:tc>
      </w:tr>
      <w:tr w:rsidR="00286570" w:rsidRPr="00B610D2" w:rsidTr="00A14978">
        <w:trPr>
          <w:trHeight w:val="20"/>
        </w:trPr>
        <w:tc>
          <w:tcPr>
            <w:tcW w:w="9371" w:type="dxa"/>
            <w:gridSpan w:val="6"/>
            <w:shd w:val="clear" w:color="auto" w:fill="BFBFBF"/>
            <w:vAlign w:val="center"/>
          </w:tcPr>
          <w:p w:rsidR="00286570" w:rsidRPr="00B610D2" w:rsidRDefault="00286570" w:rsidP="00A14978">
            <w:pPr>
              <w:jc w:val="center"/>
              <w:rPr>
                <w:rFonts w:ascii="Times New Roman" w:hAnsi="Times New Roman" w:cs="Times New Roman"/>
                <w:b/>
                <w:bCs/>
                <w:sz w:val="28"/>
                <w:szCs w:val="28"/>
              </w:rPr>
            </w:pPr>
            <w:r w:rsidRPr="00B610D2">
              <w:rPr>
                <w:rFonts w:ascii="Times New Roman" w:hAnsi="Times New Roman" w:cs="Times New Roman"/>
                <w:b/>
                <w:bCs/>
                <w:sz w:val="28"/>
                <w:szCs w:val="28"/>
              </w:rPr>
              <w:lastRenderedPageBreak/>
              <w:t>Analýza vplyvov na informatizáciu spoločnosti</w:t>
            </w:r>
          </w:p>
          <w:p w:rsidR="00286570" w:rsidRPr="00B610D2" w:rsidRDefault="00286570" w:rsidP="00A14978">
            <w:pPr>
              <w:jc w:val="center"/>
              <w:rPr>
                <w:rFonts w:ascii="Times New Roman" w:hAnsi="Times New Roman" w:cs="Times New Roman"/>
                <w:b/>
                <w:i/>
                <w:iCs/>
                <w:sz w:val="2"/>
              </w:rPr>
            </w:pPr>
          </w:p>
        </w:tc>
      </w:tr>
      <w:tr w:rsidR="00286570" w:rsidRPr="00B610D2" w:rsidTr="00A14978">
        <w:trPr>
          <w:trHeight w:val="20"/>
        </w:trPr>
        <w:tc>
          <w:tcPr>
            <w:tcW w:w="9371" w:type="dxa"/>
            <w:gridSpan w:val="6"/>
            <w:shd w:val="clear" w:color="auto" w:fill="BFBFBF"/>
            <w:vAlign w:val="center"/>
          </w:tcPr>
          <w:p w:rsidR="00286570" w:rsidRPr="00B610D2" w:rsidRDefault="00286570" w:rsidP="00A14978">
            <w:pPr>
              <w:jc w:val="center"/>
              <w:rPr>
                <w:rFonts w:ascii="Times New Roman" w:hAnsi="Times New Roman" w:cs="Times New Roman"/>
                <w:b/>
                <w:bCs/>
              </w:rPr>
            </w:pPr>
            <w:r w:rsidRPr="00B610D2">
              <w:rPr>
                <w:rFonts w:ascii="Times New Roman" w:hAnsi="Times New Roman" w:cs="Times New Roman"/>
                <w:b/>
                <w:bCs/>
              </w:rPr>
              <w:t>Budovanie základných pilierov informatizácie</w:t>
            </w:r>
          </w:p>
        </w:tc>
      </w:tr>
      <w:tr w:rsidR="00286570" w:rsidRPr="00B610D2" w:rsidTr="00A14978">
        <w:trPr>
          <w:trHeight w:val="681"/>
        </w:trPr>
        <w:tc>
          <w:tcPr>
            <w:tcW w:w="3956" w:type="dxa"/>
            <w:shd w:val="clear" w:color="auto" w:fill="C0C0C0"/>
            <w:vAlign w:val="center"/>
          </w:tcPr>
          <w:p w:rsidR="00286570" w:rsidRPr="00B610D2" w:rsidRDefault="00286570" w:rsidP="00A14978">
            <w:pPr>
              <w:jc w:val="center"/>
              <w:rPr>
                <w:rFonts w:ascii="Times New Roman" w:hAnsi="Times New Roman" w:cs="Times New Roman"/>
                <w:b/>
                <w:sz w:val="20"/>
                <w:szCs w:val="20"/>
              </w:rPr>
            </w:pPr>
            <w:r w:rsidRPr="00B610D2">
              <w:rPr>
                <w:rFonts w:ascii="Times New Roman" w:hAnsi="Times New Roman" w:cs="Times New Roman"/>
                <w:b/>
                <w:sz w:val="20"/>
                <w:szCs w:val="20"/>
              </w:rPr>
              <w:t>Biznis vrstva</w:t>
            </w:r>
          </w:p>
        </w:tc>
        <w:tc>
          <w:tcPr>
            <w:tcW w:w="1446" w:type="dxa"/>
            <w:shd w:val="clear" w:color="auto" w:fill="C0C0C0"/>
            <w:vAlign w:val="center"/>
          </w:tcPr>
          <w:p w:rsidR="00286570" w:rsidRPr="00B610D2" w:rsidRDefault="00286570" w:rsidP="00A14978">
            <w:pPr>
              <w:jc w:val="center"/>
              <w:rPr>
                <w:rFonts w:ascii="Times New Roman" w:hAnsi="Times New Roman" w:cs="Times New Roman"/>
                <w:b/>
                <w:sz w:val="20"/>
                <w:szCs w:val="20"/>
              </w:rPr>
            </w:pPr>
            <w:r w:rsidRPr="00B610D2">
              <w:rPr>
                <w:rFonts w:ascii="Times New Roman" w:hAnsi="Times New Roman" w:cs="Times New Roman"/>
                <w:b/>
                <w:sz w:val="20"/>
                <w:szCs w:val="20"/>
              </w:rPr>
              <w:t>A – nová služba</w:t>
            </w:r>
          </w:p>
          <w:p w:rsidR="00286570" w:rsidRPr="00B610D2" w:rsidRDefault="00286570" w:rsidP="00A14978">
            <w:pPr>
              <w:jc w:val="center"/>
              <w:rPr>
                <w:rFonts w:ascii="Times New Roman" w:hAnsi="Times New Roman" w:cs="Times New Roman"/>
                <w:i/>
                <w:iCs/>
                <w:sz w:val="20"/>
                <w:szCs w:val="20"/>
              </w:rPr>
            </w:pPr>
            <w:r w:rsidRPr="00B610D2">
              <w:rPr>
                <w:rFonts w:ascii="Times New Roman" w:hAnsi="Times New Roman" w:cs="Times New Roman"/>
                <w:b/>
                <w:sz w:val="20"/>
                <w:szCs w:val="20"/>
              </w:rPr>
              <w:t>B – zmena služby</w:t>
            </w:r>
          </w:p>
        </w:tc>
        <w:tc>
          <w:tcPr>
            <w:tcW w:w="1134" w:type="dxa"/>
            <w:shd w:val="clear" w:color="auto" w:fill="C0C0C0"/>
            <w:vAlign w:val="center"/>
          </w:tcPr>
          <w:p w:rsidR="00286570" w:rsidRPr="00B610D2" w:rsidRDefault="00286570" w:rsidP="00A14978">
            <w:pPr>
              <w:rPr>
                <w:rFonts w:ascii="Times New Roman" w:hAnsi="Times New Roman" w:cs="Times New Roman"/>
                <w:sz w:val="20"/>
                <w:szCs w:val="20"/>
              </w:rPr>
            </w:pPr>
            <w:r w:rsidRPr="00B610D2">
              <w:rPr>
                <w:rFonts w:ascii="Times New Roman" w:hAnsi="Times New Roman" w:cs="Times New Roman"/>
                <w:b/>
                <w:sz w:val="20"/>
                <w:szCs w:val="20"/>
              </w:rPr>
              <w:t>Kód koncovej služby</w:t>
            </w:r>
          </w:p>
        </w:tc>
        <w:tc>
          <w:tcPr>
            <w:tcW w:w="1276" w:type="dxa"/>
            <w:gridSpan w:val="2"/>
            <w:shd w:val="clear" w:color="auto" w:fill="C0C0C0"/>
            <w:vAlign w:val="center"/>
          </w:tcPr>
          <w:p w:rsidR="00286570" w:rsidRPr="00B610D2" w:rsidRDefault="00286570" w:rsidP="00A14978">
            <w:pPr>
              <w:rPr>
                <w:rFonts w:ascii="Times New Roman" w:hAnsi="Times New Roman" w:cs="Times New Roman"/>
                <w:i/>
                <w:iCs/>
                <w:sz w:val="20"/>
                <w:szCs w:val="20"/>
              </w:rPr>
            </w:pPr>
            <w:r w:rsidRPr="00B610D2">
              <w:rPr>
                <w:rFonts w:ascii="Times New Roman" w:hAnsi="Times New Roman" w:cs="Times New Roman"/>
                <w:b/>
                <w:sz w:val="20"/>
                <w:szCs w:val="20"/>
              </w:rPr>
              <w:t>Názov koncovej služby</w:t>
            </w:r>
          </w:p>
        </w:tc>
        <w:tc>
          <w:tcPr>
            <w:tcW w:w="1559" w:type="dxa"/>
            <w:shd w:val="clear" w:color="auto" w:fill="C0C0C0"/>
          </w:tcPr>
          <w:p w:rsidR="00286570" w:rsidRPr="00B610D2" w:rsidRDefault="00286570" w:rsidP="00A14978">
            <w:pPr>
              <w:rPr>
                <w:rFonts w:ascii="Times New Roman" w:hAnsi="Times New Roman" w:cs="Times New Roman"/>
                <w:b/>
                <w:sz w:val="20"/>
                <w:szCs w:val="20"/>
              </w:rPr>
            </w:pPr>
            <w:r w:rsidRPr="00B610D2">
              <w:rPr>
                <w:rFonts w:ascii="Times New Roman" w:hAnsi="Times New Roman" w:cs="Times New Roman"/>
                <w:b/>
                <w:sz w:val="20"/>
                <w:szCs w:val="20"/>
              </w:rPr>
              <w:t>Úroveň elektronizácie</w:t>
            </w:r>
          </w:p>
        </w:tc>
      </w:tr>
      <w:tr w:rsidR="00286570" w:rsidRPr="00B610D2" w:rsidTr="00A14978">
        <w:trPr>
          <w:trHeight w:val="20"/>
        </w:trPr>
        <w:tc>
          <w:tcPr>
            <w:tcW w:w="3956" w:type="dxa"/>
          </w:tcPr>
          <w:p w:rsidR="00286570" w:rsidRPr="00B610D2" w:rsidRDefault="00286570" w:rsidP="00A14978">
            <w:pPr>
              <w:rPr>
                <w:rFonts w:ascii="Times New Roman" w:hAnsi="Times New Roman" w:cs="Times New Roman"/>
                <w:sz w:val="20"/>
              </w:rPr>
            </w:pPr>
            <w:r w:rsidRPr="00B610D2">
              <w:rPr>
                <w:rFonts w:ascii="Times New Roman" w:hAnsi="Times New Roman" w:cs="Times New Roman"/>
                <w:b/>
                <w:sz w:val="20"/>
              </w:rPr>
              <w:t>6.1.</w:t>
            </w:r>
            <w:r w:rsidRPr="00B610D2">
              <w:rPr>
                <w:rFonts w:ascii="Times New Roman" w:hAnsi="Times New Roman" w:cs="Times New Roman"/>
                <w:sz w:val="20"/>
              </w:rPr>
              <w:t xml:space="preserve"> Predpokladá predložený návrh zmenu existujúcich koncových služieb verejnej správy alebo vytvorenie nových služieb pre občana alebo podnikateľa?</w:t>
            </w:r>
          </w:p>
        </w:tc>
        <w:tc>
          <w:tcPr>
            <w:tcW w:w="1446" w:type="dxa"/>
          </w:tcPr>
          <w:p w:rsidR="00286570" w:rsidRPr="00B610D2" w:rsidRDefault="00286570" w:rsidP="00A14978">
            <w:pPr>
              <w:jc w:val="center"/>
              <w:rPr>
                <w:rFonts w:ascii="Times New Roman" w:hAnsi="Times New Roman" w:cs="Times New Roman"/>
                <w:b/>
              </w:rPr>
            </w:pPr>
          </w:p>
        </w:tc>
        <w:tc>
          <w:tcPr>
            <w:tcW w:w="1134" w:type="dxa"/>
          </w:tcPr>
          <w:p w:rsidR="00286570" w:rsidRPr="00B610D2" w:rsidRDefault="00286570" w:rsidP="00A14978">
            <w:pPr>
              <w:jc w:val="center"/>
              <w:rPr>
                <w:rFonts w:ascii="Times New Roman" w:hAnsi="Times New Roman" w:cs="Times New Roman"/>
                <w:b/>
              </w:rPr>
            </w:pPr>
            <w:r w:rsidRPr="00B610D2">
              <w:rPr>
                <w:rFonts w:ascii="Times New Roman" w:hAnsi="Times New Roman" w:cs="Times New Roman"/>
                <w:b/>
              </w:rPr>
              <w:t xml:space="preserve"> </w:t>
            </w:r>
          </w:p>
        </w:tc>
        <w:tc>
          <w:tcPr>
            <w:tcW w:w="1276" w:type="dxa"/>
            <w:gridSpan w:val="2"/>
          </w:tcPr>
          <w:p w:rsidR="00286570" w:rsidRPr="00B610D2" w:rsidRDefault="00286570" w:rsidP="00A14978">
            <w:pPr>
              <w:jc w:val="both"/>
              <w:rPr>
                <w:rFonts w:ascii="Times New Roman" w:hAnsi="Times New Roman" w:cs="Times New Roman"/>
                <w:b/>
              </w:rPr>
            </w:pPr>
          </w:p>
        </w:tc>
        <w:tc>
          <w:tcPr>
            <w:tcW w:w="1559" w:type="dxa"/>
          </w:tcPr>
          <w:p w:rsidR="00286570" w:rsidRPr="00B610D2" w:rsidRDefault="00286570" w:rsidP="00A14978">
            <w:pPr>
              <w:rPr>
                <w:rFonts w:ascii="Times New Roman" w:hAnsi="Times New Roman" w:cs="Times New Roman"/>
                <w:b/>
                <w:i/>
              </w:rPr>
            </w:pPr>
          </w:p>
        </w:tc>
      </w:tr>
      <w:tr w:rsidR="00286570" w:rsidRPr="00B610D2" w:rsidTr="00A14978">
        <w:trPr>
          <w:trHeight w:val="20"/>
        </w:trPr>
        <w:tc>
          <w:tcPr>
            <w:tcW w:w="3956" w:type="dxa"/>
            <w:shd w:val="clear" w:color="auto" w:fill="C0C0C0"/>
            <w:vAlign w:val="center"/>
          </w:tcPr>
          <w:p w:rsidR="00286570" w:rsidRPr="00B610D2" w:rsidRDefault="00286570" w:rsidP="00A14978">
            <w:pPr>
              <w:jc w:val="center"/>
              <w:rPr>
                <w:rFonts w:ascii="Times New Roman" w:hAnsi="Times New Roman" w:cs="Times New Roman"/>
                <w:b/>
                <w:sz w:val="20"/>
                <w:szCs w:val="20"/>
              </w:rPr>
            </w:pPr>
            <w:r w:rsidRPr="00B610D2">
              <w:rPr>
                <w:rFonts w:ascii="Times New Roman" w:hAnsi="Times New Roman" w:cs="Times New Roman"/>
                <w:b/>
                <w:sz w:val="20"/>
                <w:szCs w:val="20"/>
              </w:rPr>
              <w:t>Aplikačná a technologická vrstva</w:t>
            </w:r>
          </w:p>
        </w:tc>
        <w:tc>
          <w:tcPr>
            <w:tcW w:w="1446" w:type="dxa"/>
            <w:shd w:val="clear" w:color="auto" w:fill="C0C0C0"/>
          </w:tcPr>
          <w:p w:rsidR="00286570" w:rsidRPr="00B610D2" w:rsidRDefault="00286570" w:rsidP="00A14978">
            <w:pPr>
              <w:jc w:val="center"/>
              <w:rPr>
                <w:rFonts w:ascii="Times New Roman" w:hAnsi="Times New Roman" w:cs="Times New Roman"/>
                <w:b/>
                <w:sz w:val="20"/>
                <w:szCs w:val="20"/>
              </w:rPr>
            </w:pPr>
            <w:r w:rsidRPr="00B610D2">
              <w:rPr>
                <w:rFonts w:ascii="Times New Roman" w:hAnsi="Times New Roman" w:cs="Times New Roman"/>
                <w:b/>
                <w:sz w:val="20"/>
                <w:szCs w:val="20"/>
              </w:rPr>
              <w:t>A – nový systém</w:t>
            </w:r>
          </w:p>
          <w:p w:rsidR="00286570" w:rsidRPr="00B610D2" w:rsidRDefault="00286570" w:rsidP="00A14978">
            <w:pPr>
              <w:jc w:val="center"/>
              <w:rPr>
                <w:rFonts w:ascii="Times New Roman" w:hAnsi="Times New Roman" w:cs="Times New Roman"/>
                <w:b/>
                <w:sz w:val="20"/>
                <w:szCs w:val="20"/>
              </w:rPr>
            </w:pPr>
            <w:r w:rsidRPr="00B610D2">
              <w:rPr>
                <w:rFonts w:ascii="Times New Roman" w:hAnsi="Times New Roman" w:cs="Times New Roman"/>
                <w:b/>
                <w:sz w:val="20"/>
                <w:szCs w:val="20"/>
              </w:rPr>
              <w:t>B – zmena systému</w:t>
            </w:r>
          </w:p>
        </w:tc>
        <w:tc>
          <w:tcPr>
            <w:tcW w:w="1134" w:type="dxa"/>
            <w:shd w:val="clear" w:color="auto" w:fill="C0C0C0"/>
            <w:vAlign w:val="center"/>
          </w:tcPr>
          <w:p w:rsidR="00286570" w:rsidRPr="00B610D2" w:rsidRDefault="00286570" w:rsidP="00A14978">
            <w:pPr>
              <w:jc w:val="center"/>
              <w:rPr>
                <w:rFonts w:ascii="Times New Roman" w:hAnsi="Times New Roman" w:cs="Times New Roman"/>
                <w:b/>
                <w:sz w:val="20"/>
                <w:szCs w:val="20"/>
              </w:rPr>
            </w:pPr>
            <w:r w:rsidRPr="00B610D2">
              <w:rPr>
                <w:rFonts w:ascii="Times New Roman" w:hAnsi="Times New Roman" w:cs="Times New Roman"/>
                <w:b/>
                <w:sz w:val="20"/>
                <w:szCs w:val="20"/>
              </w:rPr>
              <w:t>Kód systému</w:t>
            </w:r>
          </w:p>
        </w:tc>
        <w:tc>
          <w:tcPr>
            <w:tcW w:w="1276" w:type="dxa"/>
            <w:gridSpan w:val="2"/>
            <w:shd w:val="clear" w:color="auto" w:fill="C0C0C0"/>
            <w:vAlign w:val="center"/>
          </w:tcPr>
          <w:p w:rsidR="00286570" w:rsidRPr="00B610D2" w:rsidRDefault="00286570" w:rsidP="00A14978">
            <w:pPr>
              <w:jc w:val="center"/>
              <w:rPr>
                <w:rFonts w:ascii="Times New Roman" w:hAnsi="Times New Roman" w:cs="Times New Roman"/>
                <w:b/>
                <w:sz w:val="20"/>
                <w:szCs w:val="20"/>
              </w:rPr>
            </w:pPr>
            <w:r w:rsidRPr="00B610D2">
              <w:rPr>
                <w:rFonts w:ascii="Times New Roman" w:hAnsi="Times New Roman" w:cs="Times New Roman"/>
                <w:b/>
                <w:sz w:val="20"/>
                <w:szCs w:val="20"/>
              </w:rPr>
              <w:t>Názov systému</w:t>
            </w:r>
          </w:p>
        </w:tc>
        <w:tc>
          <w:tcPr>
            <w:tcW w:w="1559" w:type="dxa"/>
            <w:shd w:val="clear" w:color="auto" w:fill="C0C0C0"/>
            <w:vAlign w:val="center"/>
          </w:tcPr>
          <w:p w:rsidR="00286570" w:rsidRPr="00B610D2" w:rsidRDefault="00286570" w:rsidP="00A14978">
            <w:pPr>
              <w:jc w:val="center"/>
              <w:rPr>
                <w:rFonts w:ascii="Times New Roman" w:hAnsi="Times New Roman" w:cs="Times New Roman"/>
                <w:b/>
                <w:sz w:val="20"/>
                <w:szCs w:val="20"/>
              </w:rPr>
            </w:pPr>
            <w:r w:rsidRPr="00B610D2">
              <w:rPr>
                <w:rFonts w:ascii="Times New Roman" w:hAnsi="Times New Roman" w:cs="Times New Roman"/>
                <w:b/>
                <w:sz w:val="20"/>
                <w:szCs w:val="20"/>
              </w:rPr>
              <w:t>Vo vládnom cloude – áno / nie</w:t>
            </w:r>
          </w:p>
        </w:tc>
      </w:tr>
      <w:tr w:rsidR="00286570" w:rsidRPr="00B610D2" w:rsidTr="00A14978">
        <w:trPr>
          <w:trHeight w:val="20"/>
        </w:trPr>
        <w:tc>
          <w:tcPr>
            <w:tcW w:w="3956" w:type="dxa"/>
          </w:tcPr>
          <w:p w:rsidR="00286570" w:rsidRPr="00B610D2" w:rsidRDefault="00286570" w:rsidP="00A14978">
            <w:pPr>
              <w:rPr>
                <w:rFonts w:ascii="Times New Roman" w:hAnsi="Times New Roman" w:cs="Times New Roman"/>
              </w:rPr>
            </w:pPr>
            <w:r w:rsidRPr="00B610D2">
              <w:rPr>
                <w:rFonts w:ascii="Times New Roman" w:hAnsi="Times New Roman" w:cs="Times New Roman"/>
                <w:b/>
                <w:sz w:val="20"/>
                <w:szCs w:val="20"/>
              </w:rPr>
              <w:t>6.2.</w:t>
            </w:r>
            <w:r w:rsidRPr="00B610D2">
              <w:rPr>
                <w:rFonts w:ascii="Times New Roman" w:hAnsi="Times New Roman" w:cs="Times New Roman"/>
                <w:sz w:val="20"/>
                <w:szCs w:val="20"/>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286570" w:rsidRPr="00B610D2" w:rsidRDefault="00286570" w:rsidP="00A14978">
            <w:pPr>
              <w:jc w:val="center"/>
              <w:rPr>
                <w:rFonts w:ascii="Times New Roman" w:hAnsi="Times New Roman" w:cs="Times New Roman"/>
                <w:i/>
                <w:iCs/>
              </w:rPr>
            </w:pPr>
            <w:r w:rsidRPr="00B610D2">
              <w:rPr>
                <w:rFonts w:ascii="Times New Roman" w:hAnsi="Times New Roman" w:cs="Times New Roman"/>
                <w:i/>
                <w:iCs/>
              </w:rPr>
              <w:t>B</w:t>
            </w:r>
          </w:p>
        </w:tc>
        <w:tc>
          <w:tcPr>
            <w:tcW w:w="1134" w:type="dxa"/>
          </w:tcPr>
          <w:p w:rsidR="00286570" w:rsidRPr="00B610D2" w:rsidRDefault="00286570" w:rsidP="00A14978">
            <w:pPr>
              <w:jc w:val="center"/>
              <w:rPr>
                <w:rFonts w:ascii="Times New Roman" w:hAnsi="Times New Roman" w:cs="Times New Roman"/>
                <w:iCs/>
              </w:rPr>
            </w:pPr>
            <w:r w:rsidRPr="00B610D2">
              <w:rPr>
                <w:rFonts w:ascii="Times New Roman" w:hAnsi="Times New Roman" w:cs="Times New Roman"/>
                <w:iCs/>
              </w:rPr>
              <w:t>isvs_181</w:t>
            </w:r>
          </w:p>
        </w:tc>
        <w:tc>
          <w:tcPr>
            <w:tcW w:w="1276" w:type="dxa"/>
            <w:gridSpan w:val="2"/>
          </w:tcPr>
          <w:p w:rsidR="00286570" w:rsidRPr="00B610D2" w:rsidRDefault="00286570" w:rsidP="00A14978">
            <w:pPr>
              <w:jc w:val="center"/>
              <w:rPr>
                <w:rFonts w:ascii="Times New Roman" w:hAnsi="Times New Roman" w:cs="Times New Roman"/>
                <w:iCs/>
              </w:rPr>
            </w:pPr>
            <w:r w:rsidRPr="00B610D2">
              <w:rPr>
                <w:rFonts w:ascii="Times New Roman" w:hAnsi="Times New Roman" w:cs="Times New Roman"/>
                <w:iCs/>
              </w:rPr>
              <w:t>Informačný systém súkromnej bezpečnosti</w:t>
            </w:r>
          </w:p>
        </w:tc>
        <w:tc>
          <w:tcPr>
            <w:tcW w:w="1559" w:type="dxa"/>
          </w:tcPr>
          <w:p w:rsidR="00286570" w:rsidRPr="00B610D2" w:rsidRDefault="00286570" w:rsidP="00A14978">
            <w:pPr>
              <w:jc w:val="center"/>
              <w:rPr>
                <w:rFonts w:ascii="Times New Roman" w:hAnsi="Times New Roman" w:cs="Times New Roman"/>
                <w:iCs/>
              </w:rPr>
            </w:pPr>
            <w:r w:rsidRPr="00B610D2">
              <w:rPr>
                <w:rFonts w:ascii="Times New Roman" w:hAnsi="Times New Roman" w:cs="Times New Roman"/>
                <w:iCs/>
              </w:rPr>
              <w:t>Nie</w:t>
            </w:r>
          </w:p>
        </w:tc>
      </w:tr>
      <w:tr w:rsidR="00286570" w:rsidRPr="00B610D2" w:rsidTr="00A14978">
        <w:trPr>
          <w:trHeight w:val="20"/>
        </w:trPr>
        <w:tc>
          <w:tcPr>
            <w:tcW w:w="3956" w:type="dxa"/>
            <w:shd w:val="clear" w:color="auto" w:fill="BFBFBF"/>
            <w:vAlign w:val="center"/>
          </w:tcPr>
          <w:p w:rsidR="00286570" w:rsidRPr="00B610D2" w:rsidRDefault="00286570" w:rsidP="00A14978">
            <w:pPr>
              <w:spacing w:line="20" w:lineRule="atLeast"/>
              <w:jc w:val="center"/>
              <w:rPr>
                <w:rFonts w:ascii="Times New Roman" w:hAnsi="Times New Roman" w:cs="Times New Roman"/>
                <w:b/>
                <w:sz w:val="20"/>
                <w:szCs w:val="20"/>
              </w:rPr>
            </w:pPr>
            <w:r w:rsidRPr="00B610D2">
              <w:rPr>
                <w:rFonts w:ascii="Times New Roman" w:hAnsi="Times New Roman" w:cs="Times New Roman"/>
                <w:b/>
                <w:sz w:val="20"/>
                <w:szCs w:val="20"/>
              </w:rPr>
              <w:t>Financovanie procesu informatizácie</w:t>
            </w:r>
          </w:p>
        </w:tc>
        <w:tc>
          <w:tcPr>
            <w:tcW w:w="1446" w:type="dxa"/>
            <w:shd w:val="clear" w:color="auto" w:fill="BFBFBF"/>
            <w:vAlign w:val="center"/>
          </w:tcPr>
          <w:p w:rsidR="00286570" w:rsidRPr="00B610D2" w:rsidRDefault="00286570" w:rsidP="00A14978">
            <w:pPr>
              <w:jc w:val="center"/>
              <w:rPr>
                <w:rFonts w:ascii="Times New Roman" w:hAnsi="Times New Roman" w:cs="Times New Roman"/>
                <w:b/>
                <w:i/>
                <w:iCs/>
                <w:sz w:val="20"/>
                <w:szCs w:val="20"/>
              </w:rPr>
            </w:pPr>
            <w:r w:rsidRPr="00B610D2">
              <w:rPr>
                <w:rFonts w:ascii="Times New Roman" w:hAnsi="Times New Roman" w:cs="Times New Roman"/>
                <w:b/>
                <w:sz w:val="20"/>
                <w:szCs w:val="20"/>
              </w:rPr>
              <w:t>Rezortná úroveň</w:t>
            </w:r>
          </w:p>
        </w:tc>
        <w:tc>
          <w:tcPr>
            <w:tcW w:w="1984" w:type="dxa"/>
            <w:gridSpan w:val="2"/>
            <w:shd w:val="clear" w:color="auto" w:fill="BFBFBF"/>
            <w:vAlign w:val="center"/>
          </w:tcPr>
          <w:p w:rsidR="00286570" w:rsidRPr="00B610D2" w:rsidRDefault="00286570" w:rsidP="00A14978">
            <w:pPr>
              <w:jc w:val="center"/>
              <w:rPr>
                <w:rFonts w:ascii="Times New Roman" w:hAnsi="Times New Roman" w:cs="Times New Roman"/>
                <w:b/>
                <w:i/>
                <w:iCs/>
                <w:sz w:val="20"/>
                <w:szCs w:val="20"/>
              </w:rPr>
            </w:pPr>
            <w:r w:rsidRPr="00B610D2">
              <w:rPr>
                <w:rFonts w:ascii="Times New Roman" w:hAnsi="Times New Roman" w:cs="Times New Roman"/>
                <w:b/>
                <w:sz w:val="20"/>
                <w:szCs w:val="20"/>
              </w:rPr>
              <w:t>Nadrezortná úroveň</w:t>
            </w:r>
          </w:p>
          <w:p w:rsidR="00286570" w:rsidRPr="00B610D2" w:rsidRDefault="00286570" w:rsidP="00A14978">
            <w:pPr>
              <w:jc w:val="center"/>
              <w:rPr>
                <w:rFonts w:ascii="Times New Roman" w:hAnsi="Times New Roman" w:cs="Times New Roman"/>
                <w:b/>
                <w:sz w:val="20"/>
                <w:szCs w:val="20"/>
              </w:rPr>
            </w:pPr>
          </w:p>
        </w:tc>
        <w:tc>
          <w:tcPr>
            <w:tcW w:w="1985" w:type="dxa"/>
            <w:gridSpan w:val="2"/>
            <w:shd w:val="clear" w:color="auto" w:fill="BFBFBF"/>
            <w:vAlign w:val="center"/>
          </w:tcPr>
          <w:p w:rsidR="00286570" w:rsidRPr="00B610D2" w:rsidRDefault="00286570" w:rsidP="00A14978">
            <w:pPr>
              <w:rPr>
                <w:rFonts w:ascii="Times New Roman" w:hAnsi="Times New Roman" w:cs="Times New Roman"/>
                <w:b/>
                <w:sz w:val="20"/>
                <w:szCs w:val="20"/>
              </w:rPr>
            </w:pPr>
            <w:r w:rsidRPr="00B610D2">
              <w:rPr>
                <w:rFonts w:ascii="Times New Roman" w:hAnsi="Times New Roman" w:cs="Times New Roman"/>
                <w:b/>
                <w:sz w:val="20"/>
                <w:szCs w:val="20"/>
              </w:rPr>
              <w:t>A - z prostriedkov EÚ   B - z ďalších zdrojov financovania</w:t>
            </w:r>
          </w:p>
        </w:tc>
      </w:tr>
      <w:tr w:rsidR="00286570" w:rsidRPr="00B610D2" w:rsidTr="00A14978">
        <w:trPr>
          <w:trHeight w:val="20"/>
        </w:trPr>
        <w:tc>
          <w:tcPr>
            <w:tcW w:w="3956" w:type="dxa"/>
            <w:tcBorders>
              <w:bottom w:val="single" w:sz="4" w:space="0" w:color="auto"/>
            </w:tcBorders>
          </w:tcPr>
          <w:p w:rsidR="00286570" w:rsidRPr="00B610D2" w:rsidRDefault="00286570" w:rsidP="00A14978">
            <w:pPr>
              <w:jc w:val="both"/>
              <w:rPr>
                <w:rFonts w:ascii="Times New Roman" w:hAnsi="Times New Roman" w:cs="Times New Roman"/>
                <w:sz w:val="20"/>
              </w:rPr>
            </w:pPr>
            <w:r w:rsidRPr="00B610D2">
              <w:rPr>
                <w:rFonts w:ascii="Times New Roman" w:hAnsi="Times New Roman" w:cs="Times New Roman"/>
                <w:b/>
                <w:sz w:val="20"/>
              </w:rPr>
              <w:t>6.3.</w:t>
            </w:r>
            <w:r w:rsidRPr="00B610D2">
              <w:rPr>
                <w:rFonts w:ascii="Times New Roman" w:hAnsi="Times New Roman" w:cs="Times New Roman"/>
                <w:sz w:val="20"/>
              </w:rPr>
              <w:t xml:space="preserve"> Vyžaduje si proces informatizácie  finančné investície?</w:t>
            </w:r>
          </w:p>
          <w:p w:rsidR="00286570" w:rsidRPr="00B610D2" w:rsidRDefault="00286570" w:rsidP="00A14978">
            <w:pPr>
              <w:spacing w:line="20" w:lineRule="atLeast"/>
              <w:jc w:val="both"/>
              <w:rPr>
                <w:rFonts w:ascii="Times New Roman" w:hAnsi="Times New Roman" w:cs="Times New Roman"/>
              </w:rPr>
            </w:pPr>
            <w:r w:rsidRPr="00B610D2">
              <w:rPr>
                <w:rFonts w:ascii="Times New Roman" w:hAnsi="Times New Roman" w:cs="Times New Roman"/>
                <w:i/>
                <w:iCs/>
                <w:sz w:val="20"/>
              </w:rPr>
              <w:t>(Uveďte príslušnú úroveň financovania a kvantifikáciu finančných výdavkov uveďte  v analýze vplyvov na rozpočet verejnej správy.)</w:t>
            </w:r>
          </w:p>
        </w:tc>
        <w:tc>
          <w:tcPr>
            <w:tcW w:w="1446" w:type="dxa"/>
            <w:tcBorders>
              <w:bottom w:val="single" w:sz="4" w:space="0" w:color="auto"/>
            </w:tcBorders>
          </w:tcPr>
          <w:p w:rsidR="00286570" w:rsidRPr="00B610D2" w:rsidRDefault="00286570" w:rsidP="00A14978">
            <w:pPr>
              <w:jc w:val="center"/>
              <w:rPr>
                <w:rFonts w:ascii="Times New Roman" w:hAnsi="Times New Roman" w:cs="Times New Roman"/>
                <w:i/>
                <w:iCs/>
              </w:rPr>
            </w:pPr>
            <w:r w:rsidRPr="00B610D2">
              <w:rPr>
                <w:rFonts w:ascii="Times New Roman" w:hAnsi="Times New Roman" w:cs="Times New Roman"/>
                <w:i/>
                <w:iCs/>
              </w:rPr>
              <w:t>X</w:t>
            </w:r>
          </w:p>
        </w:tc>
        <w:tc>
          <w:tcPr>
            <w:tcW w:w="1984" w:type="dxa"/>
            <w:gridSpan w:val="2"/>
            <w:tcBorders>
              <w:bottom w:val="single" w:sz="4" w:space="0" w:color="auto"/>
            </w:tcBorders>
          </w:tcPr>
          <w:p w:rsidR="00286570" w:rsidRPr="00B610D2" w:rsidRDefault="00286570" w:rsidP="00A14978">
            <w:pPr>
              <w:rPr>
                <w:rFonts w:ascii="Times New Roman" w:hAnsi="Times New Roman" w:cs="Times New Roman"/>
                <w:i/>
                <w:iCs/>
              </w:rPr>
            </w:pPr>
          </w:p>
        </w:tc>
        <w:tc>
          <w:tcPr>
            <w:tcW w:w="1985" w:type="dxa"/>
            <w:gridSpan w:val="2"/>
            <w:tcBorders>
              <w:bottom w:val="single" w:sz="4" w:space="0" w:color="auto"/>
            </w:tcBorders>
          </w:tcPr>
          <w:p w:rsidR="00286570" w:rsidRPr="00B610D2" w:rsidRDefault="00286570" w:rsidP="00A14978">
            <w:pPr>
              <w:rPr>
                <w:rFonts w:ascii="Times New Roman" w:hAnsi="Times New Roman" w:cs="Times New Roman"/>
                <w:i/>
                <w:iCs/>
              </w:rPr>
            </w:pPr>
          </w:p>
        </w:tc>
      </w:tr>
      <w:tr w:rsidR="00286570" w:rsidRPr="00B610D2" w:rsidTr="00A14978">
        <w:trPr>
          <w:trHeight w:val="20"/>
        </w:trPr>
        <w:tc>
          <w:tcPr>
            <w:tcW w:w="9371" w:type="dxa"/>
            <w:gridSpan w:val="6"/>
            <w:shd w:val="pct25" w:color="auto" w:fill="auto"/>
          </w:tcPr>
          <w:p w:rsidR="00286570" w:rsidRPr="00B610D2" w:rsidRDefault="00286570" w:rsidP="00A14978">
            <w:pPr>
              <w:spacing w:line="20" w:lineRule="atLeast"/>
              <w:jc w:val="center"/>
              <w:rPr>
                <w:rFonts w:ascii="Times New Roman" w:hAnsi="Times New Roman" w:cs="Times New Roman"/>
                <w:i/>
                <w:iCs/>
                <w:highlight w:val="darkGray"/>
              </w:rPr>
            </w:pPr>
            <w:r w:rsidRPr="00B610D2">
              <w:rPr>
                <w:rFonts w:ascii="Times New Roman" w:hAnsi="Times New Roman" w:cs="Times New Roman"/>
                <w:b/>
              </w:rPr>
              <w:t>Zjednodušenie prístupu ku konaniu a odstraňovanie byrokracie</w:t>
            </w:r>
          </w:p>
        </w:tc>
      </w:tr>
      <w:tr w:rsidR="00286570" w:rsidRPr="00B610D2" w:rsidTr="00A14978">
        <w:trPr>
          <w:trHeight w:val="20"/>
        </w:trPr>
        <w:tc>
          <w:tcPr>
            <w:tcW w:w="9371" w:type="dxa"/>
            <w:gridSpan w:val="6"/>
            <w:shd w:val="pct25" w:color="auto" w:fill="auto"/>
          </w:tcPr>
          <w:p w:rsidR="00286570" w:rsidRPr="00B610D2" w:rsidRDefault="00286570" w:rsidP="00A14978">
            <w:pPr>
              <w:spacing w:line="20" w:lineRule="atLeast"/>
              <w:jc w:val="center"/>
              <w:rPr>
                <w:rFonts w:ascii="Times New Roman" w:hAnsi="Times New Roman" w:cs="Times New Roman"/>
                <w:b/>
                <w:sz w:val="20"/>
                <w:szCs w:val="20"/>
              </w:rPr>
            </w:pPr>
            <w:r w:rsidRPr="00B610D2">
              <w:rPr>
                <w:rFonts w:ascii="Times New Roman" w:hAnsi="Times New Roman" w:cs="Times New Roman"/>
                <w:b/>
                <w:sz w:val="20"/>
                <w:szCs w:val="20"/>
              </w:rPr>
              <w:t>Elektronické konanie</w:t>
            </w: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t xml:space="preserve">6.4.1. </w:t>
            </w:r>
            <w:r w:rsidRPr="00B610D2">
              <w:rPr>
                <w:rFonts w:ascii="Times New Roman" w:hAnsi="Times New Roman" w:cs="Times New Roman"/>
                <w:sz w:val="20"/>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1051428338"/>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200025544"/>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shd w:val="clear" w:color="auto" w:fill="auto"/>
          </w:tcPr>
          <w:p w:rsidR="00286570" w:rsidRPr="00B610D2" w:rsidRDefault="00286570" w:rsidP="00A14978">
            <w:pPr>
              <w:rPr>
                <w:rFonts w:ascii="Times New Roman" w:hAnsi="Times New Roman" w:cs="Times New Roman"/>
                <w:i/>
                <w:iCs/>
              </w:rPr>
            </w:pPr>
          </w:p>
        </w:tc>
      </w:tr>
      <w:tr w:rsidR="00286570" w:rsidRPr="00B610D2" w:rsidTr="00DF6EA3">
        <w:trPr>
          <w:trHeight w:val="28"/>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t xml:space="preserve">6.4.2. </w:t>
            </w:r>
            <w:r w:rsidRPr="00B610D2">
              <w:rPr>
                <w:rFonts w:ascii="Times New Roman" w:hAnsi="Times New Roman" w:cs="Times New Roman"/>
                <w:sz w:val="20"/>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945843635"/>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31386459"/>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shd w:val="clear" w:color="auto" w:fill="auto"/>
          </w:tcPr>
          <w:p w:rsidR="003444D1" w:rsidRPr="00B610D2" w:rsidRDefault="00286570" w:rsidP="00DF6EA3">
            <w:pPr>
              <w:rPr>
                <w:rFonts w:ascii="Times New Roman" w:hAnsi="Times New Roman" w:cs="Times New Roman"/>
                <w:i/>
                <w:iCs/>
              </w:rPr>
            </w:pPr>
            <w:r w:rsidRPr="00B610D2">
              <w:rPr>
                <w:rFonts w:ascii="Times New Roman" w:hAnsi="Times New Roman" w:cs="Times New Roman"/>
                <w:i/>
                <w:iCs/>
                <w:sz w:val="20"/>
              </w:rPr>
              <w:t>Novelizáciou sa zjednodušuje vykonanie skúšky odbornej spôsobilosti  a to zavedením len  elektronickej formy skúšky odbornej spôsobilosti</w:t>
            </w:r>
            <w:r w:rsidR="00DF6EA3">
              <w:rPr>
                <w:rFonts w:ascii="Times New Roman" w:hAnsi="Times New Roman" w:cs="Times New Roman"/>
                <w:i/>
                <w:iCs/>
                <w:sz w:val="20"/>
              </w:rPr>
              <w:t>.</w:t>
            </w:r>
            <w:r w:rsidRPr="00B610D2">
              <w:rPr>
                <w:rFonts w:ascii="Times New Roman" w:hAnsi="Times New Roman" w:cs="Times New Roman"/>
                <w:i/>
                <w:iCs/>
                <w:sz w:val="20"/>
              </w:rPr>
              <w:t xml:space="preserve"> </w:t>
            </w:r>
            <w:r w:rsidR="00DF6EA3">
              <w:rPr>
                <w:rFonts w:ascii="Times New Roman" w:hAnsi="Times New Roman" w:cs="Times New Roman"/>
                <w:i/>
                <w:iCs/>
                <w:sz w:val="20"/>
              </w:rPr>
              <w:br/>
            </w: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lastRenderedPageBreak/>
              <w:t xml:space="preserve">6.4.3. </w:t>
            </w:r>
            <w:r w:rsidRPr="00B610D2">
              <w:rPr>
                <w:rFonts w:ascii="Times New Roman" w:hAnsi="Times New Roman" w:cs="Times New Roman"/>
                <w:sz w:val="20"/>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812871524"/>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441276830"/>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shd w:val="clear" w:color="auto" w:fill="auto"/>
          </w:tcPr>
          <w:p w:rsidR="00286570" w:rsidRPr="00B610D2" w:rsidRDefault="00286570" w:rsidP="00A14978">
            <w:pPr>
              <w:rPr>
                <w:rFonts w:ascii="Times New Roman" w:hAnsi="Times New Roman" w:cs="Times New Roman"/>
                <w:i/>
                <w:iCs/>
              </w:rPr>
            </w:pPr>
            <w:r w:rsidRPr="00B610D2">
              <w:rPr>
                <w:rFonts w:ascii="Times New Roman" w:hAnsi="Times New Roman" w:cs="Times New Roman"/>
                <w:i/>
                <w:iCs/>
                <w:sz w:val="20"/>
              </w:rPr>
              <w:t>Úprava sa týka nahradenia skúšky odbornej spôsobilosti  pozostávajúcej z písomného testu a ústnej skúšky len elektronickým testom.</w:t>
            </w:r>
          </w:p>
        </w:tc>
      </w:tr>
      <w:tr w:rsidR="00286570" w:rsidRPr="00B610D2" w:rsidTr="00A14978">
        <w:trPr>
          <w:trHeight w:val="20"/>
        </w:trPr>
        <w:tc>
          <w:tcPr>
            <w:tcW w:w="9371" w:type="dxa"/>
            <w:gridSpan w:val="6"/>
            <w:shd w:val="clear" w:color="auto" w:fill="BFBFBF"/>
          </w:tcPr>
          <w:p w:rsidR="00286570" w:rsidRPr="00B610D2" w:rsidRDefault="00286570" w:rsidP="00A14978">
            <w:pPr>
              <w:spacing w:line="20" w:lineRule="atLeast"/>
              <w:jc w:val="center"/>
              <w:rPr>
                <w:rFonts w:ascii="Times New Roman" w:hAnsi="Times New Roman" w:cs="Times New Roman"/>
                <w:i/>
                <w:iCs/>
                <w:sz w:val="20"/>
                <w:szCs w:val="20"/>
              </w:rPr>
            </w:pPr>
            <w:r w:rsidRPr="00B610D2">
              <w:rPr>
                <w:rFonts w:ascii="Times New Roman" w:hAnsi="Times New Roman" w:cs="Times New Roman"/>
                <w:b/>
                <w:sz w:val="20"/>
                <w:szCs w:val="20"/>
              </w:rPr>
              <w:t>Zásada „jedenkrát a dosť“</w:t>
            </w: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t xml:space="preserve">6.5.1. </w:t>
            </w:r>
            <w:r w:rsidRPr="00B610D2">
              <w:rPr>
                <w:rFonts w:ascii="Times New Roman" w:hAnsi="Times New Roman" w:cs="Times New Roman"/>
                <w:bCs/>
                <w:sz w:val="20"/>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43339831"/>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79453833"/>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tcPr>
          <w:p w:rsidR="00286570" w:rsidRPr="00B610D2" w:rsidRDefault="00286570" w:rsidP="00A14978">
            <w:pPr>
              <w:spacing w:line="20" w:lineRule="atLeast"/>
              <w:jc w:val="both"/>
              <w:rPr>
                <w:rFonts w:ascii="Times New Roman" w:hAnsi="Times New Roman" w:cs="Times New Roman"/>
                <w:i/>
                <w:iCs/>
              </w:rPr>
            </w:pP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t xml:space="preserve">6.5.2. </w:t>
            </w:r>
            <w:r w:rsidRPr="00B610D2">
              <w:rPr>
                <w:rFonts w:ascii="Times New Roman" w:hAnsi="Times New Roman" w:cs="Times New Roman"/>
                <w:bCs/>
                <w:sz w:val="20"/>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450372319"/>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617261598"/>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tcPr>
          <w:p w:rsidR="00286570" w:rsidRPr="00B610D2" w:rsidRDefault="00286570" w:rsidP="00A14978">
            <w:pPr>
              <w:rPr>
                <w:rFonts w:ascii="Times New Roman" w:hAnsi="Times New Roman" w:cs="Times New Roman"/>
                <w:i/>
                <w:iCs/>
              </w:rPr>
            </w:pP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t xml:space="preserve">6.5.3. </w:t>
            </w:r>
            <w:r w:rsidRPr="00B610D2">
              <w:rPr>
                <w:rFonts w:ascii="Times New Roman" w:hAnsi="Times New Roman" w:cs="Times New Roman"/>
                <w:sz w:val="20"/>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B610D2">
              <w:rPr>
                <w:rFonts w:ascii="Times New Roman" w:hAnsi="Times New Roman" w:cs="Times New Roman"/>
                <w:bCs/>
                <w:sz w:val="20"/>
              </w:rPr>
              <w:t>subjektom súkromného práva, navrhovateľom, žiadateľom, účastníkom konania (ďalej len „účastník konania“)</w:t>
            </w:r>
            <w:r w:rsidRPr="00B610D2">
              <w:rPr>
                <w:rFonts w:ascii="Times New Roman" w:hAnsi="Times New Roman" w:cs="Times New Roman"/>
                <w:sz w:val="20"/>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2115887386"/>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1730609562"/>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tcPr>
          <w:p w:rsidR="00286570" w:rsidRPr="00B610D2" w:rsidRDefault="00286570" w:rsidP="00A14978">
            <w:pPr>
              <w:rPr>
                <w:rFonts w:ascii="Times New Roman" w:hAnsi="Times New Roman" w:cs="Times New Roman"/>
                <w:i/>
                <w:iCs/>
              </w:rPr>
            </w:pPr>
          </w:p>
        </w:tc>
      </w:tr>
      <w:tr w:rsidR="00286570" w:rsidRPr="00B610D2" w:rsidTr="00A14978">
        <w:trPr>
          <w:trHeight w:val="20"/>
        </w:trPr>
        <w:tc>
          <w:tcPr>
            <w:tcW w:w="3956" w:type="dxa"/>
            <w:tcBorders>
              <w:bottom w:val="single" w:sz="4" w:space="0" w:color="auto"/>
            </w:tcBorders>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t xml:space="preserve">6.5.4. </w:t>
            </w:r>
            <w:r w:rsidRPr="00B610D2">
              <w:rPr>
                <w:rFonts w:ascii="Times New Roman" w:hAnsi="Times New Roman" w:cs="Times New Roman"/>
                <w:sz w:val="20"/>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2088412960"/>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439767500"/>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tcBorders>
              <w:bottom w:val="single" w:sz="4" w:space="0" w:color="auto"/>
            </w:tcBorders>
          </w:tcPr>
          <w:p w:rsidR="00286570" w:rsidRPr="00B610D2" w:rsidRDefault="00286570" w:rsidP="00A14978">
            <w:pPr>
              <w:rPr>
                <w:rFonts w:ascii="Times New Roman" w:hAnsi="Times New Roman" w:cs="Times New Roman"/>
                <w:i/>
                <w:iCs/>
              </w:rPr>
            </w:pPr>
            <w:r w:rsidRPr="00B610D2">
              <w:rPr>
                <w:rFonts w:ascii="Times New Roman" w:hAnsi="Times New Roman" w:cs="Times New Roman"/>
                <w:i/>
                <w:iCs/>
                <w:sz w:val="20"/>
              </w:rPr>
              <w:t xml:space="preserve">Uchádzačov na skúšku prihlasuje akreditovaná osoba, ostatné úkony sú vykonané z úradnej moci. </w:t>
            </w:r>
          </w:p>
        </w:tc>
      </w:tr>
      <w:tr w:rsidR="00286570" w:rsidRPr="00B610D2" w:rsidTr="00A14978">
        <w:trPr>
          <w:trHeight w:val="20"/>
        </w:trPr>
        <w:tc>
          <w:tcPr>
            <w:tcW w:w="9371" w:type="dxa"/>
            <w:gridSpan w:val="6"/>
            <w:shd w:val="pct25" w:color="auto" w:fill="auto"/>
          </w:tcPr>
          <w:p w:rsidR="00286570" w:rsidRPr="00B610D2" w:rsidRDefault="00286570" w:rsidP="00A14978">
            <w:pPr>
              <w:spacing w:line="20" w:lineRule="atLeast"/>
              <w:jc w:val="center"/>
              <w:rPr>
                <w:rFonts w:ascii="Times New Roman" w:hAnsi="Times New Roman" w:cs="Times New Roman"/>
                <w:i/>
                <w:iCs/>
                <w:sz w:val="20"/>
                <w:szCs w:val="20"/>
              </w:rPr>
            </w:pPr>
            <w:r w:rsidRPr="00B610D2">
              <w:rPr>
                <w:rFonts w:ascii="Times New Roman" w:hAnsi="Times New Roman" w:cs="Times New Roman"/>
                <w:b/>
                <w:sz w:val="20"/>
                <w:szCs w:val="20"/>
              </w:rPr>
              <w:t>Výmena údajov medzi orgánmi verejnej moci</w:t>
            </w: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t xml:space="preserve">6.6.1. </w:t>
            </w:r>
            <w:r w:rsidRPr="00B610D2">
              <w:rPr>
                <w:rFonts w:ascii="Times New Roman" w:hAnsi="Times New Roman" w:cs="Times New Roman"/>
                <w:sz w:val="20"/>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581141114"/>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561481988"/>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tcPr>
          <w:p w:rsidR="00286570" w:rsidRPr="00B610D2" w:rsidRDefault="00286570" w:rsidP="00A14978">
            <w:pPr>
              <w:rPr>
                <w:rFonts w:ascii="Times New Roman" w:hAnsi="Times New Roman" w:cs="Times New Roman"/>
                <w:i/>
                <w:iCs/>
                <w:sz w:val="20"/>
                <w:szCs w:val="20"/>
              </w:rPr>
            </w:pPr>
            <w:r w:rsidRPr="00B610D2">
              <w:rPr>
                <w:rFonts w:ascii="Times New Roman" w:hAnsi="Times New Roman" w:cs="Times New Roman"/>
                <w:i/>
                <w:iCs/>
                <w:sz w:val="20"/>
                <w:szCs w:val="20"/>
              </w:rPr>
              <w:t xml:space="preserve">Zavádza sa elektronizácia skúšky odbornej spôsobilosti, ktorá nahradí doterajší spôsob skúšky a výstup bude slúžiť aj naďalej, ako  podklad pre vydanie alebo nevydanie preukazu odbornej spôsobilosti. </w:t>
            </w:r>
          </w:p>
        </w:tc>
      </w:tr>
      <w:tr w:rsidR="00286570" w:rsidRPr="00B610D2" w:rsidTr="00A14978">
        <w:trPr>
          <w:trHeight w:val="28"/>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t xml:space="preserve">6.6.2. </w:t>
            </w:r>
            <w:r w:rsidRPr="00B610D2">
              <w:rPr>
                <w:rFonts w:ascii="Times New Roman" w:hAnsi="Times New Roman" w:cs="Times New Roman"/>
                <w:sz w:val="20"/>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1434169894"/>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1288507644"/>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tcPr>
          <w:p w:rsidR="00286570" w:rsidRDefault="00286570" w:rsidP="00A14978">
            <w:pPr>
              <w:rPr>
                <w:rFonts w:ascii="Times New Roman" w:hAnsi="Times New Roman" w:cs="Times New Roman"/>
                <w:i/>
                <w:iCs/>
              </w:rPr>
            </w:pPr>
          </w:p>
          <w:p w:rsidR="003444D1" w:rsidRDefault="003444D1" w:rsidP="00A14978">
            <w:pPr>
              <w:rPr>
                <w:rFonts w:ascii="Times New Roman" w:hAnsi="Times New Roman" w:cs="Times New Roman"/>
                <w:i/>
                <w:iCs/>
              </w:rPr>
            </w:pPr>
          </w:p>
          <w:p w:rsidR="003444D1" w:rsidRDefault="003444D1" w:rsidP="00A14978">
            <w:pPr>
              <w:rPr>
                <w:rFonts w:ascii="Times New Roman" w:hAnsi="Times New Roman" w:cs="Times New Roman"/>
                <w:i/>
                <w:iCs/>
              </w:rPr>
            </w:pPr>
          </w:p>
          <w:p w:rsidR="003444D1" w:rsidRDefault="003444D1" w:rsidP="00A14978">
            <w:pPr>
              <w:rPr>
                <w:rFonts w:ascii="Times New Roman" w:hAnsi="Times New Roman" w:cs="Times New Roman"/>
                <w:i/>
                <w:iCs/>
              </w:rPr>
            </w:pPr>
          </w:p>
          <w:p w:rsidR="003444D1" w:rsidRPr="00B610D2" w:rsidRDefault="003444D1" w:rsidP="00A14978">
            <w:pPr>
              <w:rPr>
                <w:rFonts w:ascii="Times New Roman" w:hAnsi="Times New Roman" w:cs="Times New Roman"/>
                <w:i/>
                <w:iCs/>
              </w:rPr>
            </w:pP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lastRenderedPageBreak/>
              <w:t xml:space="preserve">6.6.3. </w:t>
            </w:r>
            <w:r w:rsidRPr="00B610D2">
              <w:rPr>
                <w:rFonts w:ascii="Times New Roman" w:hAnsi="Times New Roman" w:cs="Times New Roman"/>
                <w:sz w:val="20"/>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1355335144"/>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116884503"/>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tcPr>
          <w:p w:rsidR="00286570" w:rsidRPr="00B610D2" w:rsidRDefault="00286570" w:rsidP="00A14978">
            <w:pPr>
              <w:rPr>
                <w:rFonts w:ascii="Times New Roman" w:hAnsi="Times New Roman" w:cs="Times New Roman"/>
                <w:i/>
                <w:iCs/>
              </w:rPr>
            </w:pP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b/>
                <w:sz w:val="20"/>
              </w:rPr>
            </w:pPr>
            <w:r w:rsidRPr="00B610D2">
              <w:rPr>
                <w:rFonts w:ascii="Times New Roman" w:hAnsi="Times New Roman" w:cs="Times New Roman"/>
                <w:b/>
                <w:sz w:val="20"/>
              </w:rPr>
              <w:t xml:space="preserve">6.6.4. </w:t>
            </w:r>
            <w:r w:rsidRPr="00B610D2">
              <w:rPr>
                <w:rFonts w:ascii="Times New Roman" w:hAnsi="Times New Roman" w:cs="Times New Roman"/>
                <w:sz w:val="20"/>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295379826"/>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1689520971"/>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rPr>
                <w:rFonts w:ascii="Times New Roman" w:hAnsi="Times New Roman" w:cs="Times New Roman"/>
              </w:rPr>
            </w:pPr>
          </w:p>
        </w:tc>
        <w:tc>
          <w:tcPr>
            <w:tcW w:w="3969" w:type="dxa"/>
            <w:gridSpan w:val="4"/>
          </w:tcPr>
          <w:p w:rsidR="00286570" w:rsidRPr="00B610D2" w:rsidRDefault="00286570" w:rsidP="00A14978">
            <w:pPr>
              <w:rPr>
                <w:rFonts w:ascii="Times New Roman" w:hAnsi="Times New Roman" w:cs="Times New Roman"/>
                <w:i/>
                <w:iCs/>
              </w:rPr>
            </w:pPr>
          </w:p>
        </w:tc>
      </w:tr>
      <w:tr w:rsidR="00286570" w:rsidRPr="00B610D2" w:rsidTr="00A14978">
        <w:trPr>
          <w:trHeight w:val="20"/>
        </w:trPr>
        <w:tc>
          <w:tcPr>
            <w:tcW w:w="9371" w:type="dxa"/>
            <w:gridSpan w:val="6"/>
            <w:shd w:val="clear" w:color="auto" w:fill="A6A6A6"/>
          </w:tcPr>
          <w:p w:rsidR="00286570" w:rsidRPr="00B610D2" w:rsidRDefault="00286570" w:rsidP="00A14978">
            <w:pPr>
              <w:spacing w:line="20" w:lineRule="atLeast"/>
              <w:jc w:val="center"/>
              <w:rPr>
                <w:rFonts w:ascii="Times New Roman" w:hAnsi="Times New Roman" w:cs="Times New Roman"/>
                <w:i/>
                <w:iCs/>
                <w:sz w:val="20"/>
              </w:rPr>
            </w:pPr>
            <w:r w:rsidRPr="00B610D2">
              <w:rPr>
                <w:rFonts w:ascii="Times New Roman" w:hAnsi="Times New Roman" w:cs="Times New Roman"/>
                <w:b/>
                <w:sz w:val="20"/>
                <w:szCs w:val="20"/>
              </w:rPr>
              <w:t>Referenčné údaje</w:t>
            </w: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sz w:val="20"/>
              </w:rPr>
            </w:pPr>
            <w:r w:rsidRPr="00B610D2">
              <w:rPr>
                <w:rFonts w:ascii="Times New Roman" w:hAnsi="Times New Roman" w:cs="Times New Roman"/>
                <w:b/>
                <w:bCs/>
                <w:sz w:val="20"/>
              </w:rPr>
              <w:t>6.7.1.</w:t>
            </w:r>
            <w:r w:rsidRPr="00B610D2">
              <w:rPr>
                <w:rFonts w:ascii="Times New Roman" w:hAnsi="Times New Roman" w:cs="Times New Roman"/>
                <w:sz w:val="20"/>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sdt>
                <w:sdtPr>
                  <w:rPr>
                    <w:rFonts w:ascii="Times New Roman" w:hAnsi="Times New Roman" w:cs="Times New Roman"/>
                    <w:sz w:val="20"/>
                    <w:szCs w:val="20"/>
                  </w:rPr>
                  <w:id w:val="-677810283"/>
                  <w14:checkbox>
                    <w14:checked w14:val="0"/>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Times New Roman"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Áno</w:t>
                  </w:r>
                </w:p>
              </w:tc>
            </w:tr>
            <w:tr w:rsidR="00286570" w:rsidRPr="00B610D2" w:rsidTr="00A14978">
              <w:sdt>
                <w:sdtPr>
                  <w:rPr>
                    <w:rFonts w:ascii="Times New Roman" w:hAnsi="Times New Roman" w:cs="Times New Roman"/>
                    <w:sz w:val="20"/>
                    <w:szCs w:val="20"/>
                  </w:rPr>
                  <w:id w:val="-159857975"/>
                  <w14:checkbox>
                    <w14:checked w14:val="1"/>
                    <w14:checkedState w14:val="2612" w14:font="MS Gothic"/>
                    <w14:uncheckedState w14:val="2610" w14:font="MS Gothic"/>
                  </w14:checkbox>
                </w:sdtPr>
                <w:sdtEndPr/>
                <w:sdtContent>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r w:rsidRPr="00B610D2">
                        <w:rPr>
                          <w:rFonts w:ascii="Segoe UI Symbol" w:eastAsia="MS Gothic" w:hAnsi="Segoe UI Symbol" w:cs="Segoe UI Symbol"/>
                          <w:sz w:val="20"/>
                          <w:szCs w:val="20"/>
                          <w:lang w:eastAsia="sk-SK"/>
                        </w:rPr>
                        <w:t>☒</w:t>
                      </w:r>
                    </w:p>
                  </w:tc>
                </w:sdtContent>
              </w:sdt>
              <w:tc>
                <w:tcPr>
                  <w:tcW w:w="8545" w:type="dxa"/>
                </w:tcPr>
                <w:p w:rsidR="00286570" w:rsidRPr="00B610D2" w:rsidRDefault="00286570" w:rsidP="00A14978">
                  <w:pPr>
                    <w:rPr>
                      <w:rFonts w:ascii="Times New Roman" w:eastAsia="Times New Roman" w:hAnsi="Times New Roman" w:cs="Times New Roman"/>
                      <w:b/>
                      <w:sz w:val="20"/>
                      <w:szCs w:val="20"/>
                      <w:lang w:eastAsia="sk-SK"/>
                    </w:rPr>
                  </w:pPr>
                  <w:r w:rsidRPr="00B610D2">
                    <w:rPr>
                      <w:rFonts w:ascii="Times New Roman" w:eastAsia="Times New Roman" w:hAnsi="Times New Roman" w:cs="Times New Roman"/>
                      <w:b/>
                      <w:sz w:val="20"/>
                      <w:szCs w:val="20"/>
                      <w:lang w:eastAsia="sk-SK"/>
                    </w:rPr>
                    <w:t>Nie</w:t>
                  </w:r>
                </w:p>
              </w:tc>
            </w:tr>
          </w:tbl>
          <w:p w:rsidR="00286570" w:rsidRPr="00B610D2" w:rsidRDefault="00286570" w:rsidP="00A14978">
            <w:pPr>
              <w:jc w:val="center"/>
              <w:rPr>
                <w:rFonts w:ascii="Times New Roman" w:hAnsi="Times New Roman" w:cs="Times New Roman"/>
                <w:sz w:val="20"/>
                <w:szCs w:val="20"/>
              </w:rPr>
            </w:pPr>
          </w:p>
        </w:tc>
        <w:tc>
          <w:tcPr>
            <w:tcW w:w="3969" w:type="dxa"/>
            <w:gridSpan w:val="4"/>
          </w:tcPr>
          <w:p w:rsidR="00286570" w:rsidRPr="00B610D2" w:rsidRDefault="00286570" w:rsidP="00A14978">
            <w:pPr>
              <w:rPr>
                <w:rFonts w:ascii="Times New Roman" w:hAnsi="Times New Roman" w:cs="Times New Roman"/>
                <w:i/>
                <w:iCs/>
                <w:sz w:val="20"/>
              </w:rPr>
            </w:pPr>
            <w:r w:rsidRPr="00B610D2">
              <w:rPr>
                <w:rFonts w:ascii="Times New Roman" w:hAnsi="Times New Roman" w:cs="Times New Roman"/>
                <w:i/>
                <w:iCs/>
                <w:sz w:val="20"/>
              </w:rPr>
              <w:t xml:space="preserve">Aj výstup z novej formy skúšky bude slúžiť len na účely konštatovania, či uchádzač uspel alebo neuspel pri skúške.  </w:t>
            </w:r>
          </w:p>
        </w:tc>
      </w:tr>
      <w:tr w:rsidR="00286570" w:rsidRPr="00B610D2" w:rsidTr="00A14978">
        <w:trPr>
          <w:trHeight w:val="20"/>
        </w:trPr>
        <w:tc>
          <w:tcPr>
            <w:tcW w:w="3956" w:type="dxa"/>
          </w:tcPr>
          <w:p w:rsidR="00286570" w:rsidRPr="00B610D2" w:rsidRDefault="00286570" w:rsidP="00A14978">
            <w:pPr>
              <w:jc w:val="both"/>
              <w:rPr>
                <w:rFonts w:ascii="Times New Roman" w:hAnsi="Times New Roman" w:cs="Times New Roman"/>
                <w:sz w:val="20"/>
              </w:rPr>
            </w:pPr>
            <w:r w:rsidRPr="00B610D2">
              <w:rPr>
                <w:rFonts w:ascii="Times New Roman" w:hAnsi="Times New Roman" w:cs="Times New Roman"/>
                <w:b/>
                <w:bCs/>
                <w:sz w:val="20"/>
              </w:rPr>
              <w:t>6.7.2.</w:t>
            </w:r>
            <w:r w:rsidRPr="00B610D2">
              <w:rPr>
                <w:rFonts w:ascii="Times New Roman" w:hAnsi="Times New Roman" w:cs="Times New Roman"/>
                <w:sz w:val="20"/>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86570" w:rsidRPr="00B610D2" w:rsidTr="00A14978">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p>
              </w:tc>
              <w:tc>
                <w:tcPr>
                  <w:tcW w:w="8545" w:type="dxa"/>
                </w:tcPr>
                <w:p w:rsidR="00286570" w:rsidRPr="00B610D2" w:rsidRDefault="00286570" w:rsidP="00A14978">
                  <w:pPr>
                    <w:rPr>
                      <w:rFonts w:ascii="Times New Roman" w:eastAsia="Times New Roman" w:hAnsi="Times New Roman" w:cs="Times New Roman"/>
                      <w:b/>
                      <w:sz w:val="20"/>
                      <w:szCs w:val="20"/>
                      <w:lang w:eastAsia="sk-SK"/>
                    </w:rPr>
                  </w:pPr>
                </w:p>
              </w:tc>
            </w:tr>
            <w:tr w:rsidR="00286570" w:rsidRPr="00B610D2" w:rsidTr="00A14978">
              <w:tc>
                <w:tcPr>
                  <w:tcW w:w="436" w:type="dxa"/>
                </w:tcPr>
                <w:p w:rsidR="00286570" w:rsidRPr="00B610D2" w:rsidRDefault="00286570" w:rsidP="00A14978">
                  <w:pPr>
                    <w:jc w:val="center"/>
                    <w:rPr>
                      <w:rFonts w:ascii="Times New Roman" w:eastAsia="Times New Roman" w:hAnsi="Times New Roman" w:cs="Times New Roman"/>
                      <w:sz w:val="20"/>
                      <w:szCs w:val="20"/>
                      <w:lang w:eastAsia="sk-SK"/>
                    </w:rPr>
                  </w:pPr>
                </w:p>
              </w:tc>
              <w:tc>
                <w:tcPr>
                  <w:tcW w:w="8545" w:type="dxa"/>
                </w:tcPr>
                <w:p w:rsidR="00286570" w:rsidRPr="00B610D2" w:rsidRDefault="00286570" w:rsidP="00A14978">
                  <w:pPr>
                    <w:rPr>
                      <w:rFonts w:ascii="Times New Roman" w:eastAsia="Times New Roman" w:hAnsi="Times New Roman" w:cs="Times New Roman"/>
                      <w:b/>
                      <w:sz w:val="20"/>
                      <w:szCs w:val="20"/>
                      <w:lang w:eastAsia="sk-SK"/>
                    </w:rPr>
                  </w:pPr>
                </w:p>
              </w:tc>
            </w:tr>
          </w:tbl>
          <w:p w:rsidR="00286570" w:rsidRPr="00B610D2" w:rsidRDefault="00286570" w:rsidP="00A14978">
            <w:pPr>
              <w:jc w:val="center"/>
              <w:rPr>
                <w:rFonts w:ascii="Times New Roman" w:hAnsi="Times New Roman" w:cs="Times New Roman"/>
                <w:sz w:val="20"/>
                <w:szCs w:val="20"/>
              </w:rPr>
            </w:pPr>
          </w:p>
        </w:tc>
        <w:tc>
          <w:tcPr>
            <w:tcW w:w="3969" w:type="dxa"/>
            <w:gridSpan w:val="4"/>
          </w:tcPr>
          <w:p w:rsidR="00286570" w:rsidRPr="00B610D2" w:rsidRDefault="00286570" w:rsidP="00A14978">
            <w:pPr>
              <w:rPr>
                <w:rFonts w:ascii="Times New Roman" w:hAnsi="Times New Roman" w:cs="Times New Roman"/>
                <w:i/>
                <w:iCs/>
                <w:sz w:val="20"/>
              </w:rPr>
            </w:pPr>
          </w:p>
        </w:tc>
      </w:tr>
    </w:tbl>
    <w:p w:rsidR="00286570" w:rsidRPr="00B610D2" w:rsidRDefault="00286570" w:rsidP="00286570">
      <w:pPr>
        <w:autoSpaceDE w:val="0"/>
        <w:autoSpaceDN w:val="0"/>
        <w:adjustRightInd w:val="0"/>
        <w:jc w:val="center"/>
        <w:rPr>
          <w:rFonts w:ascii="Times New Roman" w:eastAsia="Calibri" w:hAnsi="Times New Roman" w:cs="Times New Roman"/>
          <w:b/>
          <w:bCs/>
          <w:color w:val="000000"/>
          <w:sz w:val="28"/>
          <w:szCs w:val="28"/>
        </w:rPr>
      </w:pPr>
    </w:p>
    <w:p w:rsidR="00914C18" w:rsidRPr="00B610D2" w:rsidRDefault="00914C18" w:rsidP="00286570">
      <w:pPr>
        <w:spacing w:after="0" w:line="240" w:lineRule="auto"/>
        <w:jc w:val="center"/>
        <w:rPr>
          <w:rFonts w:ascii="Times New Roman" w:hAnsi="Times New Roman" w:cs="Times New Roman"/>
          <w:b/>
          <w:bCs/>
          <w:caps/>
          <w:spacing w:val="30"/>
          <w:sz w:val="24"/>
          <w:szCs w:val="24"/>
        </w:rPr>
      </w:pPr>
    </w:p>
    <w:p w:rsidR="003444D1" w:rsidRDefault="003444D1" w:rsidP="00286570">
      <w:pPr>
        <w:spacing w:after="0" w:line="240" w:lineRule="auto"/>
        <w:jc w:val="center"/>
        <w:rPr>
          <w:rFonts w:ascii="Times New Roman" w:hAnsi="Times New Roman"/>
          <w:b/>
          <w:bCs/>
          <w:caps/>
          <w:spacing w:val="30"/>
          <w:sz w:val="24"/>
          <w:szCs w:val="24"/>
        </w:rPr>
      </w:pPr>
    </w:p>
    <w:p w:rsidR="00286570" w:rsidRPr="00C56F78" w:rsidRDefault="00286570" w:rsidP="00286570">
      <w:pPr>
        <w:spacing w:after="0" w:line="240" w:lineRule="auto"/>
        <w:jc w:val="center"/>
        <w:rPr>
          <w:rFonts w:ascii="Times New Roman" w:hAnsi="Times New Roman"/>
          <w:b/>
          <w:bCs/>
          <w:caps/>
          <w:spacing w:val="30"/>
          <w:sz w:val="24"/>
          <w:szCs w:val="24"/>
        </w:rPr>
      </w:pPr>
      <w:r w:rsidRPr="00C56F78">
        <w:rPr>
          <w:rFonts w:ascii="Times New Roman" w:hAnsi="Times New Roman"/>
          <w:b/>
          <w:bCs/>
          <w:caps/>
          <w:spacing w:val="30"/>
          <w:sz w:val="24"/>
          <w:szCs w:val="24"/>
        </w:rPr>
        <w:t>Doložka zlučiteľnosti</w:t>
      </w:r>
    </w:p>
    <w:p w:rsidR="00286570" w:rsidRPr="00C56F78" w:rsidRDefault="00286570" w:rsidP="00286570">
      <w:pPr>
        <w:spacing w:after="0" w:line="240" w:lineRule="auto"/>
        <w:jc w:val="center"/>
        <w:rPr>
          <w:rFonts w:ascii="Times New Roman" w:hAnsi="Times New Roman" w:cs="Verdana"/>
          <w:b/>
          <w:bCs/>
          <w:sz w:val="24"/>
          <w:szCs w:val="24"/>
        </w:rPr>
      </w:pPr>
      <w:r w:rsidRPr="00C56F78">
        <w:rPr>
          <w:rFonts w:ascii="Times New Roman" w:hAnsi="Times New Roman"/>
          <w:b/>
          <w:bCs/>
          <w:sz w:val="24"/>
          <w:szCs w:val="24"/>
        </w:rPr>
        <w:t>návrhu zákona s právom Európskej únie</w:t>
      </w:r>
      <w:r w:rsidRPr="00C56F78">
        <w:rPr>
          <w:rFonts w:ascii="Times New Roman" w:hAnsi="Times New Roman" w:cs="Verdana"/>
          <w:b/>
          <w:bCs/>
          <w:sz w:val="24"/>
          <w:szCs w:val="24"/>
        </w:rPr>
        <w:t> </w:t>
      </w:r>
    </w:p>
    <w:p w:rsidR="00286570" w:rsidRPr="00C56F78" w:rsidRDefault="00286570" w:rsidP="00286570">
      <w:pPr>
        <w:spacing w:after="0" w:line="240" w:lineRule="auto"/>
        <w:rPr>
          <w:rFonts w:ascii="Times New Roman" w:hAnsi="Times New Roman" w:cs="Verdana"/>
          <w:sz w:val="24"/>
          <w:szCs w:val="24"/>
        </w:rPr>
      </w:pPr>
    </w:p>
    <w:p w:rsidR="00286570" w:rsidRPr="00C56F78" w:rsidRDefault="00286570" w:rsidP="00286570">
      <w:pPr>
        <w:spacing w:after="0" w:line="240" w:lineRule="auto"/>
        <w:rPr>
          <w:rFonts w:ascii="Times New Roman" w:hAnsi="Times New Roman" w:cs="Verdana"/>
          <w:sz w:val="24"/>
          <w:szCs w:val="24"/>
        </w:rPr>
      </w:pPr>
    </w:p>
    <w:p w:rsidR="00286570" w:rsidRPr="00C56F78" w:rsidRDefault="00286570" w:rsidP="00286570">
      <w:pPr>
        <w:spacing w:after="0" w:line="240" w:lineRule="auto"/>
        <w:ind w:left="360" w:hanging="360"/>
        <w:rPr>
          <w:rFonts w:ascii="Times New Roman" w:hAnsi="Times New Roman" w:cs="Verdana"/>
          <w:b/>
          <w:bCs/>
          <w:sz w:val="24"/>
          <w:szCs w:val="24"/>
        </w:rPr>
      </w:pPr>
      <w:r w:rsidRPr="00C56F78">
        <w:rPr>
          <w:rFonts w:ascii="Times New Roman" w:hAnsi="Times New Roman"/>
          <w:b/>
          <w:bCs/>
          <w:sz w:val="24"/>
          <w:szCs w:val="24"/>
        </w:rPr>
        <w:t>1.</w:t>
      </w:r>
      <w:r w:rsidRPr="00C56F78">
        <w:rPr>
          <w:rFonts w:ascii="Times New Roman" w:hAnsi="Times New Roman"/>
          <w:b/>
          <w:bCs/>
          <w:sz w:val="24"/>
          <w:szCs w:val="24"/>
        </w:rPr>
        <w:tab/>
        <w:t>Navrhovateľ zákona:</w:t>
      </w:r>
      <w:r w:rsidRPr="00C56F78">
        <w:rPr>
          <w:rFonts w:ascii="Times New Roman" w:hAnsi="Times New Roman"/>
          <w:sz w:val="24"/>
          <w:szCs w:val="24"/>
        </w:rPr>
        <w:t xml:space="preserve"> </w:t>
      </w:r>
      <w:r w:rsidRPr="00C56F78">
        <w:rPr>
          <w:rFonts w:ascii="Times New Roman" w:hAnsi="Times New Roman"/>
          <w:sz w:val="24"/>
          <w:szCs w:val="24"/>
          <w:lang w:eastAsia="sk-SK"/>
        </w:rPr>
        <w:t>Ministerstvo vnútra Slovenskej republiky</w:t>
      </w:r>
    </w:p>
    <w:p w:rsidR="00286570" w:rsidRPr="00C56F78" w:rsidRDefault="00286570" w:rsidP="00286570">
      <w:pPr>
        <w:tabs>
          <w:tab w:val="left" w:pos="360"/>
        </w:tabs>
        <w:spacing w:after="0" w:line="240" w:lineRule="auto"/>
        <w:ind w:left="360"/>
        <w:rPr>
          <w:rFonts w:ascii="Times New Roman" w:hAnsi="Times New Roman"/>
          <w:sz w:val="24"/>
          <w:szCs w:val="24"/>
        </w:rPr>
      </w:pPr>
      <w:r w:rsidRPr="00C56F78">
        <w:rPr>
          <w:rFonts w:ascii="Times New Roman" w:hAnsi="Times New Roman"/>
          <w:sz w:val="24"/>
          <w:szCs w:val="24"/>
        </w:rPr>
        <w:t xml:space="preserve"> </w:t>
      </w:r>
    </w:p>
    <w:p w:rsidR="00286570" w:rsidRPr="00C56F78" w:rsidRDefault="00286570" w:rsidP="00286570">
      <w:pPr>
        <w:spacing w:after="0" w:line="240" w:lineRule="auto"/>
        <w:ind w:left="360" w:hanging="360"/>
        <w:jc w:val="both"/>
        <w:rPr>
          <w:rFonts w:ascii="Times New Roman" w:hAnsi="Times New Roman"/>
          <w:sz w:val="24"/>
          <w:szCs w:val="24"/>
        </w:rPr>
      </w:pPr>
      <w:r w:rsidRPr="00C56F78">
        <w:rPr>
          <w:rFonts w:ascii="Times New Roman" w:hAnsi="Times New Roman"/>
          <w:b/>
          <w:bCs/>
          <w:sz w:val="24"/>
          <w:szCs w:val="24"/>
        </w:rPr>
        <w:t>2.</w:t>
      </w:r>
      <w:r w:rsidRPr="00C56F78">
        <w:rPr>
          <w:rFonts w:ascii="Times New Roman" w:hAnsi="Times New Roman"/>
          <w:b/>
          <w:bCs/>
          <w:sz w:val="24"/>
          <w:szCs w:val="24"/>
        </w:rPr>
        <w:tab/>
        <w:t xml:space="preserve">Názov návrhu </w:t>
      </w:r>
      <w:r>
        <w:rPr>
          <w:rFonts w:ascii="Times New Roman" w:hAnsi="Times New Roman"/>
          <w:b/>
          <w:bCs/>
          <w:sz w:val="24"/>
          <w:szCs w:val="24"/>
        </w:rPr>
        <w:t>zákona</w:t>
      </w:r>
      <w:r w:rsidRPr="00C56F78">
        <w:rPr>
          <w:rFonts w:ascii="Times New Roman" w:hAnsi="Times New Roman"/>
          <w:b/>
          <w:bCs/>
          <w:sz w:val="24"/>
          <w:szCs w:val="24"/>
        </w:rPr>
        <w:t>:</w:t>
      </w:r>
      <w:r>
        <w:rPr>
          <w:rFonts w:ascii="Times New Roman" w:hAnsi="Times New Roman"/>
          <w:sz w:val="24"/>
          <w:szCs w:val="24"/>
        </w:rPr>
        <w:t xml:space="preserve"> Zákon</w:t>
      </w:r>
      <w:r w:rsidRPr="00C56F78">
        <w:rPr>
          <w:rFonts w:ascii="Times New Roman" w:hAnsi="Times New Roman"/>
          <w:sz w:val="24"/>
          <w:szCs w:val="24"/>
        </w:rPr>
        <w:t xml:space="preserve">, </w:t>
      </w:r>
      <w:r w:rsidRPr="005867EA">
        <w:rPr>
          <w:rFonts w:ascii="Times New Roman" w:hAnsi="Times New Roman"/>
          <w:sz w:val="24"/>
          <w:szCs w:val="24"/>
        </w:rPr>
        <w:t>ktorým sa mení a dopĺňa zákon č. 473/2005 Z. z. o poskytovaní služieb v oblasti súkromnej bezpečnosti a o zmene a doplnení niektorých zákonov (zákon o súkromnej bezpečnosti) v znení neskorších predpisov</w:t>
      </w:r>
      <w:r w:rsidRPr="00C56F78">
        <w:rPr>
          <w:rFonts w:ascii="Times New Roman" w:hAnsi="Times New Roman"/>
          <w:sz w:val="24"/>
          <w:szCs w:val="24"/>
        </w:rPr>
        <w:t xml:space="preserve"> </w:t>
      </w:r>
    </w:p>
    <w:p w:rsidR="00286570" w:rsidRPr="00C56F78" w:rsidRDefault="00286570" w:rsidP="00286570">
      <w:pPr>
        <w:spacing w:before="120" w:after="0" w:line="240" w:lineRule="auto"/>
        <w:ind w:left="360" w:hanging="360"/>
        <w:jc w:val="both"/>
        <w:rPr>
          <w:rFonts w:ascii="Times New Roman" w:hAnsi="Times New Roman"/>
          <w:b/>
          <w:bCs/>
          <w:sz w:val="20"/>
          <w:szCs w:val="20"/>
        </w:rPr>
      </w:pPr>
    </w:p>
    <w:p w:rsidR="00286570" w:rsidRPr="00C56F78" w:rsidRDefault="00286570" w:rsidP="00286570">
      <w:pPr>
        <w:spacing w:before="120" w:after="0" w:line="240" w:lineRule="auto"/>
        <w:jc w:val="both"/>
        <w:rPr>
          <w:rFonts w:ascii="Times New Roman" w:hAnsi="Times New Roman"/>
          <w:sz w:val="24"/>
          <w:szCs w:val="24"/>
          <w:lang w:eastAsia="sk-SK"/>
        </w:rPr>
      </w:pPr>
      <w:r w:rsidRPr="00C56F78">
        <w:rPr>
          <w:rFonts w:ascii="Times New Roman" w:hAnsi="Times New Roman"/>
          <w:b/>
          <w:sz w:val="24"/>
          <w:szCs w:val="24"/>
          <w:lang w:eastAsia="sk-SK"/>
        </w:rPr>
        <w:t>3.</w:t>
      </w:r>
      <w:r w:rsidRPr="00C56F78">
        <w:rPr>
          <w:rFonts w:ascii="Times New Roman" w:hAnsi="Times New Roman"/>
          <w:sz w:val="24"/>
          <w:szCs w:val="24"/>
          <w:lang w:eastAsia="sk-SK"/>
        </w:rPr>
        <w:t> </w:t>
      </w:r>
      <w:r w:rsidRPr="00C56F78">
        <w:rPr>
          <w:rFonts w:ascii="Times New Roman" w:hAnsi="Times New Roman"/>
          <w:b/>
          <w:bCs/>
          <w:sz w:val="24"/>
          <w:szCs w:val="24"/>
          <w:lang w:eastAsia="sk-SK"/>
        </w:rPr>
        <w:t>Predmet návrhu zákona</w:t>
      </w:r>
      <w:r w:rsidRPr="00C56F78">
        <w:rPr>
          <w:rFonts w:ascii="Times New Roman" w:hAnsi="Times New Roman"/>
          <w:bCs/>
          <w:sz w:val="24"/>
          <w:szCs w:val="24"/>
          <w:lang w:eastAsia="sk-SK"/>
        </w:rPr>
        <w:t xml:space="preserve"> </w:t>
      </w:r>
      <w:r w:rsidRPr="00C56F78">
        <w:rPr>
          <w:rFonts w:ascii="Times New Roman" w:hAnsi="Times New Roman"/>
          <w:sz w:val="24"/>
          <w:szCs w:val="24"/>
          <w:lang w:eastAsia="sk-SK"/>
        </w:rPr>
        <w:t>je upravený v práve Európskej únie:</w:t>
      </w:r>
    </w:p>
    <w:p w:rsidR="00286570" w:rsidRPr="00C56F78" w:rsidRDefault="00286570" w:rsidP="00286570">
      <w:pPr>
        <w:pStyle w:val="Odsekzoznamu"/>
        <w:numPr>
          <w:ilvl w:val="0"/>
          <w:numId w:val="3"/>
        </w:numPr>
        <w:tabs>
          <w:tab w:val="left" w:pos="709"/>
          <w:tab w:val="left" w:pos="1068"/>
        </w:tabs>
        <w:spacing w:before="120"/>
        <w:ind w:left="714" w:hanging="357"/>
        <w:contextualSpacing w:val="0"/>
      </w:pPr>
      <w:r w:rsidRPr="00C56F78">
        <w:t>v primárnom práve</w:t>
      </w:r>
    </w:p>
    <w:p w:rsidR="00286570" w:rsidRDefault="00286570" w:rsidP="00286570">
      <w:pPr>
        <w:pStyle w:val="Odsekzoznamu"/>
        <w:numPr>
          <w:ilvl w:val="0"/>
          <w:numId w:val="4"/>
        </w:numPr>
        <w:tabs>
          <w:tab w:val="left" w:pos="709"/>
          <w:tab w:val="left" w:pos="1068"/>
        </w:tabs>
        <w:spacing w:before="120"/>
        <w:contextualSpacing w:val="0"/>
      </w:pPr>
      <w:r w:rsidRPr="001A67D5">
        <w:t xml:space="preserve">čl. </w:t>
      </w:r>
      <w:r>
        <w:t xml:space="preserve">16 a </w:t>
      </w:r>
      <w:r w:rsidRPr="001A67D5">
        <w:t>56 Zmluvy o fungovaní Európskej únie</w:t>
      </w:r>
      <w:r>
        <w:t>;</w:t>
      </w:r>
    </w:p>
    <w:p w:rsidR="00286570" w:rsidRPr="00C56F78" w:rsidRDefault="00286570" w:rsidP="00286570">
      <w:pPr>
        <w:pStyle w:val="Odsekzoznamu"/>
        <w:numPr>
          <w:ilvl w:val="0"/>
          <w:numId w:val="3"/>
        </w:numPr>
        <w:tabs>
          <w:tab w:val="left" w:pos="709"/>
          <w:tab w:val="left" w:pos="1068"/>
        </w:tabs>
        <w:spacing w:before="120"/>
        <w:ind w:left="714" w:hanging="357"/>
        <w:contextualSpacing w:val="0"/>
        <w:jc w:val="left"/>
      </w:pPr>
      <w:r w:rsidRPr="00C56F78">
        <w:t>v sekundárnom práve</w:t>
      </w:r>
    </w:p>
    <w:p w:rsidR="00286570" w:rsidRPr="00C56F78" w:rsidRDefault="00286570" w:rsidP="00286570">
      <w:pPr>
        <w:pStyle w:val="Standard"/>
        <w:widowControl w:val="0"/>
        <w:suppressAutoHyphens w:val="0"/>
        <w:ind w:left="709"/>
        <w:contextualSpacing/>
        <w:jc w:val="both"/>
        <w:rPr>
          <w:shd w:val="clear" w:color="auto" w:fill="FFFFFF"/>
        </w:rPr>
      </w:pPr>
      <w:r>
        <w:rPr>
          <w:rFonts w:ascii="Times New Roman" w:hAnsi="Times New Roman" w:cs="Times New Roman"/>
          <w:lang w:eastAsia="en-US"/>
        </w:rPr>
        <w:t>- n</w:t>
      </w:r>
      <w:r w:rsidRPr="00DD4CE2">
        <w:rPr>
          <w:rFonts w:ascii="Times New Roman" w:hAnsi="Times New Roman" w:cs="Times New Roman"/>
          <w:lang w:eastAsia="en-US"/>
        </w:rPr>
        <w:t>ariadenie</w:t>
      </w:r>
      <w:r>
        <w:rPr>
          <w:rFonts w:ascii="Times New Roman" w:hAnsi="Times New Roman" w:cs="Times New Roman"/>
          <w:lang w:eastAsia="en-US"/>
        </w:rPr>
        <w:t xml:space="preserve"> </w:t>
      </w:r>
      <w:r w:rsidRPr="00DD4CE2">
        <w:rPr>
          <w:rFonts w:ascii="Times New Roman" w:hAnsi="Times New Roman" w:cs="Times New Roman"/>
          <w:iCs/>
        </w:rPr>
        <w:t xml:space="preserve">Európskeho parlamentu a rady (EÚ) </w:t>
      </w:r>
      <w:r w:rsidRPr="00DD4CE2">
        <w:rPr>
          <w:rFonts w:ascii="Times New Roman" w:hAnsi="Times New Roman" w:cs="Times New Roman"/>
          <w:iCs/>
          <w:lang w:eastAsia="en-US"/>
        </w:rPr>
        <w:t xml:space="preserve">2016/679 z 27. apríla 2016 o ochrane fyzických osôb pri spracúvaní osobných údajov a o voľnom pohybe takýchto údajov, ktorým sa zrušuje smernica 95/46/ES (všeobecné nariadenie o ochrane údajov) </w:t>
      </w:r>
      <w:r w:rsidRPr="00DD4CE2">
        <w:rPr>
          <w:rFonts w:ascii="Times New Roman" w:hAnsi="Times New Roman" w:cs="Times New Roman"/>
          <w:lang w:eastAsia="sk-SK"/>
        </w:rPr>
        <w:t>(Ú. v. EÚ L 119, 4.</w:t>
      </w:r>
      <w:r>
        <w:rPr>
          <w:rFonts w:ascii="Times New Roman" w:hAnsi="Times New Roman" w:cs="Times New Roman"/>
          <w:lang w:eastAsia="sk-SK"/>
        </w:rPr>
        <w:t xml:space="preserve"> </w:t>
      </w:r>
      <w:r w:rsidRPr="00DD4CE2">
        <w:rPr>
          <w:rFonts w:ascii="Times New Roman" w:hAnsi="Times New Roman" w:cs="Times New Roman"/>
          <w:lang w:eastAsia="sk-SK"/>
        </w:rPr>
        <w:t>5.</w:t>
      </w:r>
      <w:r>
        <w:rPr>
          <w:rFonts w:ascii="Times New Roman" w:hAnsi="Times New Roman" w:cs="Times New Roman"/>
          <w:lang w:eastAsia="sk-SK"/>
        </w:rPr>
        <w:t xml:space="preserve"> </w:t>
      </w:r>
      <w:r w:rsidRPr="00DD4CE2">
        <w:rPr>
          <w:rFonts w:ascii="Times New Roman" w:hAnsi="Times New Roman" w:cs="Times New Roman"/>
          <w:lang w:eastAsia="sk-SK"/>
        </w:rPr>
        <w:t>2016)</w:t>
      </w:r>
      <w:r>
        <w:rPr>
          <w:rFonts w:ascii="Times New Roman" w:hAnsi="Times New Roman" w:cs="Times New Roman"/>
          <w:lang w:eastAsia="sk-SK"/>
        </w:rPr>
        <w:t xml:space="preserve"> v platnom znení,</w:t>
      </w:r>
      <w:r w:rsidRPr="00C56F78">
        <w:rPr>
          <w:shd w:val="clear" w:color="auto" w:fill="FFFFFF"/>
        </w:rPr>
        <w:t> </w:t>
      </w:r>
      <w:r>
        <w:rPr>
          <w:shd w:val="clear" w:color="auto" w:fill="FFFFFF"/>
        </w:rPr>
        <w:t xml:space="preserve">gestor: Úrad na ochranu osobných údajov; </w:t>
      </w:r>
    </w:p>
    <w:p w:rsidR="00286570" w:rsidRPr="003444D1" w:rsidRDefault="00286570" w:rsidP="00286570">
      <w:pPr>
        <w:pStyle w:val="Odsekzoznamu"/>
        <w:numPr>
          <w:ilvl w:val="0"/>
          <w:numId w:val="3"/>
        </w:numPr>
        <w:spacing w:before="120"/>
        <w:ind w:left="709" w:right="-142" w:hanging="349"/>
        <w:rPr>
          <w:rFonts w:ascii="Times New Roman" w:hAnsi="Times New Roman"/>
          <w:shd w:val="clear" w:color="auto" w:fill="FFFFFF"/>
        </w:rPr>
      </w:pPr>
      <w:r w:rsidRPr="003444D1">
        <w:rPr>
          <w:rFonts w:ascii="Times New Roman" w:hAnsi="Times New Roman"/>
          <w:shd w:val="clear" w:color="auto" w:fill="FFFFFF"/>
        </w:rPr>
        <w:t xml:space="preserve">v judikatúre Súdneho dvora Európskej únie – problematiky súkromných bezpečnostných služieb sa dotýka rozsudok Súdneho dvora zo </w:t>
      </w:r>
      <w:r w:rsidRPr="003444D1">
        <w:rPr>
          <w:rFonts w:ascii="Times New Roman" w:hAnsi="Times New Roman"/>
        </w:rPr>
        <w:t>7. októbra 2004</w:t>
      </w:r>
      <w:r w:rsidRPr="003444D1">
        <w:rPr>
          <w:rFonts w:ascii="Times New Roman" w:hAnsi="Times New Roman"/>
          <w:shd w:val="clear" w:color="auto" w:fill="FFFFFF"/>
        </w:rPr>
        <w:t xml:space="preserve"> vo veci C-189/03 ECLI:EU:C:2004:597, ktorým Súdny dvor rozhodol, že Holandsko nesplnilo povinnosti, ktoré mu vyplývajú z článku 49 ES, tým že v rámci zákona o súkromných bezpečnostných službách a detektívnych kanceláriách z 24. októbra 1997 prijalo ustanovenia, ktoré vyžadujú, aby zamestnanci týchto spoločností dočasne pridelení z členského štátu, v ktorom je spoločnosť usadená, na výkon </w:t>
      </w:r>
      <w:r w:rsidRPr="003444D1">
        <w:rPr>
          <w:rFonts w:ascii="Times New Roman" w:hAnsi="Times New Roman"/>
          <w:shd w:val="clear" w:color="auto" w:fill="FFFFFF"/>
        </w:rPr>
        <w:lastRenderedPageBreak/>
        <w:t>práce do Holandska, boli držiteľmi identifikačného preukazu vydaného holandskými orgánmi a aby spoločnosti, ktoré chcú poskytovať služby na holandskom území, ako aj vedúci zamestnanci týchto spoločností boli držiteľmi povolenia, a ktoré za vydanie tohto povolenia stanovujú zaplatenie poplatkov.</w:t>
      </w:r>
    </w:p>
    <w:p w:rsidR="00286570" w:rsidRPr="003444D1" w:rsidRDefault="00286570" w:rsidP="00286570">
      <w:pPr>
        <w:pStyle w:val="Odsekzoznamu"/>
        <w:spacing w:before="120"/>
        <w:ind w:right="-142"/>
        <w:rPr>
          <w:rFonts w:ascii="Times New Roman" w:hAnsi="Times New Roman"/>
          <w:shd w:val="clear" w:color="auto" w:fill="FFFFFF"/>
        </w:rPr>
      </w:pPr>
    </w:p>
    <w:p w:rsidR="00286570" w:rsidRPr="003444D1" w:rsidRDefault="00286570" w:rsidP="00286570">
      <w:pPr>
        <w:spacing w:before="120" w:after="0" w:line="240" w:lineRule="auto"/>
        <w:jc w:val="both"/>
        <w:rPr>
          <w:rFonts w:ascii="Times New Roman" w:hAnsi="Times New Roman" w:cs="Times New Roman"/>
          <w:b/>
          <w:sz w:val="24"/>
          <w:szCs w:val="24"/>
          <w:lang w:eastAsia="sk-SK"/>
        </w:rPr>
      </w:pPr>
      <w:r w:rsidRPr="003444D1">
        <w:rPr>
          <w:rFonts w:ascii="Times New Roman" w:hAnsi="Times New Roman" w:cs="Times New Roman"/>
          <w:b/>
          <w:sz w:val="24"/>
          <w:szCs w:val="24"/>
          <w:lang w:eastAsia="sk-SK"/>
        </w:rPr>
        <w:t xml:space="preserve">4. Záväzky Slovenskej republiky vo vzťahu k Európskej únii: </w:t>
      </w:r>
    </w:p>
    <w:p w:rsidR="00286570" w:rsidRPr="003444D1" w:rsidRDefault="00286570" w:rsidP="00286570">
      <w:pPr>
        <w:numPr>
          <w:ilvl w:val="0"/>
          <w:numId w:val="2"/>
        </w:numPr>
        <w:autoSpaceDE w:val="0"/>
        <w:autoSpaceDN w:val="0"/>
        <w:adjustRightInd w:val="0"/>
        <w:spacing w:before="120" w:after="0" w:line="240" w:lineRule="auto"/>
        <w:ind w:left="924" w:hanging="357"/>
        <w:jc w:val="both"/>
        <w:rPr>
          <w:rFonts w:ascii="Times New Roman" w:hAnsi="Times New Roman" w:cs="Times New Roman"/>
          <w:sz w:val="24"/>
          <w:szCs w:val="24"/>
          <w:lang w:eastAsia="cs-CZ"/>
        </w:rPr>
      </w:pPr>
      <w:r w:rsidRPr="003444D1">
        <w:rPr>
          <w:rFonts w:ascii="Times New Roman" w:hAnsi="Times New Roman" w:cs="Times New Roman"/>
          <w:sz w:val="24"/>
          <w:szCs w:val="24"/>
          <w:lang w:eastAsia="cs-CZ"/>
        </w:rPr>
        <w:t>lehota na prebranie príslušného právneho aktu Európskej únie, príp. aj osobitnú lehotu účinnosti jeho ustanovení – bezpredmetné;</w:t>
      </w:r>
    </w:p>
    <w:p w:rsidR="00286570" w:rsidRPr="003444D1" w:rsidRDefault="00286570" w:rsidP="00286570">
      <w:pPr>
        <w:numPr>
          <w:ilvl w:val="0"/>
          <w:numId w:val="2"/>
        </w:numPr>
        <w:autoSpaceDE w:val="0"/>
        <w:autoSpaceDN w:val="0"/>
        <w:adjustRightInd w:val="0"/>
        <w:spacing w:before="120" w:after="0" w:line="240" w:lineRule="auto"/>
        <w:ind w:left="924" w:hanging="357"/>
        <w:jc w:val="both"/>
        <w:rPr>
          <w:rFonts w:ascii="Times New Roman" w:hAnsi="Times New Roman" w:cs="Times New Roman"/>
          <w:sz w:val="24"/>
          <w:szCs w:val="24"/>
          <w:lang w:eastAsia="sk-SK"/>
        </w:rPr>
      </w:pPr>
      <w:r w:rsidRPr="003444D1">
        <w:rPr>
          <w:rFonts w:ascii="Times New Roman" w:hAnsi="Times New Roman" w:cs="Times New Roman"/>
          <w:sz w:val="24"/>
          <w:szCs w:val="24"/>
          <w:lang w:eastAsia="sk-SK"/>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bezpredmetné;</w:t>
      </w:r>
      <w:r w:rsidRPr="003444D1">
        <w:rPr>
          <w:rFonts w:ascii="Times New Roman" w:hAnsi="Times New Roman" w:cs="Times New Roman"/>
          <w:sz w:val="24"/>
          <w:szCs w:val="24"/>
          <w:shd w:val="clear" w:color="auto" w:fill="FFFFFF"/>
        </w:rPr>
        <w:t xml:space="preserve">  </w:t>
      </w:r>
    </w:p>
    <w:p w:rsidR="00286570" w:rsidRPr="003444D1" w:rsidRDefault="00286570" w:rsidP="00286570">
      <w:pPr>
        <w:numPr>
          <w:ilvl w:val="0"/>
          <w:numId w:val="2"/>
        </w:numPr>
        <w:autoSpaceDE w:val="0"/>
        <w:autoSpaceDN w:val="0"/>
        <w:adjustRightInd w:val="0"/>
        <w:spacing w:before="120" w:after="0" w:line="240" w:lineRule="auto"/>
        <w:ind w:left="924" w:hanging="357"/>
        <w:jc w:val="both"/>
        <w:rPr>
          <w:rFonts w:ascii="Times New Roman" w:hAnsi="Times New Roman" w:cs="Times New Roman"/>
          <w:sz w:val="24"/>
          <w:szCs w:val="24"/>
          <w:shd w:val="clear" w:color="auto" w:fill="FFFFFF"/>
        </w:rPr>
      </w:pPr>
      <w:r w:rsidRPr="003444D1">
        <w:rPr>
          <w:rFonts w:ascii="Times New Roman" w:hAnsi="Times New Roman" w:cs="Times New Roman"/>
          <w:sz w:val="24"/>
          <w:szCs w:val="24"/>
          <w:lang w:eastAsia="sk-SK"/>
        </w:rPr>
        <w:t xml:space="preserve">informácia o právnych predpisoch, v ktorých sú uvádzané právne akty Európskej únie už prebrané, spolu s uvedením rozsahu ich prebrania, príp. potreby prijatia ďalších úprav – </w:t>
      </w:r>
      <w:r w:rsidRPr="003444D1">
        <w:rPr>
          <w:rFonts w:ascii="Times New Roman" w:hAnsi="Times New Roman" w:cs="Times New Roman"/>
          <w:sz w:val="24"/>
          <w:szCs w:val="24"/>
          <w:lang w:eastAsia="cs-CZ"/>
        </w:rPr>
        <w:t>bezpredmetné.</w:t>
      </w:r>
    </w:p>
    <w:p w:rsidR="00286570" w:rsidRPr="003444D1" w:rsidRDefault="00286570" w:rsidP="00286570">
      <w:pPr>
        <w:autoSpaceDE w:val="0"/>
        <w:autoSpaceDN w:val="0"/>
        <w:spacing w:before="120" w:after="0" w:line="240" w:lineRule="auto"/>
        <w:ind w:left="567"/>
        <w:jc w:val="both"/>
        <w:rPr>
          <w:rFonts w:ascii="Times New Roman" w:hAnsi="Times New Roman" w:cs="Times New Roman"/>
          <w:sz w:val="24"/>
          <w:szCs w:val="24"/>
          <w:shd w:val="clear" w:color="auto" w:fill="FFFFFF"/>
        </w:rPr>
      </w:pPr>
    </w:p>
    <w:p w:rsidR="00286570" w:rsidRPr="003444D1" w:rsidRDefault="00286570" w:rsidP="00286570">
      <w:pPr>
        <w:spacing w:after="240" w:line="240" w:lineRule="auto"/>
        <w:rPr>
          <w:rFonts w:ascii="Times New Roman" w:hAnsi="Times New Roman" w:cs="Times New Roman"/>
        </w:rPr>
      </w:pPr>
      <w:r w:rsidRPr="003444D1">
        <w:rPr>
          <w:rFonts w:ascii="Times New Roman" w:hAnsi="Times New Roman" w:cs="Times New Roman"/>
          <w:b/>
          <w:sz w:val="24"/>
          <w:szCs w:val="24"/>
          <w:lang w:eastAsia="sk-SK"/>
        </w:rPr>
        <w:t>5</w:t>
      </w:r>
      <w:r w:rsidRPr="003444D1">
        <w:rPr>
          <w:rFonts w:ascii="Times New Roman" w:hAnsi="Times New Roman" w:cs="Times New Roman"/>
          <w:sz w:val="24"/>
          <w:szCs w:val="24"/>
          <w:lang w:eastAsia="sk-SK"/>
        </w:rPr>
        <w:t xml:space="preserve">. </w:t>
      </w:r>
      <w:r w:rsidRPr="003444D1">
        <w:rPr>
          <w:rFonts w:ascii="Times New Roman" w:hAnsi="Times New Roman" w:cs="Times New Roman"/>
          <w:b/>
          <w:sz w:val="24"/>
          <w:szCs w:val="24"/>
          <w:lang w:eastAsia="sk-SK"/>
        </w:rPr>
        <w:t xml:space="preserve">Návrh zákona je zlučiteľný s právom Európskej únie: </w:t>
      </w:r>
      <w:r w:rsidRPr="003444D1">
        <w:rPr>
          <w:rFonts w:ascii="Times New Roman" w:hAnsi="Times New Roman" w:cs="Times New Roman"/>
          <w:sz w:val="24"/>
          <w:szCs w:val="24"/>
          <w:lang w:eastAsia="sk-SK"/>
        </w:rPr>
        <w:t>úplne</w:t>
      </w:r>
    </w:p>
    <w:p w:rsidR="00286570" w:rsidRPr="003444D1" w:rsidRDefault="00286570" w:rsidP="00835459">
      <w:pPr>
        <w:spacing w:line="240" w:lineRule="atLeast"/>
        <w:jc w:val="both"/>
        <w:rPr>
          <w:rFonts w:ascii="Times New Roman" w:hAnsi="Times New Roman" w:cs="Times New Roman"/>
          <w:b/>
          <w:sz w:val="24"/>
          <w:szCs w:val="24"/>
        </w:rPr>
      </w:pPr>
    </w:p>
    <w:p w:rsidR="00835459" w:rsidRPr="003444D1" w:rsidRDefault="00835459" w:rsidP="00835459">
      <w:pPr>
        <w:spacing w:line="240" w:lineRule="atLeast"/>
        <w:jc w:val="both"/>
        <w:rPr>
          <w:rFonts w:ascii="Times New Roman" w:hAnsi="Times New Roman" w:cs="Times New Roman"/>
          <w:b/>
          <w:sz w:val="24"/>
          <w:szCs w:val="24"/>
        </w:rPr>
      </w:pPr>
      <w:r w:rsidRPr="003444D1">
        <w:rPr>
          <w:rFonts w:ascii="Times New Roman" w:hAnsi="Times New Roman" w:cs="Times New Roman"/>
          <w:b/>
          <w:sz w:val="24"/>
          <w:szCs w:val="24"/>
        </w:rPr>
        <w:t>B. Osobitná časť</w:t>
      </w:r>
    </w:p>
    <w:p w:rsidR="00914C18" w:rsidRPr="003444D1" w:rsidRDefault="00914C18" w:rsidP="00835459">
      <w:pPr>
        <w:spacing w:line="240" w:lineRule="atLeast"/>
        <w:jc w:val="center"/>
        <w:rPr>
          <w:rFonts w:ascii="Times New Roman" w:hAnsi="Times New Roman" w:cs="Times New Roman"/>
          <w:b/>
          <w:sz w:val="24"/>
          <w:szCs w:val="24"/>
        </w:rPr>
      </w:pPr>
    </w:p>
    <w:p w:rsidR="00835459" w:rsidRPr="003444D1" w:rsidRDefault="00835459" w:rsidP="00835459">
      <w:pPr>
        <w:spacing w:line="240" w:lineRule="atLeast"/>
        <w:jc w:val="center"/>
        <w:rPr>
          <w:rFonts w:ascii="Times New Roman" w:hAnsi="Times New Roman" w:cs="Times New Roman"/>
          <w:b/>
          <w:sz w:val="24"/>
          <w:szCs w:val="24"/>
        </w:rPr>
      </w:pPr>
      <w:r w:rsidRPr="003444D1">
        <w:rPr>
          <w:rFonts w:ascii="Times New Roman" w:hAnsi="Times New Roman" w:cs="Times New Roman"/>
          <w:b/>
          <w:sz w:val="24"/>
          <w:szCs w:val="24"/>
        </w:rPr>
        <w:t>Čl. I</w:t>
      </w:r>
    </w:p>
    <w:p w:rsidR="00835459" w:rsidRPr="003444D1" w:rsidRDefault="00835459" w:rsidP="00835459">
      <w:pPr>
        <w:spacing w:after="0" w:line="240" w:lineRule="auto"/>
        <w:jc w:val="both"/>
        <w:rPr>
          <w:rFonts w:ascii="Times New Roman" w:hAnsi="Times New Roman" w:cs="Times New Roman"/>
          <w:sz w:val="24"/>
          <w:szCs w:val="24"/>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K bodu 1</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3 písm. i)</w:t>
      </w: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rPr>
        <w:t xml:space="preserve">Z dôvodu nejednoznačného </w:t>
      </w:r>
      <w:r>
        <w:rPr>
          <w:rFonts w:ascii="Times New Roman" w:hAnsi="Times New Roman" w:cs="Times New Roman"/>
          <w:sz w:val="24"/>
          <w:szCs w:val="24"/>
        </w:rPr>
        <w:t xml:space="preserve">výkladu </w:t>
      </w:r>
      <w:r w:rsidRPr="004B0E95">
        <w:rPr>
          <w:rFonts w:ascii="Times New Roman" w:hAnsi="Times New Roman" w:cs="Times New Roman"/>
          <w:sz w:val="24"/>
          <w:szCs w:val="24"/>
        </w:rPr>
        <w:t>pojmu uzavretý priestor alebo</w:t>
      </w:r>
      <w:r>
        <w:rPr>
          <w:rFonts w:ascii="Times New Roman" w:hAnsi="Times New Roman" w:cs="Times New Roman"/>
          <w:sz w:val="24"/>
          <w:szCs w:val="24"/>
        </w:rPr>
        <w:t xml:space="preserve"> uzavreté</w:t>
      </w:r>
      <w:r w:rsidRPr="004B0E95">
        <w:rPr>
          <w:rFonts w:ascii="Times New Roman" w:hAnsi="Times New Roman" w:cs="Times New Roman"/>
          <w:sz w:val="24"/>
          <w:szCs w:val="24"/>
        </w:rPr>
        <w:t xml:space="preserve"> miesto </w:t>
      </w:r>
      <w:r>
        <w:rPr>
          <w:rFonts w:ascii="Times New Roman" w:hAnsi="Times New Roman" w:cs="Times New Roman"/>
          <w:sz w:val="24"/>
          <w:szCs w:val="24"/>
        </w:rPr>
        <w:t xml:space="preserve">sa bude za strážnu službu považovať monitorovanie pohybu osoby a konanie osoby v </w:t>
      </w:r>
      <w:r w:rsidRPr="004B0E95">
        <w:rPr>
          <w:rFonts w:ascii="Times New Roman" w:hAnsi="Times New Roman" w:cs="Times New Roman"/>
          <w:sz w:val="24"/>
          <w:szCs w:val="24"/>
        </w:rPr>
        <w:t>chránen</w:t>
      </w:r>
      <w:r>
        <w:rPr>
          <w:rFonts w:ascii="Times New Roman" w:hAnsi="Times New Roman" w:cs="Times New Roman"/>
          <w:sz w:val="24"/>
          <w:szCs w:val="24"/>
        </w:rPr>
        <w:t>om</w:t>
      </w:r>
      <w:r w:rsidRPr="004B0E95">
        <w:rPr>
          <w:rFonts w:ascii="Times New Roman" w:hAnsi="Times New Roman" w:cs="Times New Roman"/>
          <w:sz w:val="24"/>
          <w:szCs w:val="24"/>
        </w:rPr>
        <w:t xml:space="preserve"> objekt</w:t>
      </w:r>
      <w:r>
        <w:rPr>
          <w:rFonts w:ascii="Times New Roman" w:hAnsi="Times New Roman" w:cs="Times New Roman"/>
          <w:sz w:val="24"/>
          <w:szCs w:val="24"/>
        </w:rPr>
        <w:t>e</w:t>
      </w:r>
      <w:r w:rsidRPr="004B0E95">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4B0E95">
        <w:rPr>
          <w:rFonts w:ascii="Times New Roman" w:hAnsi="Times New Roman" w:cs="Times New Roman"/>
          <w:sz w:val="24"/>
          <w:szCs w:val="24"/>
        </w:rPr>
        <w:t>chránen</w:t>
      </w:r>
      <w:r>
        <w:rPr>
          <w:rFonts w:ascii="Times New Roman" w:hAnsi="Times New Roman" w:cs="Times New Roman"/>
          <w:sz w:val="24"/>
          <w:szCs w:val="24"/>
        </w:rPr>
        <w:t>om</w:t>
      </w:r>
      <w:r w:rsidRPr="004B0E95">
        <w:rPr>
          <w:rFonts w:ascii="Times New Roman" w:hAnsi="Times New Roman" w:cs="Times New Roman"/>
          <w:sz w:val="24"/>
          <w:szCs w:val="24"/>
        </w:rPr>
        <w:t xml:space="preserve"> miest</w:t>
      </w:r>
      <w:r>
        <w:rPr>
          <w:rFonts w:ascii="Times New Roman" w:hAnsi="Times New Roman" w:cs="Times New Roman"/>
          <w:sz w:val="24"/>
          <w:szCs w:val="24"/>
        </w:rPr>
        <w:t xml:space="preserve">e </w:t>
      </w:r>
      <w:r w:rsidRPr="004B0E95">
        <w:rPr>
          <w:rFonts w:ascii="Times New Roman" w:hAnsi="Times New Roman" w:cs="Times New Roman"/>
          <w:sz w:val="24"/>
          <w:szCs w:val="24"/>
        </w:rPr>
        <w:t>a ich okol</w:t>
      </w:r>
      <w:r>
        <w:rPr>
          <w:rFonts w:ascii="Times New Roman" w:hAnsi="Times New Roman" w:cs="Times New Roman"/>
          <w:sz w:val="24"/>
          <w:szCs w:val="24"/>
        </w:rPr>
        <w:t>í. Navrhované znenie je vhodnejšie, keďže lepšie vystihuje tento druh strážnej služby.</w:t>
      </w:r>
    </w:p>
    <w:p w:rsidR="00835459" w:rsidRPr="004B0E95" w:rsidRDefault="00835459" w:rsidP="00835459">
      <w:pPr>
        <w:spacing w:after="0" w:line="240" w:lineRule="auto"/>
        <w:jc w:val="both"/>
        <w:rPr>
          <w:rFonts w:ascii="Times New Roman" w:hAnsi="Times New Roman" w:cs="Times New Roman"/>
          <w:sz w:val="24"/>
          <w:szCs w:val="24"/>
          <w:u w:val="single"/>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K bodu 2</w:t>
      </w:r>
    </w:p>
    <w:p w:rsidR="00835459"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xml:space="preserve">§ </w:t>
      </w:r>
      <w:r>
        <w:rPr>
          <w:rFonts w:ascii="Times New Roman" w:hAnsi="Times New Roman" w:cs="Times New Roman"/>
          <w:sz w:val="24"/>
          <w:szCs w:val="24"/>
        </w:rPr>
        <w:t>7 ods. 1</w:t>
      </w:r>
    </w:p>
    <w:p w:rsidR="00835459" w:rsidRPr="004B0E95" w:rsidRDefault="00835459" w:rsidP="00835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Zjednocuje sa terminológia s § 3 písm. i).</w:t>
      </w:r>
    </w:p>
    <w:p w:rsidR="00835459" w:rsidRPr="004B0E95" w:rsidRDefault="00835459" w:rsidP="00835459">
      <w:pPr>
        <w:spacing w:after="0" w:line="240" w:lineRule="auto"/>
        <w:jc w:val="both"/>
        <w:rPr>
          <w:rFonts w:ascii="Times New Roman" w:hAnsi="Times New Roman" w:cs="Times New Roman"/>
          <w:sz w:val="24"/>
          <w:szCs w:val="24"/>
          <w:u w:val="single"/>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K bodu 3</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1</w:t>
      </w:r>
      <w:r>
        <w:rPr>
          <w:rFonts w:ascii="Times New Roman" w:hAnsi="Times New Roman" w:cs="Times New Roman"/>
          <w:sz w:val="24"/>
          <w:szCs w:val="24"/>
        </w:rPr>
        <w:t>4</w:t>
      </w:r>
      <w:r w:rsidRPr="004B0E95">
        <w:rPr>
          <w:rFonts w:ascii="Times New Roman" w:hAnsi="Times New Roman" w:cs="Times New Roman"/>
          <w:sz w:val="24"/>
          <w:szCs w:val="24"/>
        </w:rPr>
        <w:t xml:space="preserve"> ods. </w:t>
      </w:r>
      <w:r>
        <w:rPr>
          <w:rFonts w:ascii="Times New Roman" w:hAnsi="Times New Roman" w:cs="Times New Roman"/>
          <w:sz w:val="24"/>
          <w:szCs w:val="24"/>
        </w:rPr>
        <w:t>1 písm. a)</w:t>
      </w:r>
    </w:p>
    <w:p w:rsidR="00835459" w:rsidRDefault="00835459" w:rsidP="00835459">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Zosúlaďuje sa terminológia so zákonom </w:t>
      </w:r>
      <w:r w:rsidRPr="00496907">
        <w:rPr>
          <w:rFonts w:ascii="Times New Roman" w:eastAsia="Times New Roman" w:hAnsi="Times New Roman"/>
          <w:sz w:val="24"/>
          <w:szCs w:val="24"/>
          <w:lang w:eastAsia="sk-SK"/>
        </w:rPr>
        <w:t>č. 139/1998 Z. z. o omamných látkach, psychotropných látkach a</w:t>
      </w:r>
      <w:r>
        <w:rPr>
          <w:rFonts w:ascii="Times New Roman" w:eastAsia="Times New Roman" w:hAnsi="Times New Roman"/>
          <w:sz w:val="24"/>
          <w:szCs w:val="24"/>
          <w:lang w:eastAsia="sk-SK"/>
        </w:rPr>
        <w:t> </w:t>
      </w:r>
      <w:r w:rsidRPr="00496907">
        <w:rPr>
          <w:rFonts w:ascii="Times New Roman" w:eastAsia="Times New Roman" w:hAnsi="Times New Roman"/>
          <w:sz w:val="24"/>
          <w:szCs w:val="24"/>
          <w:lang w:eastAsia="sk-SK"/>
        </w:rPr>
        <w:t>prípravkoch</w:t>
      </w:r>
      <w:r>
        <w:rPr>
          <w:rFonts w:ascii="Times New Roman" w:eastAsia="Times New Roman" w:hAnsi="Times New Roman"/>
          <w:sz w:val="24"/>
          <w:szCs w:val="24"/>
          <w:lang w:eastAsia="sk-SK"/>
        </w:rPr>
        <w:t>.</w:t>
      </w:r>
    </w:p>
    <w:p w:rsidR="00835459" w:rsidRDefault="00835459" w:rsidP="00835459">
      <w:pPr>
        <w:spacing w:after="0" w:line="240" w:lineRule="auto"/>
        <w:jc w:val="both"/>
        <w:rPr>
          <w:rFonts w:ascii="Times New Roman" w:eastAsia="Times New Roman" w:hAnsi="Times New Roman"/>
          <w:sz w:val="24"/>
          <w:szCs w:val="24"/>
          <w:lang w:eastAsia="sk-SK"/>
        </w:rPr>
      </w:pPr>
    </w:p>
    <w:p w:rsidR="00914C18" w:rsidRDefault="00914C18" w:rsidP="00835459">
      <w:pPr>
        <w:spacing w:after="0" w:line="240" w:lineRule="auto"/>
        <w:jc w:val="both"/>
        <w:rPr>
          <w:rFonts w:ascii="Times New Roman" w:eastAsia="Times New Roman" w:hAnsi="Times New Roman"/>
          <w:sz w:val="24"/>
          <w:szCs w:val="24"/>
          <w:lang w:eastAsia="sk-SK"/>
        </w:rPr>
      </w:pPr>
    </w:p>
    <w:p w:rsidR="00914C18" w:rsidRDefault="00914C18" w:rsidP="00835459">
      <w:pPr>
        <w:spacing w:after="0" w:line="240" w:lineRule="auto"/>
        <w:jc w:val="both"/>
        <w:rPr>
          <w:rFonts w:ascii="Times New Roman" w:eastAsia="Times New Roman" w:hAnsi="Times New Roman"/>
          <w:sz w:val="24"/>
          <w:szCs w:val="24"/>
          <w:lang w:eastAsia="sk-SK"/>
        </w:rPr>
      </w:pPr>
    </w:p>
    <w:p w:rsidR="00FA5615" w:rsidRDefault="00FA5615" w:rsidP="00835459">
      <w:pPr>
        <w:spacing w:after="0" w:line="240" w:lineRule="auto"/>
        <w:jc w:val="both"/>
        <w:rPr>
          <w:rFonts w:ascii="Times New Roman" w:eastAsia="Times New Roman" w:hAnsi="Times New Roman"/>
          <w:sz w:val="24"/>
          <w:szCs w:val="24"/>
          <w:lang w:eastAsia="sk-SK"/>
        </w:rPr>
      </w:pPr>
    </w:p>
    <w:p w:rsidR="00914C18" w:rsidRDefault="00914C18" w:rsidP="00835459">
      <w:pPr>
        <w:spacing w:after="0" w:line="240" w:lineRule="auto"/>
        <w:jc w:val="both"/>
        <w:rPr>
          <w:rFonts w:ascii="Times New Roman" w:eastAsia="Times New Roman" w:hAnsi="Times New Roman"/>
          <w:sz w:val="24"/>
          <w:szCs w:val="24"/>
          <w:lang w:eastAsia="sk-SK"/>
        </w:rPr>
      </w:pPr>
    </w:p>
    <w:p w:rsidR="00835459" w:rsidRPr="004B0E95" w:rsidRDefault="00835459" w:rsidP="0083545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K bodu</w:t>
      </w:r>
      <w:r w:rsidRPr="004B0E95">
        <w:rPr>
          <w:rFonts w:ascii="Times New Roman" w:hAnsi="Times New Roman" w:cs="Times New Roman"/>
          <w:sz w:val="24"/>
          <w:szCs w:val="24"/>
          <w:u w:val="single"/>
        </w:rPr>
        <w:t xml:space="preserve"> 4</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xml:space="preserve">§ 18 ods. </w:t>
      </w:r>
      <w:r>
        <w:rPr>
          <w:rFonts w:ascii="Times New Roman" w:hAnsi="Times New Roman" w:cs="Times New Roman"/>
          <w:sz w:val="24"/>
          <w:szCs w:val="24"/>
        </w:rPr>
        <w:t>2</w:t>
      </w:r>
    </w:p>
    <w:p w:rsidR="00835459" w:rsidRPr="004B0E95" w:rsidRDefault="00835459" w:rsidP="00835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súlade s požiadavkou čl. 5 ods. 1 písm. c) nariadenia</w:t>
      </w:r>
      <w:r w:rsidRPr="00496907">
        <w:rPr>
          <w:rFonts w:ascii="Times New Roman" w:hAnsi="Times New Roman" w:cs="Times New Roman"/>
          <w:sz w:val="24"/>
          <w:szCs w:val="24"/>
        </w:rPr>
        <w:t xml:space="preserve"> Európskeho parlamentu a Rady (EÚ) 2016/679 z 27. apríla 2016 o ochrane fyzických osôb pri spracúvaní osobných údajov a o voľnom pohybe takýchto údajov, ktorým sa zrušuje smernica 95/46/ES (všeobecné nariadenie o ochrane údajov)</w:t>
      </w:r>
      <w:r>
        <w:rPr>
          <w:rFonts w:ascii="Times New Roman" w:hAnsi="Times New Roman" w:cs="Times New Roman"/>
          <w:sz w:val="24"/>
          <w:szCs w:val="24"/>
        </w:rPr>
        <w:t>, podľa ktorého majú byť osobné údaje „</w:t>
      </w:r>
      <w:r w:rsidRPr="007A14C2">
        <w:rPr>
          <w:rFonts w:ascii="Times New Roman" w:hAnsi="Times New Roman" w:cs="Times New Roman"/>
          <w:sz w:val="24"/>
          <w:szCs w:val="24"/>
        </w:rPr>
        <w:t>primerané, relevantné a obmedzené na rozsah, ktorý je nevyhnutný vzhľadom na účely, na ktoré sa spracúvajú</w:t>
      </w:r>
      <w:r>
        <w:rPr>
          <w:rFonts w:ascii="Times New Roman" w:hAnsi="Times New Roman" w:cs="Times New Roman"/>
          <w:sz w:val="24"/>
          <w:szCs w:val="24"/>
        </w:rPr>
        <w:t>“ sa upravuje rozsah poskytovaných údajov.</w:t>
      </w:r>
    </w:p>
    <w:p w:rsidR="00835459" w:rsidRPr="004B0E95" w:rsidRDefault="00835459" w:rsidP="00835459">
      <w:pPr>
        <w:spacing w:after="0" w:line="240" w:lineRule="auto"/>
        <w:jc w:val="both"/>
        <w:rPr>
          <w:rFonts w:ascii="Times New Roman" w:hAnsi="Times New Roman" w:cs="Times New Roman"/>
          <w:sz w:val="24"/>
          <w:szCs w:val="24"/>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 xml:space="preserve">K bodu </w:t>
      </w:r>
      <w:r>
        <w:rPr>
          <w:rFonts w:ascii="Times New Roman" w:hAnsi="Times New Roman" w:cs="Times New Roman"/>
          <w:sz w:val="24"/>
          <w:szCs w:val="24"/>
          <w:u w:val="single"/>
        </w:rPr>
        <w:t>5</w:t>
      </w:r>
    </w:p>
    <w:p w:rsidR="00835459" w:rsidRPr="004B0E95" w:rsidRDefault="00835459" w:rsidP="00835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18 ods. 3 piata veta</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7A14C2">
        <w:rPr>
          <w:rFonts w:ascii="Times New Roman" w:eastAsia="Times New Roman" w:hAnsi="Times New Roman" w:cs="Times New Roman"/>
          <w:sz w:val="24"/>
          <w:szCs w:val="24"/>
          <w:lang w:eastAsia="sk-SK"/>
        </w:rPr>
        <w:t xml:space="preserve">V súlade s </w:t>
      </w:r>
      <w:r>
        <w:rPr>
          <w:rFonts w:ascii="Times New Roman" w:eastAsia="Times New Roman" w:hAnsi="Times New Roman" w:cs="Times New Roman"/>
          <w:sz w:val="24"/>
          <w:szCs w:val="24"/>
          <w:lang w:eastAsia="sk-SK"/>
        </w:rPr>
        <w:t>požiadavkou čl. 5 ods. 1 písm. b</w:t>
      </w:r>
      <w:r w:rsidRPr="007A14C2">
        <w:rPr>
          <w:rFonts w:ascii="Times New Roman" w:eastAsia="Times New Roman" w:hAnsi="Times New Roman" w:cs="Times New Roman"/>
          <w:sz w:val="24"/>
          <w:szCs w:val="24"/>
          <w:lang w:eastAsia="sk-SK"/>
        </w:rPr>
        <w:t xml:space="preserve">) nariadenia Európskeho parlamentu a Rady (EÚ) 2016/679 z 27. apríla 2016 o ochrane fyzických osôb pri spracúvaní osobných údajov a o voľnom pohybe takýchto údajov, ktorým sa zrušuje smernica 95/46/ES (všeobecné nariadenie o ochrane údajov), podľa ktorého majú byť osobné údaje „získavané na konkrétne určené, výslovne uvedené a legitímne účely“ sa upravuje </w:t>
      </w:r>
      <w:r>
        <w:rPr>
          <w:rFonts w:ascii="Times New Roman" w:eastAsia="Times New Roman" w:hAnsi="Times New Roman" w:cs="Times New Roman"/>
          <w:sz w:val="24"/>
          <w:szCs w:val="24"/>
          <w:lang w:eastAsia="sk-SK"/>
        </w:rPr>
        <w:t>ustanovenie o rozsahu údajov uvedených v protokole</w:t>
      </w:r>
      <w:r w:rsidRPr="007A14C2">
        <w:rPr>
          <w:rFonts w:ascii="Times New Roman" w:eastAsia="Times New Roman" w:hAnsi="Times New Roman" w:cs="Times New Roman"/>
          <w:sz w:val="24"/>
          <w:szCs w:val="24"/>
          <w:lang w:eastAsia="sk-SK"/>
        </w:rPr>
        <w:t>.</w:t>
      </w:r>
    </w:p>
    <w:p w:rsidR="00835459" w:rsidRDefault="00835459" w:rsidP="00835459">
      <w:pPr>
        <w:spacing w:after="0" w:line="240" w:lineRule="auto"/>
        <w:jc w:val="both"/>
        <w:rPr>
          <w:rFonts w:ascii="Times New Roman" w:eastAsia="Times New Roman" w:hAnsi="Times New Roman" w:cs="Times New Roman"/>
          <w:sz w:val="24"/>
          <w:szCs w:val="24"/>
          <w:lang w:eastAsia="sk-SK"/>
        </w:rPr>
      </w:pPr>
    </w:p>
    <w:p w:rsidR="00835459"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 xml:space="preserve">K bodu </w:t>
      </w:r>
      <w:r>
        <w:rPr>
          <w:rFonts w:ascii="Times New Roman" w:hAnsi="Times New Roman" w:cs="Times New Roman"/>
          <w:sz w:val="24"/>
          <w:szCs w:val="24"/>
          <w:u w:val="single"/>
        </w:rPr>
        <w:t>6</w:t>
      </w:r>
    </w:p>
    <w:p w:rsidR="00835459" w:rsidRPr="00D54ECF" w:rsidRDefault="00835459" w:rsidP="00835459">
      <w:pPr>
        <w:spacing w:after="0" w:line="240" w:lineRule="auto"/>
        <w:jc w:val="both"/>
        <w:rPr>
          <w:rFonts w:ascii="Times New Roman" w:hAnsi="Times New Roman" w:cs="Times New Roman"/>
          <w:sz w:val="24"/>
          <w:szCs w:val="24"/>
        </w:rPr>
      </w:pPr>
      <w:r w:rsidRPr="00D54ECF">
        <w:rPr>
          <w:rFonts w:ascii="Times New Roman" w:hAnsi="Times New Roman" w:cs="Times New Roman"/>
          <w:sz w:val="24"/>
          <w:szCs w:val="24"/>
        </w:rPr>
        <w:t>§ 18 ods. 3</w:t>
      </w:r>
    </w:p>
    <w:p w:rsidR="00835459" w:rsidRPr="00D53054" w:rsidRDefault="00835459" w:rsidP="00835459">
      <w:pPr>
        <w:spacing w:after="0" w:line="240" w:lineRule="auto"/>
        <w:jc w:val="both"/>
        <w:rPr>
          <w:rFonts w:ascii="Times New Roman" w:hAnsi="Times New Roman" w:cs="Times New Roman"/>
          <w:sz w:val="24"/>
          <w:szCs w:val="24"/>
        </w:rPr>
      </w:pPr>
      <w:r w:rsidRPr="00D53054">
        <w:rPr>
          <w:rFonts w:ascii="Times New Roman" w:hAnsi="Times New Roman" w:cs="Times New Roman"/>
          <w:sz w:val="24"/>
          <w:szCs w:val="24"/>
        </w:rPr>
        <w:t xml:space="preserve">Skracuje sa lehota na uchovávanie protokolu ministerstvom z 20 rokov na 15 rokov. </w:t>
      </w:r>
      <w:r>
        <w:rPr>
          <w:rFonts w:ascii="Times New Roman" w:hAnsi="Times New Roman" w:cs="Times New Roman"/>
          <w:sz w:val="24"/>
          <w:szCs w:val="24"/>
        </w:rPr>
        <w:t xml:space="preserve">Vzhľadom na to, že kvalifikačná skúška sa nevykonáva opakovane sa ustanovila dostatočná lehota na uchovávanie protokolu ministerstvom. Rozsah údajov je totožný s rozsahom údajov uvedených v žiadosti o vykonanie kvalifikačnej skúšky.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 </w:t>
      </w: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K bodu</w:t>
      </w:r>
      <w:r w:rsidRPr="004B0E95">
        <w:rPr>
          <w:rFonts w:ascii="Times New Roman" w:eastAsia="Times New Roman" w:hAnsi="Times New Roman" w:cs="Times New Roman"/>
          <w:sz w:val="24"/>
          <w:szCs w:val="24"/>
          <w:u w:val="single"/>
          <w:lang w:eastAsia="sk-SK"/>
        </w:rPr>
        <w:t xml:space="preserve"> </w:t>
      </w:r>
      <w:r>
        <w:rPr>
          <w:rFonts w:ascii="Times New Roman" w:eastAsia="Times New Roman" w:hAnsi="Times New Roman" w:cs="Times New Roman"/>
          <w:sz w:val="24"/>
          <w:szCs w:val="24"/>
          <w:u w:val="single"/>
          <w:lang w:eastAsia="sk-SK"/>
        </w:rPr>
        <w:t>7</w:t>
      </w:r>
    </w:p>
    <w:p w:rsidR="00835459" w:rsidRPr="00D54ECF"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19 ods. 2</w:t>
      </w:r>
    </w:p>
    <w:p w:rsidR="00835459" w:rsidRPr="00D53054" w:rsidRDefault="00835459" w:rsidP="00835459">
      <w:pPr>
        <w:spacing w:after="0" w:line="240" w:lineRule="auto"/>
        <w:jc w:val="both"/>
        <w:rPr>
          <w:rFonts w:ascii="Times New Roman" w:eastAsia="Times New Roman" w:hAnsi="Times New Roman" w:cs="Times New Roman"/>
          <w:sz w:val="24"/>
          <w:szCs w:val="24"/>
          <w:lang w:eastAsia="sk-SK"/>
        </w:rPr>
      </w:pPr>
      <w:r w:rsidRPr="00D53054">
        <w:rPr>
          <w:rFonts w:ascii="Times New Roman" w:eastAsia="Times New Roman" w:hAnsi="Times New Roman" w:cs="Times New Roman"/>
          <w:sz w:val="24"/>
          <w:szCs w:val="24"/>
          <w:lang w:eastAsia="sk-SK"/>
        </w:rPr>
        <w:t>Mení sa spôsob vykonávania skúšky. Ústna časť skúšky sa vypúšťa a skúška bude len v podobe elektronického skúšobného testu. Zavádza sa povinnosť uchádzača pred začatím skúšky preukázať svoju totožnosť a predložiť osvedčenie a absolvovaní odbornej prípravy, čím sa nahrádza povinnosť uchádzača predložiť záznamník pri skúšk</w:t>
      </w:r>
      <w:r>
        <w:rPr>
          <w:rFonts w:ascii="Times New Roman" w:eastAsia="Times New Roman" w:hAnsi="Times New Roman" w:cs="Times New Roman"/>
          <w:sz w:val="24"/>
          <w:szCs w:val="24"/>
          <w:lang w:eastAsia="sk-SK"/>
        </w:rPr>
        <w:t xml:space="preserve">e. Zároveň sa mení lehota </w:t>
      </w:r>
      <w:r w:rsidRPr="00D53054">
        <w:rPr>
          <w:rFonts w:ascii="Times New Roman" w:eastAsia="Times New Roman" w:hAnsi="Times New Roman" w:cs="Times New Roman"/>
          <w:sz w:val="24"/>
          <w:szCs w:val="24"/>
          <w:lang w:eastAsia="sk-SK"/>
        </w:rPr>
        <w:t xml:space="preserve">na vykonanie opravnej skúšky, ktorá bola pôvodne stanovená do šiestich mesiacov od vykonania poslednej skúšky. Podľa novej úpravy vzniká povinnosť prihlásiť takúto osobu na opravnú skúšku do troch mesiacov od vykonania predchádzajúcej skúšky. Takouto právnou úpravou sa predíde situáciám, kedy osoba nemôže z rôznych dôvodov a to aj nezavinených, vykonať opravnú skúšku do šiestich mesiacov od vykonania predchádzajúcej skúšky, čo má za následok, že táto osoba by musela opätovne absolvovať odbornú prípravu.   </w:t>
      </w: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K bodu 8</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 19 ods. 5 </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Doplnením sa umožňuje získať bez vykonania odbornej prípravy aj preukaz odbornej spôsobilosti typu S,  aby si osoby mohli vybrať typ preukazu odbornej spôsobilosti, ktorý bude zodpovedať rozsahu ich budúcej činnosti. </w:t>
      </w:r>
      <w:r>
        <w:rPr>
          <w:rFonts w:ascii="Times New Roman" w:eastAsia="Times New Roman" w:hAnsi="Times New Roman" w:cs="Times New Roman"/>
          <w:sz w:val="24"/>
          <w:szCs w:val="24"/>
          <w:lang w:eastAsia="sk-SK"/>
        </w:rPr>
        <w:t xml:space="preserve">Ustanovenie tohto odseku sa nebude týkať osôb, ktorým bol preukaz odbornej spôsobilosti odňatý. </w:t>
      </w:r>
    </w:p>
    <w:p w:rsidR="00835459" w:rsidRDefault="00835459" w:rsidP="00835459">
      <w:pPr>
        <w:spacing w:after="0" w:line="240" w:lineRule="auto"/>
        <w:jc w:val="both"/>
        <w:rPr>
          <w:rFonts w:ascii="Times New Roman" w:eastAsia="Times New Roman" w:hAnsi="Times New Roman" w:cs="Times New Roman"/>
          <w:sz w:val="24"/>
          <w:szCs w:val="24"/>
          <w:lang w:eastAsia="sk-SK"/>
        </w:rPr>
      </w:pP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9</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19 ods. 5 písm. a)</w:t>
      </w:r>
    </w:p>
    <w:p w:rsidR="00835459" w:rsidRPr="00633C25"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Umožňuje sa oslobodenie od absolvovania odbornej prípravy osobe, ktorá získala vysokoškolské vzdelanie aspoň druhého stupňa v študijnom odbore právo.</w:t>
      </w: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p>
    <w:p w:rsidR="00914C18" w:rsidRDefault="00914C18" w:rsidP="00835459">
      <w:pPr>
        <w:spacing w:after="0" w:line="240" w:lineRule="auto"/>
        <w:jc w:val="both"/>
        <w:rPr>
          <w:rFonts w:ascii="Times New Roman" w:eastAsia="Times New Roman" w:hAnsi="Times New Roman" w:cs="Times New Roman"/>
          <w:sz w:val="24"/>
          <w:szCs w:val="24"/>
          <w:u w:val="single"/>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lastRenderedPageBreak/>
        <w:t>K bodu 10</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 19 ods. 5 písm. </w:t>
      </w:r>
      <w:r>
        <w:rPr>
          <w:rFonts w:ascii="Times New Roman" w:eastAsia="Times New Roman" w:hAnsi="Times New Roman" w:cs="Times New Roman"/>
          <w:sz w:val="24"/>
          <w:szCs w:val="24"/>
          <w:lang w:eastAsia="sk-SK"/>
        </w:rPr>
        <w:t>c</w:t>
      </w:r>
      <w:r w:rsidRPr="004B0E95">
        <w:rPr>
          <w:rFonts w:ascii="Times New Roman" w:eastAsia="Times New Roman" w:hAnsi="Times New Roman" w:cs="Times New Roman"/>
          <w:sz w:val="24"/>
          <w:szCs w:val="24"/>
          <w:lang w:eastAsia="sk-SK"/>
        </w:rPr>
        <w:t xml:space="preserve">) </w:t>
      </w:r>
    </w:p>
    <w:p w:rsidR="00835459" w:rsidRPr="004B0E95"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cs="Times New Roman"/>
          <w:sz w:val="24"/>
          <w:szCs w:val="24"/>
          <w:lang w:eastAsia="sk-SK"/>
        </w:rPr>
        <w:t>Účelom tejto zmeny je zjednotenie výnimky pre absolventov vysokoškolského štúdia, nakoľko doterajšou právnou úpravou dochádza k znevýhodňovaniu absolventov bakalárskeho štúdia v oblasti bezpečnostných služieb oproti osobám, ktoré majú úplné stredné odborné vzdelanie v oblasti bezpečnostných služieb, teda sa</w:t>
      </w:r>
      <w:r w:rsidRPr="004B0E95">
        <w:rPr>
          <w:rFonts w:ascii="Times New Roman" w:eastAsia="Times New Roman" w:hAnsi="Times New Roman"/>
          <w:sz w:val="24"/>
          <w:szCs w:val="24"/>
          <w:lang w:eastAsia="sk-SK"/>
        </w:rPr>
        <w:t xml:space="preserve"> zrovnoprávňujú osoby žiadajúce o vydanie preukazu odbornej spôsobilosti  bez vykonania odbornej prípravy, ktoré spĺňajú požadované vzdelanie.</w:t>
      </w: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11</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 19 ods. 6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Upresňuje sa, kto prihlasuje na opravnú skúšku osobu, ktorá nevykoná úspešne skúšku. Zároveň sa mení šesťmesačná lehota, v ktorej musela byť skúška vykonaná po ukončení odbornej prípravy a nahrádza sa novou povinnosťou, prihlásiť uchádz</w:t>
      </w:r>
      <w:r>
        <w:rPr>
          <w:rFonts w:ascii="Times New Roman" w:eastAsia="Times New Roman" w:hAnsi="Times New Roman" w:cs="Times New Roman"/>
          <w:sz w:val="24"/>
          <w:szCs w:val="24"/>
          <w:lang w:eastAsia="sk-SK"/>
        </w:rPr>
        <w:t>ača na skúšku do troch mesiacov</w:t>
      </w:r>
      <w:r w:rsidRPr="004B0E9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od ukončenia odbornej prípravy.</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1</w:t>
      </w:r>
      <w:r w:rsidR="000F43E0">
        <w:rPr>
          <w:rFonts w:ascii="Times New Roman" w:eastAsia="Times New Roman" w:hAnsi="Times New Roman" w:cs="Times New Roman"/>
          <w:sz w:val="24"/>
          <w:szCs w:val="24"/>
          <w:u w:val="single"/>
          <w:lang w:eastAsia="sk-SK"/>
        </w:rPr>
        <w:t>2</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19 ods. 7</w:t>
      </w:r>
      <w:r>
        <w:rPr>
          <w:rFonts w:ascii="Times New Roman" w:eastAsia="Times New Roman" w:hAnsi="Times New Roman" w:cs="Times New Roman"/>
          <w:sz w:val="24"/>
          <w:szCs w:val="24"/>
          <w:lang w:eastAsia="sk-SK"/>
        </w:rPr>
        <w:t xml:space="preserve"> písm. c)</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Zavedením novej formy skúšky, sa už táto nebude vykonávať v priestoroch, ktoré zabezpečuje akreditovaná osoba. Termín a miesto skúšky určí ministerstvo, pričom miesto skúšky bude určené podľa miesta školiaceho zariadenia akreditovanej osoby.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1</w:t>
      </w:r>
      <w:r w:rsidR="000F43E0">
        <w:rPr>
          <w:rFonts w:ascii="Times New Roman" w:eastAsia="Times New Roman" w:hAnsi="Times New Roman" w:cs="Times New Roman"/>
          <w:sz w:val="24"/>
          <w:szCs w:val="24"/>
          <w:u w:val="single"/>
          <w:lang w:eastAsia="sk-SK"/>
        </w:rPr>
        <w:t>3</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19 ods. 9</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Z dôvodu zavedenia novej formy skúšky, ktorá sa nebude vykonávať v priestoroch akreditovanej osoby, stráca opodstatnenosť povinnosť akreditovanej osoby poskytovať pomôcky, prostriedky  a priestory, alebo sa inak spolupodieľala na vykonaní skúšky.</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1</w:t>
      </w:r>
      <w:r w:rsidR="000F43E0">
        <w:rPr>
          <w:rFonts w:ascii="Times New Roman" w:eastAsia="Times New Roman" w:hAnsi="Times New Roman" w:cs="Times New Roman"/>
          <w:sz w:val="24"/>
          <w:szCs w:val="24"/>
          <w:u w:val="single"/>
          <w:lang w:eastAsia="sk-SK"/>
        </w:rPr>
        <w:t>4</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19 ods. 10 a 12</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Legislatívno-technická úprava, nakoľko skúška je upravená v odseku 2.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1</w:t>
      </w:r>
      <w:r w:rsidR="000F43E0">
        <w:rPr>
          <w:rFonts w:ascii="Times New Roman" w:eastAsia="Times New Roman" w:hAnsi="Times New Roman" w:cs="Times New Roman"/>
          <w:sz w:val="24"/>
          <w:szCs w:val="24"/>
          <w:u w:val="single"/>
          <w:lang w:eastAsia="sk-SK"/>
        </w:rPr>
        <w:t>5</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19 ods. 1</w:t>
      </w:r>
      <w:r>
        <w:rPr>
          <w:rFonts w:ascii="Times New Roman" w:eastAsia="Times New Roman" w:hAnsi="Times New Roman" w:cs="Times New Roman"/>
          <w:sz w:val="24"/>
          <w:szCs w:val="24"/>
          <w:lang w:eastAsia="sk-SK"/>
        </w:rPr>
        <w:t>3</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Dopĺňa sa splnomocňovacie ustanovenie ohľadom podrobností týkajúcich sa odbornej prípravy </w:t>
      </w:r>
      <w:r>
        <w:rPr>
          <w:rFonts w:ascii="Times New Roman" w:eastAsia="Times New Roman" w:hAnsi="Times New Roman" w:cs="Times New Roman"/>
          <w:sz w:val="24"/>
          <w:szCs w:val="24"/>
          <w:lang w:eastAsia="sk-SK"/>
        </w:rPr>
        <w:t xml:space="preserve">  </w:t>
      </w:r>
      <w:r w:rsidRPr="004B0E95">
        <w:rPr>
          <w:rFonts w:ascii="Times New Roman" w:eastAsia="Times New Roman" w:hAnsi="Times New Roman" w:cs="Times New Roman"/>
          <w:sz w:val="24"/>
          <w:szCs w:val="24"/>
          <w:lang w:eastAsia="sk-SK"/>
        </w:rPr>
        <w:t>a skúšky.</w:t>
      </w:r>
    </w:p>
    <w:p w:rsidR="00835459" w:rsidRDefault="00835459" w:rsidP="00835459">
      <w:pPr>
        <w:spacing w:after="0" w:line="240" w:lineRule="auto"/>
        <w:jc w:val="both"/>
        <w:rPr>
          <w:rFonts w:ascii="Times New Roman" w:eastAsia="Times New Roman" w:hAnsi="Times New Roman" w:cs="Times New Roman"/>
          <w:sz w:val="24"/>
          <w:szCs w:val="24"/>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1</w:t>
      </w:r>
      <w:r w:rsidR="000F43E0">
        <w:rPr>
          <w:rFonts w:ascii="Times New Roman" w:eastAsia="Times New Roman" w:hAnsi="Times New Roman" w:cs="Times New Roman"/>
          <w:sz w:val="24"/>
          <w:szCs w:val="24"/>
          <w:u w:val="single"/>
          <w:lang w:eastAsia="sk-SK"/>
        </w:rPr>
        <w:t>6</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20 ods. 2</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Upravuje sa podmienka pre vydanie preukazu odbornej spôsobilosti pre osobu, ktorá úspešne vykonala skúšku a nebol jej vydaný preukaz odbornej spôsobili, nakoľko pôvodné ustanovenie neurčovalo, kto a akým spôsobom má zabezpečiť preukázanie splnenia podmienky bezúhonnosti a spoľahlivosti. </w:t>
      </w:r>
      <w:r>
        <w:rPr>
          <w:rFonts w:ascii="Times New Roman" w:eastAsia="Times New Roman" w:hAnsi="Times New Roman" w:cs="Times New Roman"/>
          <w:sz w:val="24"/>
          <w:szCs w:val="24"/>
          <w:lang w:eastAsia="sk-SK"/>
        </w:rPr>
        <w:t>Ustanovuje</w:t>
      </w:r>
      <w:r w:rsidRPr="004B0E95">
        <w:rPr>
          <w:rFonts w:ascii="Times New Roman" w:eastAsia="Times New Roman" w:hAnsi="Times New Roman" w:cs="Times New Roman"/>
          <w:sz w:val="24"/>
          <w:szCs w:val="24"/>
          <w:lang w:eastAsia="sk-SK"/>
        </w:rPr>
        <w:t xml:space="preserve"> sa, že osoba po získaní bezúhonnosti resp. spoľahlivosti musí písomne požiadať ministerstvo o vydanie preukazu odbornej spôsobilosti a uviesť dôvody, pre ktoré spĺňa podmienky na vydanie preukazu odbornej spôsobilosti.</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914C18" w:rsidRDefault="00914C18" w:rsidP="00835459">
      <w:pPr>
        <w:spacing w:after="0" w:line="240" w:lineRule="auto"/>
        <w:jc w:val="both"/>
        <w:rPr>
          <w:rFonts w:ascii="Times New Roman" w:eastAsia="Times New Roman" w:hAnsi="Times New Roman" w:cs="Times New Roman"/>
          <w:sz w:val="24"/>
          <w:szCs w:val="24"/>
          <w:u w:val="single"/>
          <w:lang w:eastAsia="sk-SK"/>
        </w:rPr>
      </w:pPr>
    </w:p>
    <w:p w:rsidR="00914C18" w:rsidRDefault="00914C18" w:rsidP="00835459">
      <w:pPr>
        <w:spacing w:after="0" w:line="240" w:lineRule="auto"/>
        <w:jc w:val="both"/>
        <w:rPr>
          <w:rFonts w:ascii="Times New Roman" w:eastAsia="Times New Roman" w:hAnsi="Times New Roman" w:cs="Times New Roman"/>
          <w:sz w:val="24"/>
          <w:szCs w:val="24"/>
          <w:u w:val="single"/>
          <w:lang w:eastAsia="sk-SK"/>
        </w:rPr>
      </w:pPr>
    </w:p>
    <w:p w:rsidR="00914C18" w:rsidRDefault="00914C18" w:rsidP="00835459">
      <w:pPr>
        <w:spacing w:after="0" w:line="240" w:lineRule="auto"/>
        <w:jc w:val="both"/>
        <w:rPr>
          <w:rFonts w:ascii="Times New Roman" w:eastAsia="Times New Roman" w:hAnsi="Times New Roman" w:cs="Times New Roman"/>
          <w:sz w:val="24"/>
          <w:szCs w:val="24"/>
          <w:u w:val="single"/>
          <w:lang w:eastAsia="sk-SK"/>
        </w:rPr>
      </w:pPr>
    </w:p>
    <w:p w:rsidR="00914C18" w:rsidRDefault="00914C18" w:rsidP="00835459">
      <w:pPr>
        <w:spacing w:after="0" w:line="240" w:lineRule="auto"/>
        <w:jc w:val="both"/>
        <w:rPr>
          <w:rFonts w:ascii="Times New Roman" w:eastAsia="Times New Roman" w:hAnsi="Times New Roman" w:cs="Times New Roman"/>
          <w:sz w:val="24"/>
          <w:szCs w:val="24"/>
          <w:u w:val="single"/>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lastRenderedPageBreak/>
        <w:t>K bodu 1</w:t>
      </w:r>
      <w:r w:rsidR="000F43E0">
        <w:rPr>
          <w:rFonts w:ascii="Times New Roman" w:eastAsia="Times New Roman" w:hAnsi="Times New Roman" w:cs="Times New Roman"/>
          <w:sz w:val="24"/>
          <w:szCs w:val="24"/>
          <w:u w:val="single"/>
          <w:lang w:eastAsia="sk-SK"/>
        </w:rPr>
        <w:t>7</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20 ods. 3</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Vymedzuje sa výnimka, kedy osoba poverená výkonom fyzickej ochrany, pátrania alebo odbornej prípravy a poradenstva nemusí mať pri sebe preukaz odbornej spôsobilosti. Podľa zákona o súkromnej bezpečnosti tieto činnosti môže vykonávať len osoba, ktorá okrem iných podmienok musí spĺňať aj podmienku mať pri sebe preukaz odbornej spôsobilosti. V prípadoch kedy osoba žiada o vydanie preukazu odbornej spôsobilosti z dôvodu straty, odcudzenia, ak zápisy v ňom uvedené sú nečitateľné alebo je porušená jeho celistvosť, resp. ak obsahuje údaje nezodpovedajúce skutočnosti, by osoba nemohla vykonávať uvedené činnosti, nakoľko v tom čase nespĺňa podmienku mať preukaz pri sebe. V týchto špecifických prípadoch osoba nestratila svoju odbornú spôsobilosť a preto je potrebné upraviť jej činnosť v období od podania žiadosti ministerstvu do doručenia p</w:t>
      </w:r>
      <w:r>
        <w:rPr>
          <w:rFonts w:ascii="Times New Roman" w:eastAsia="Times New Roman" w:hAnsi="Times New Roman" w:cs="Times New Roman"/>
          <w:sz w:val="24"/>
          <w:szCs w:val="24"/>
          <w:lang w:eastAsia="sk-SK"/>
        </w:rPr>
        <w:t>reukazu odbornej spôsobilosti.</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K bodu 1</w:t>
      </w:r>
      <w:r w:rsidR="000F43E0">
        <w:rPr>
          <w:rFonts w:ascii="Times New Roman" w:eastAsia="Times New Roman" w:hAnsi="Times New Roman" w:cs="Times New Roman"/>
          <w:sz w:val="24"/>
          <w:szCs w:val="24"/>
          <w:u w:val="single"/>
          <w:lang w:eastAsia="sk-SK"/>
        </w:rPr>
        <w:t>8</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9B5192">
        <w:rPr>
          <w:rFonts w:ascii="Times New Roman" w:eastAsia="Times New Roman" w:hAnsi="Times New Roman" w:cs="Times New Roman"/>
          <w:sz w:val="24"/>
          <w:szCs w:val="24"/>
          <w:lang w:eastAsia="sk-SK"/>
        </w:rPr>
        <w:t>§ 20a ods. 2</w:t>
      </w:r>
    </w:p>
    <w:p w:rsidR="00835459" w:rsidRPr="009B5192"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 cieľom jednoznačnejšieho postupu pri vydávaní nového preukazu sa dopĺňa povinnosť priloženia neplatného preukazu. </w:t>
      </w: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 xml:space="preserve">K bodu </w:t>
      </w:r>
      <w:r w:rsidR="000F43E0">
        <w:rPr>
          <w:rFonts w:ascii="Times New Roman" w:eastAsia="Times New Roman" w:hAnsi="Times New Roman" w:cs="Times New Roman"/>
          <w:sz w:val="24"/>
          <w:szCs w:val="24"/>
          <w:u w:val="single"/>
          <w:lang w:eastAsia="sk-SK"/>
        </w:rPr>
        <w:t>19</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20a ods. 3</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Ruší sa obmedzenie absolvovania odbornej prípravy len šesť mesiacov pred skončením platnosti preukazu odbornej spôsobilosti. Úpravou ustanovenia sa dáva možnosť absolvovať odbornú prípravu v ľubovoľnom čase a nie v striktne určenej lehote. Takéto rozhodnutie je potrebné ponechať na samotných držiteľoch preukazu odbornej spôsobilosti, kedy sa rozhodnú absolvovať odbornú prípravu. Nie je účelné vymedzovať s poukazom na samotný výkon činností podľa zákona o súkromnej bezpečnosti, kedy môže držiteľ preukazu odbornej spôsobilosti absolvovať odbornú prípravu. Úpravou sa umožní odborná príprava aj v prípadoch, keď samotný držiteľ preukazu odbornej spôsobilosti potrebuje zopakovať alebo prehĺbiť svoje získané vedomosti, resp. činnosti podľa zákona o súkromnej bezpečnosti nevykonával dlhodobo. </w:t>
      </w:r>
    </w:p>
    <w:p w:rsidR="00835459"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697149" w:rsidRDefault="00835459" w:rsidP="00835459">
      <w:pPr>
        <w:spacing w:after="0" w:line="240" w:lineRule="auto"/>
        <w:jc w:val="both"/>
        <w:rPr>
          <w:rFonts w:ascii="Times New Roman" w:eastAsia="Times New Roman" w:hAnsi="Times New Roman" w:cs="Times New Roman"/>
          <w:sz w:val="24"/>
          <w:szCs w:val="24"/>
          <w:u w:val="single"/>
          <w:lang w:eastAsia="sk-SK"/>
        </w:rPr>
      </w:pPr>
      <w:r w:rsidRPr="00697149">
        <w:rPr>
          <w:rFonts w:ascii="Times New Roman" w:eastAsia="Times New Roman" w:hAnsi="Times New Roman" w:cs="Times New Roman"/>
          <w:sz w:val="24"/>
          <w:szCs w:val="24"/>
          <w:u w:val="single"/>
          <w:lang w:eastAsia="sk-SK"/>
        </w:rPr>
        <w:t>K bodu 2</w:t>
      </w:r>
      <w:r w:rsidR="000F43E0">
        <w:rPr>
          <w:rFonts w:ascii="Times New Roman" w:eastAsia="Times New Roman" w:hAnsi="Times New Roman" w:cs="Times New Roman"/>
          <w:sz w:val="24"/>
          <w:szCs w:val="24"/>
          <w:u w:val="single"/>
          <w:lang w:eastAsia="sk-SK"/>
        </w:rPr>
        <w:t>0</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20a ods. 4</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Umožňuje sa držiteľovi neplatného preukazu odbornej spôsobilosti odovzdať ho nielen ministerstvu ale aj krajským riaditeľstvám, čím sa vytvára možnosť osobného odovzdania preukazu odbornej spôsobilosti aj osobám, ktoré ho nemajú možnosť odovzdať priamo ministerstvu. Úpravou sa umožňuje osobne odovzdať preukaz odbornej spôsobilosti v dostupnosti z miesta svojho pobytu.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2</w:t>
      </w:r>
      <w:r w:rsidR="000F43E0">
        <w:rPr>
          <w:rFonts w:ascii="Times New Roman" w:eastAsia="Times New Roman" w:hAnsi="Times New Roman" w:cs="Times New Roman"/>
          <w:sz w:val="24"/>
          <w:szCs w:val="24"/>
          <w:u w:val="single"/>
          <w:lang w:eastAsia="sk-SK"/>
        </w:rPr>
        <w:t>1</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 22 ods. 2 písm. c)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Vzhľadom na nadradené postavenie preukazu odbornej spôsobilosti typu CIT nad preukazom odbornej spôsobilosti typu P, je potrebné umožniť výkon takejto činnosti aj držiteľovi preukazu odbornej spôsobilosti typu CIT.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2</w:t>
      </w:r>
      <w:r w:rsidR="000F43E0">
        <w:rPr>
          <w:rFonts w:ascii="Times New Roman" w:eastAsia="Times New Roman" w:hAnsi="Times New Roman" w:cs="Times New Roman"/>
          <w:sz w:val="24"/>
          <w:szCs w:val="24"/>
          <w:u w:val="single"/>
          <w:lang w:eastAsia="sk-SK"/>
        </w:rPr>
        <w:t>2</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27</w:t>
      </w:r>
      <w:r>
        <w:rPr>
          <w:rFonts w:ascii="Times New Roman" w:eastAsia="Times New Roman" w:hAnsi="Times New Roman" w:cs="Times New Roman"/>
          <w:sz w:val="24"/>
          <w:szCs w:val="24"/>
          <w:lang w:eastAsia="sk-SK"/>
        </w:rPr>
        <w:t xml:space="preserve"> ods. 4</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Licencia je vydávaná na desať rokov a je na samotnom prevádzkovateľovi bezpečnostnej služby aj s prihliadnutím na súčasnú ekonomickú situáciu, ako sa mu podarí zabezpečiť činnosti, ktoré má vykonávať. Pokiaľ prevádzkovateľ spĺňa všetky podmienky, nie je účelné, aby sa mu prikazovalo, kedy má činnosti začať vykonávať. </w:t>
      </w: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lastRenderedPageBreak/>
        <w:t>K bodu 2</w:t>
      </w:r>
      <w:r w:rsidR="008C4534">
        <w:rPr>
          <w:rFonts w:ascii="Times New Roman" w:eastAsia="Times New Roman" w:hAnsi="Times New Roman" w:cs="Times New Roman"/>
          <w:sz w:val="24"/>
          <w:szCs w:val="24"/>
          <w:u w:val="single"/>
          <w:lang w:eastAsia="sk-SK"/>
        </w:rPr>
        <w:t>3</w:t>
      </w:r>
      <w:r w:rsidRPr="004B0E95">
        <w:rPr>
          <w:rFonts w:ascii="Times New Roman" w:eastAsia="Times New Roman" w:hAnsi="Times New Roman" w:cs="Times New Roman"/>
          <w:sz w:val="24"/>
          <w:szCs w:val="24"/>
          <w:u w:val="single"/>
          <w:lang w:eastAsia="sk-SK"/>
        </w:rPr>
        <w:t xml:space="preserve">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29 ods. 6</w:t>
      </w:r>
    </w:p>
    <w:p w:rsidR="00835459"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xml:space="preserve">Odbúranie administratívnej činnosti príslušného orgánu, pričom zostane zachovaný jeho postup pri rozhodovaní o zmene rozhodnutia o udelení licencie na prevádzkovanie bezpečnostnej služby, o pozastavení prevádzkovania bezpečnostnej služby alebo odňatí licencie na prevádzkovanie bezpečnostnej služby a to podľa zistení zo zaslaných dokladov, čestných vyhlásení a lekárskeho posudku predložených podľa odsekov 2 až 5 a 7.  </w:t>
      </w:r>
    </w:p>
    <w:p w:rsidR="00835459" w:rsidRPr="004B0E95" w:rsidRDefault="00835459" w:rsidP="00835459">
      <w:pPr>
        <w:spacing w:after="0" w:line="240" w:lineRule="auto"/>
        <w:jc w:val="both"/>
        <w:rPr>
          <w:rFonts w:ascii="Times New Roman" w:hAnsi="Times New Roman" w:cs="Times New Roman"/>
          <w:sz w:val="24"/>
          <w:szCs w:val="24"/>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K bodu 2</w:t>
      </w:r>
      <w:r w:rsidR="008C4534">
        <w:rPr>
          <w:rFonts w:ascii="Times New Roman" w:hAnsi="Times New Roman" w:cs="Times New Roman"/>
          <w:sz w:val="24"/>
          <w:szCs w:val="24"/>
          <w:u w:val="single"/>
        </w:rPr>
        <w:t>4</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29 ods. 7</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Legislatívno-technická úpravu súvisiaca s oznamovacou povinnosťou prevádzkovateľa bezpečnostnej služby súvisiacou s posudzovaním bezúhonnosti a spoľahlivosti u vyšpecifikovaných osôb. </w:t>
      </w:r>
    </w:p>
    <w:p w:rsidR="00BF1A70" w:rsidRPr="004B0E95" w:rsidRDefault="00BF1A70"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2</w:t>
      </w:r>
      <w:r w:rsidR="008C4534">
        <w:rPr>
          <w:rFonts w:ascii="Times New Roman" w:eastAsia="Times New Roman" w:hAnsi="Times New Roman" w:cs="Times New Roman"/>
          <w:sz w:val="24"/>
          <w:szCs w:val="24"/>
          <w:u w:val="single"/>
          <w:lang w:eastAsia="sk-SK"/>
        </w:rPr>
        <w:t>5</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33 ods. 1 písm. c)</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Nie je účelné, aby bola licencia na prevádzkovanie bezpečnostnej služby odňatá z dôvodu, že prevádzkovateľ nezačne vykonávať aspoň jednu povolenú činnosť v určenej lehote odo dňa nadobudnutia právoplatnosti rozhodnutia o udelení licencie alebo takúto činnosť nevykonáva v určenom období nepretržite. Licencia je vydávaná na desať rokov a je na samotnom prevádzkovateľovi aj s prihliadnutím na súčasnú ekonomickú situáciu, ako sa mu podarí zabezpečiť činnosť, ktorú ma vykonávať. Nie je účelné,  pokiaľ prevádzkovateľ spĺňa všetky podmienky, aby mu bola licencia odňatá len z dôvodu jeho nečinnosti.</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2</w:t>
      </w:r>
      <w:r w:rsidR="008C4534">
        <w:rPr>
          <w:rFonts w:ascii="Times New Roman" w:eastAsia="Times New Roman" w:hAnsi="Times New Roman" w:cs="Times New Roman"/>
          <w:sz w:val="24"/>
          <w:szCs w:val="24"/>
          <w:u w:val="single"/>
          <w:lang w:eastAsia="sk-SK"/>
        </w:rPr>
        <w:t>6</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33 ods. 6, 7 a 9</w:t>
      </w:r>
    </w:p>
    <w:p w:rsidR="00835459" w:rsidRPr="004B0E95"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cs="Times New Roman"/>
          <w:sz w:val="24"/>
          <w:szCs w:val="24"/>
          <w:lang w:eastAsia="sk-SK"/>
        </w:rPr>
        <w:t xml:space="preserve">Legislatívno-technická úprava súvisiaca s vypustením možnosti odňať licenciu na prevádzkovanie bezpečnostnej služby z dôvodu, že </w:t>
      </w:r>
      <w:r w:rsidRPr="004B0E95">
        <w:rPr>
          <w:rFonts w:ascii="Times New Roman" w:eastAsia="Times New Roman" w:hAnsi="Times New Roman"/>
          <w:sz w:val="24"/>
          <w:szCs w:val="24"/>
          <w:lang w:eastAsia="sk-SK"/>
        </w:rPr>
        <w:t xml:space="preserve">prevádzkovateľ nezačne vykonávať povolenú činnosť v určenej lehote odo dňa nadobudnutia právoplatnosti rozhodnutia o udelení licencie alebo ak takúto činnosť nevykonáva </w:t>
      </w:r>
      <w:r w:rsidRPr="004B0E95">
        <w:rPr>
          <w:rFonts w:ascii="Times New Roman" w:eastAsia="Times New Roman" w:hAnsi="Times New Roman" w:cs="Times New Roman"/>
          <w:sz w:val="24"/>
          <w:szCs w:val="24"/>
          <w:lang w:eastAsia="sk-SK"/>
        </w:rPr>
        <w:t xml:space="preserve">v určenom období </w:t>
      </w:r>
      <w:r w:rsidRPr="004B0E95">
        <w:rPr>
          <w:rFonts w:ascii="Times New Roman" w:eastAsia="Times New Roman" w:hAnsi="Times New Roman"/>
          <w:sz w:val="24"/>
          <w:szCs w:val="24"/>
          <w:lang w:eastAsia="sk-SK"/>
        </w:rPr>
        <w:t>nepretržite.</w:t>
      </w:r>
    </w:p>
    <w:p w:rsidR="00835459" w:rsidRPr="004B0E95" w:rsidRDefault="00835459" w:rsidP="00835459">
      <w:pPr>
        <w:spacing w:after="0" w:line="240" w:lineRule="auto"/>
        <w:jc w:val="both"/>
        <w:rPr>
          <w:rFonts w:ascii="Times New Roman" w:eastAsia="Times New Roman" w:hAnsi="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sidR="008C4534">
        <w:rPr>
          <w:rFonts w:ascii="Times New Roman" w:eastAsia="Times New Roman" w:hAnsi="Times New Roman" w:cs="Times New Roman"/>
          <w:sz w:val="24"/>
          <w:szCs w:val="24"/>
          <w:u w:val="single"/>
          <w:lang w:eastAsia="sk-SK"/>
        </w:rPr>
        <w:t>27</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 38 ods. </w:t>
      </w:r>
      <w:r>
        <w:rPr>
          <w:rFonts w:ascii="Times New Roman" w:eastAsia="Times New Roman" w:hAnsi="Times New Roman" w:cs="Times New Roman"/>
          <w:sz w:val="24"/>
          <w:szCs w:val="24"/>
          <w:lang w:eastAsia="sk-SK"/>
        </w:rPr>
        <w:t xml:space="preserve">1 a </w:t>
      </w:r>
      <w:r w:rsidRPr="004B0E95">
        <w:rPr>
          <w:rFonts w:ascii="Times New Roman" w:eastAsia="Times New Roman" w:hAnsi="Times New Roman" w:cs="Times New Roman"/>
          <w:sz w:val="24"/>
          <w:szCs w:val="24"/>
          <w:lang w:eastAsia="sk-SK"/>
        </w:rPr>
        <w:t>3</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xml:space="preserve">Spresňuje sa miesto uchovávania zmluvy o poskytovaní bezpečnostnej služby, jej zmeny, dodatky a zrušenia. </w:t>
      </w:r>
    </w:p>
    <w:p w:rsidR="00835459" w:rsidRPr="004B0E95" w:rsidRDefault="00835459" w:rsidP="00835459">
      <w:pPr>
        <w:spacing w:after="0" w:line="240" w:lineRule="auto"/>
        <w:jc w:val="both"/>
        <w:rPr>
          <w:rFonts w:ascii="Times New Roman" w:hAnsi="Times New Roman" w:cs="Times New Roman"/>
          <w:sz w:val="24"/>
          <w:szCs w:val="24"/>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 xml:space="preserve">K bodu </w:t>
      </w:r>
      <w:r w:rsidR="008C4534">
        <w:rPr>
          <w:rFonts w:ascii="Times New Roman" w:hAnsi="Times New Roman" w:cs="Times New Roman"/>
          <w:sz w:val="24"/>
          <w:szCs w:val="24"/>
          <w:u w:val="single"/>
        </w:rPr>
        <w:t>28</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38 ods. 4 písm. c)</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xml:space="preserve">Upravujú sa povinné údaje, ktoré musí obsahovať zmluva o poskytovaní bezpečnostnej služby.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sidR="008C4534">
        <w:rPr>
          <w:rFonts w:ascii="Times New Roman" w:eastAsia="Times New Roman" w:hAnsi="Times New Roman" w:cs="Times New Roman"/>
          <w:sz w:val="24"/>
          <w:szCs w:val="24"/>
          <w:u w:val="single"/>
          <w:lang w:eastAsia="sk-SK"/>
        </w:rPr>
        <w:t>29</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40 ods. 1 písm. b)</w:t>
      </w:r>
    </w:p>
    <w:p w:rsidR="00835459" w:rsidRPr="004B0E95" w:rsidRDefault="00835459" w:rsidP="00835459">
      <w:pPr>
        <w:spacing w:after="0"/>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xml:space="preserve">Ustanovenie vymedzuje obsah štatistických údajov a vzor tlačiva štatistických údajov. </w:t>
      </w:r>
    </w:p>
    <w:p w:rsidR="00835459" w:rsidRPr="004B0E95" w:rsidRDefault="00835459" w:rsidP="00835459">
      <w:pPr>
        <w:spacing w:after="0"/>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3</w:t>
      </w:r>
      <w:r w:rsidR="008C4534">
        <w:rPr>
          <w:rFonts w:ascii="Times New Roman" w:eastAsia="Times New Roman" w:hAnsi="Times New Roman" w:cs="Times New Roman"/>
          <w:sz w:val="24"/>
          <w:szCs w:val="24"/>
          <w:u w:val="single"/>
          <w:lang w:eastAsia="sk-SK"/>
        </w:rPr>
        <w:t>0</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40 ods. 1</w:t>
      </w:r>
      <w:r>
        <w:rPr>
          <w:rFonts w:ascii="Times New Roman" w:eastAsia="Times New Roman" w:hAnsi="Times New Roman" w:cs="Times New Roman"/>
          <w:sz w:val="24"/>
          <w:szCs w:val="24"/>
          <w:lang w:eastAsia="sk-SK"/>
        </w:rPr>
        <w:t xml:space="preserve"> písm. c) a d)</w:t>
      </w:r>
    </w:p>
    <w:p w:rsidR="00835459" w:rsidRPr="004B0E95" w:rsidRDefault="00835459" w:rsidP="00835459">
      <w:pPr>
        <w:tabs>
          <w:tab w:val="left" w:pos="6937"/>
        </w:tabs>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Upravujú</w:t>
      </w:r>
      <w:r w:rsidRPr="004B0E95">
        <w:rPr>
          <w:rFonts w:ascii="Times New Roman" w:eastAsia="Times New Roman" w:hAnsi="Times New Roman"/>
          <w:sz w:val="24"/>
          <w:szCs w:val="24"/>
          <w:lang w:eastAsia="sk-SK"/>
        </w:rPr>
        <w:t xml:space="preserve"> sa povinné údaje poskytované prevádzkovateľom bezpečnostnej služby.</w:t>
      </w:r>
      <w:r>
        <w:rPr>
          <w:rFonts w:ascii="Times New Roman" w:eastAsia="Times New Roman" w:hAnsi="Times New Roman"/>
          <w:sz w:val="24"/>
          <w:szCs w:val="24"/>
          <w:lang w:eastAsia="sk-SK"/>
        </w:rPr>
        <w:t xml:space="preserve"> Zoznam objektov a miest je potrebný na účely výkonu kontrolnej činnosti. Doplnením nového písmena d) dochádza len k presunutiu tohto ustanovenia z § 40 ods. 3 do § 40 ods. 1 písm. d).  </w:t>
      </w: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lastRenderedPageBreak/>
        <w:t>K bodu 3</w:t>
      </w:r>
      <w:r w:rsidR="008C4534">
        <w:rPr>
          <w:rFonts w:ascii="Times New Roman" w:eastAsia="Times New Roman" w:hAnsi="Times New Roman" w:cs="Times New Roman"/>
          <w:sz w:val="24"/>
          <w:szCs w:val="24"/>
          <w:u w:val="single"/>
          <w:lang w:eastAsia="sk-SK"/>
        </w:rPr>
        <w:t>1</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40 ods. 1 písm. e)</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Špecifikuje sa, kedy správa o činnosti bezpečnostnej služby musí obsahovať opisnú časť.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3</w:t>
      </w:r>
      <w:r w:rsidR="008C4534">
        <w:rPr>
          <w:rFonts w:ascii="Times New Roman" w:eastAsia="Times New Roman" w:hAnsi="Times New Roman" w:cs="Times New Roman"/>
          <w:sz w:val="24"/>
          <w:szCs w:val="24"/>
          <w:u w:val="single"/>
          <w:lang w:eastAsia="sk-SK"/>
        </w:rPr>
        <w:t>2</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40 ods. 1 písm. f)</w:t>
      </w:r>
    </w:p>
    <w:p w:rsidR="00835459" w:rsidRDefault="00835459" w:rsidP="00835459">
      <w:pPr>
        <w:spacing w:after="0"/>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Spresňujú sa povinné údaje poskytované prevádzkovateľom bezpečnostnej služby.</w:t>
      </w:r>
    </w:p>
    <w:p w:rsidR="00835459" w:rsidRPr="004B0E95" w:rsidRDefault="00835459" w:rsidP="00835459">
      <w:pPr>
        <w:spacing w:after="0"/>
        <w:jc w:val="both"/>
        <w:rPr>
          <w:rFonts w:ascii="Times New Roman" w:eastAsia="Times New Roman" w:hAnsi="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3</w:t>
      </w:r>
      <w:r w:rsidR="008C4534">
        <w:rPr>
          <w:rFonts w:ascii="Times New Roman" w:eastAsia="Times New Roman" w:hAnsi="Times New Roman" w:cs="Times New Roman"/>
          <w:sz w:val="24"/>
          <w:szCs w:val="24"/>
          <w:u w:val="single"/>
          <w:lang w:eastAsia="sk-SK"/>
        </w:rPr>
        <w:t>3</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40 ods. 2</w:t>
      </w:r>
      <w:r>
        <w:rPr>
          <w:rFonts w:ascii="Times New Roman" w:eastAsia="Times New Roman" w:hAnsi="Times New Roman" w:cs="Times New Roman"/>
          <w:sz w:val="24"/>
          <w:szCs w:val="24"/>
          <w:lang w:eastAsia="sk-SK"/>
        </w:rPr>
        <w:t xml:space="preserve"> písm. j)</w:t>
      </w:r>
    </w:p>
    <w:p w:rsidR="00835459" w:rsidRPr="004B0E95" w:rsidRDefault="00835459" w:rsidP="00835459">
      <w:pPr>
        <w:spacing w:after="0"/>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Legislatívno-technická úprava, povinnosť prevádzkovateľa bezpečnostnej služby upravuje § 40 ods. 1 písm. d).</w:t>
      </w:r>
    </w:p>
    <w:p w:rsidR="00835459" w:rsidRPr="004B0E95" w:rsidRDefault="00835459" w:rsidP="00835459">
      <w:pPr>
        <w:spacing w:after="0"/>
        <w:jc w:val="both"/>
        <w:rPr>
          <w:rFonts w:ascii="Times New Roman" w:eastAsia="Times New Roman" w:hAnsi="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3</w:t>
      </w:r>
      <w:r w:rsidR="008C4534">
        <w:rPr>
          <w:rFonts w:ascii="Times New Roman" w:eastAsia="Times New Roman" w:hAnsi="Times New Roman" w:cs="Times New Roman"/>
          <w:sz w:val="24"/>
          <w:szCs w:val="24"/>
          <w:u w:val="single"/>
          <w:lang w:eastAsia="sk-SK"/>
        </w:rPr>
        <w:t>4</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40 ods. 3</w:t>
      </w:r>
    </w:p>
    <w:p w:rsidR="00835459" w:rsidRPr="004B0E95" w:rsidRDefault="00835459" w:rsidP="00835459">
      <w:pPr>
        <w:pStyle w:val="Odsekzoznamu"/>
        <w:ind w:left="0" w:firstLine="0"/>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Legislatívno-technická úprava súvisiaca s údajmi uvádzanými o zmluvách o po</w:t>
      </w:r>
      <w:r>
        <w:rPr>
          <w:rFonts w:ascii="Times New Roman" w:eastAsia="Times New Roman" w:hAnsi="Times New Roman"/>
          <w:sz w:val="24"/>
          <w:szCs w:val="24"/>
          <w:lang w:eastAsia="sk-SK"/>
        </w:rPr>
        <w:t>skytovaní bezpečnostnej služby.</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3</w:t>
      </w:r>
      <w:r w:rsidR="008C4534">
        <w:rPr>
          <w:rFonts w:ascii="Times New Roman" w:eastAsia="Times New Roman" w:hAnsi="Times New Roman" w:cs="Times New Roman"/>
          <w:sz w:val="24"/>
          <w:szCs w:val="24"/>
          <w:u w:val="single"/>
          <w:lang w:eastAsia="sk-SK"/>
        </w:rPr>
        <w:t>5</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40 ods. 5</w:t>
      </w:r>
    </w:p>
    <w:p w:rsidR="00835459" w:rsidRPr="004B0E95" w:rsidRDefault="00835459" w:rsidP="00835459">
      <w:pPr>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Legislatívno-technická úprava, spôsob poskytovania štatistických údajov upravuje § 40 ods. 1 písm. b).</w:t>
      </w: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3</w:t>
      </w:r>
      <w:r w:rsidR="008C4534">
        <w:rPr>
          <w:rFonts w:ascii="Times New Roman" w:eastAsia="Times New Roman" w:hAnsi="Times New Roman" w:cs="Times New Roman"/>
          <w:sz w:val="24"/>
          <w:szCs w:val="24"/>
          <w:u w:val="single"/>
          <w:lang w:eastAsia="sk-SK"/>
        </w:rPr>
        <w:t>6</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44 ods. 1</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Doplnením podmienky zdravotnej starostlivosti do § 40 ods. 1 sa zdôrazňuje povinnosť splnenia tejto podmienky a rovnako ako v prípade spoľahlivosti a bezúhonnosti nejde o novú povinnosť, ale len o jej zdôraznenie.</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3</w:t>
      </w:r>
      <w:r w:rsidR="008C4534">
        <w:rPr>
          <w:rFonts w:ascii="Times New Roman" w:eastAsia="Times New Roman" w:hAnsi="Times New Roman" w:cs="Times New Roman"/>
          <w:sz w:val="24"/>
          <w:szCs w:val="24"/>
          <w:u w:val="single"/>
          <w:lang w:eastAsia="sk-SK"/>
        </w:rPr>
        <w:t>7</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616461">
        <w:rPr>
          <w:rFonts w:ascii="Times New Roman" w:eastAsia="Times New Roman" w:hAnsi="Times New Roman" w:cs="Times New Roman"/>
          <w:sz w:val="24"/>
          <w:szCs w:val="24"/>
          <w:lang w:eastAsia="sk-SK"/>
        </w:rPr>
        <w:t>§ 44 ods. 2</w:t>
      </w:r>
    </w:p>
    <w:p w:rsidR="00835459" w:rsidRPr="00616461"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Upravujú sa podmienky pre zamestnancov tak, aby osoby, ktoré prichádzajú do styku s informáciami týkajúcimi sa bezpečnostnej služby nemuseli spĺňať podmienky tohto zákona. Týka sa to napríklad ekonómov a personalistov, ktorí nie sú poverení výkonom činnosti podľa tohto zákona, ale v súčasnosti musia</w:t>
      </w:r>
      <w:r w:rsidR="008C4534">
        <w:rPr>
          <w:rFonts w:ascii="Times New Roman" w:eastAsia="Times New Roman" w:hAnsi="Times New Roman" w:cs="Times New Roman"/>
          <w:sz w:val="24"/>
          <w:szCs w:val="24"/>
          <w:lang w:eastAsia="sk-SK"/>
        </w:rPr>
        <w:t xml:space="preserve"> spĺňať podmienky tohto zákona.</w:t>
      </w: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 xml:space="preserve">K bodu </w:t>
      </w:r>
      <w:r w:rsidR="008C4534">
        <w:rPr>
          <w:rFonts w:ascii="Times New Roman" w:eastAsia="Times New Roman" w:hAnsi="Times New Roman" w:cs="Times New Roman"/>
          <w:sz w:val="24"/>
          <w:szCs w:val="24"/>
          <w:u w:val="single"/>
          <w:lang w:eastAsia="sk-SK"/>
        </w:rPr>
        <w:t>38</w:t>
      </w:r>
    </w:p>
    <w:p w:rsidR="008C4534" w:rsidRPr="008C4534" w:rsidRDefault="008C4534" w:rsidP="00835459">
      <w:pPr>
        <w:spacing w:after="0" w:line="240" w:lineRule="auto"/>
        <w:jc w:val="both"/>
        <w:rPr>
          <w:rFonts w:ascii="Times New Roman" w:eastAsia="Times New Roman" w:hAnsi="Times New Roman" w:cs="Times New Roman"/>
          <w:sz w:val="24"/>
          <w:szCs w:val="24"/>
          <w:lang w:eastAsia="sk-SK"/>
        </w:rPr>
      </w:pPr>
      <w:r w:rsidRPr="008C4534">
        <w:rPr>
          <w:rFonts w:ascii="Times New Roman" w:eastAsia="Times New Roman" w:hAnsi="Times New Roman" w:cs="Times New Roman"/>
          <w:sz w:val="24"/>
          <w:szCs w:val="24"/>
          <w:lang w:eastAsia="sk-SK"/>
        </w:rPr>
        <w:t>§ 47, § 60 ods. 1, § 93 ods. 3</w:t>
      </w:r>
    </w:p>
    <w:p w:rsidR="008C4534" w:rsidRPr="008C4534" w:rsidRDefault="008C4534" w:rsidP="00835459">
      <w:pPr>
        <w:spacing w:after="0" w:line="240" w:lineRule="auto"/>
        <w:jc w:val="both"/>
        <w:rPr>
          <w:rFonts w:ascii="Times New Roman" w:eastAsia="Times New Roman" w:hAnsi="Times New Roman" w:cs="Times New Roman"/>
          <w:sz w:val="24"/>
          <w:szCs w:val="24"/>
          <w:lang w:eastAsia="sk-SK"/>
        </w:rPr>
      </w:pPr>
      <w:r w:rsidRPr="008C4534">
        <w:rPr>
          <w:rFonts w:ascii="Times New Roman" w:eastAsia="Times New Roman" w:hAnsi="Times New Roman" w:cs="Times New Roman"/>
          <w:sz w:val="24"/>
          <w:szCs w:val="24"/>
          <w:lang w:eastAsia="sk-SK"/>
        </w:rPr>
        <w:t xml:space="preserve">Legislatívno-technická </w:t>
      </w:r>
      <w:r>
        <w:rPr>
          <w:rFonts w:ascii="Times New Roman" w:eastAsia="Times New Roman" w:hAnsi="Times New Roman" w:cs="Times New Roman"/>
          <w:sz w:val="24"/>
          <w:szCs w:val="24"/>
          <w:lang w:eastAsia="sk-SK"/>
        </w:rPr>
        <w:t xml:space="preserve">úprava </w:t>
      </w:r>
      <w:r w:rsidRPr="008C4534">
        <w:rPr>
          <w:rFonts w:ascii="Times New Roman" w:eastAsia="Times New Roman" w:hAnsi="Times New Roman" w:cs="Times New Roman"/>
          <w:sz w:val="24"/>
          <w:szCs w:val="24"/>
          <w:lang w:eastAsia="sk-SK"/>
        </w:rPr>
        <w:t xml:space="preserve">zohľadňujúca všeobecné nariadenie o ochrane údajov, najmä recitál 39 a čl. </w:t>
      </w:r>
      <w:r>
        <w:rPr>
          <w:rFonts w:ascii="Times New Roman" w:eastAsia="Times New Roman" w:hAnsi="Times New Roman" w:cs="Times New Roman"/>
          <w:sz w:val="24"/>
          <w:szCs w:val="24"/>
          <w:lang w:eastAsia="sk-SK"/>
        </w:rPr>
        <w:t>5 ods. 1 písm. c) a e) týkajúci</w:t>
      </w:r>
      <w:r w:rsidRPr="008C4534">
        <w:rPr>
          <w:rFonts w:ascii="Times New Roman" w:eastAsia="Times New Roman" w:hAnsi="Times New Roman" w:cs="Times New Roman"/>
          <w:sz w:val="24"/>
          <w:szCs w:val="24"/>
          <w:lang w:eastAsia="sk-SK"/>
        </w:rPr>
        <w:t xml:space="preserve"> sa zásady minimalizácie uchovávania údajov, podľa ktorej čas uchovávania osobných údajov musí byť určený presne, bez uvedenia termínu „najmenej“.</w:t>
      </w:r>
    </w:p>
    <w:p w:rsidR="008C4534" w:rsidRDefault="008C4534" w:rsidP="00835459">
      <w:pPr>
        <w:spacing w:after="0" w:line="240" w:lineRule="auto"/>
        <w:jc w:val="both"/>
        <w:rPr>
          <w:rFonts w:ascii="Times New Roman" w:eastAsia="Times New Roman" w:hAnsi="Times New Roman" w:cs="Times New Roman"/>
          <w:sz w:val="24"/>
          <w:szCs w:val="24"/>
          <w:u w:val="single"/>
          <w:lang w:eastAsia="sk-SK"/>
        </w:rPr>
      </w:pPr>
    </w:p>
    <w:p w:rsidR="008C4534" w:rsidRDefault="008C4534" w:rsidP="008C4534">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K bodu 39</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48 ods. 4</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Upravujú sa podmienky na vykonávanie odbornej prípravy v rámci akreditácie. Osoby vykonávajúce odbornú prípravu v rámci akreditácie ( ďalej len „lektor“) sa priamo nezúčastňujú na výkone bezpečnostnej služby, ale zabezpečujú odbornú prípravu osôb, ktoré chcú alebo už vykonávajú činnosti podľa zákona o súkromnej bezpečnosti.  Lektor vykonáva svoju činnosť len na základe požadovaného získaného vysokoškolského vzdelania resp. iného </w:t>
      </w:r>
      <w:r w:rsidRPr="004B0E95">
        <w:rPr>
          <w:rFonts w:ascii="Times New Roman" w:eastAsia="Times New Roman" w:hAnsi="Times New Roman" w:cs="Times New Roman"/>
          <w:sz w:val="24"/>
          <w:szCs w:val="24"/>
          <w:lang w:eastAsia="sk-SK"/>
        </w:rPr>
        <w:lastRenderedPageBreak/>
        <w:t xml:space="preserve">vzdelania a preto nie je u nich účelné vyžadovať splnenie podmienky bezúhonnosti a spoľahlivosti.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sidR="008C4534">
        <w:rPr>
          <w:rFonts w:ascii="Times New Roman" w:eastAsia="Times New Roman" w:hAnsi="Times New Roman" w:cs="Times New Roman"/>
          <w:sz w:val="24"/>
          <w:szCs w:val="24"/>
          <w:u w:val="single"/>
          <w:lang w:eastAsia="sk-SK"/>
        </w:rPr>
        <w:t>40</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48 ods. 5</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Z dôvodu nejednoznačnej úpravy začiatku výkonu fyzickej ochrany u osôb, ktoré absolvujú odbornú prípravu, bolo potrebné definovať začiatok takéhoto výkonu fyzickej ochrany. Na základe odborných požiadaviek na osoby vykonávajúce fyzickú ochrany je žiad</w:t>
      </w:r>
      <w:r>
        <w:rPr>
          <w:rFonts w:ascii="Times New Roman" w:eastAsia="Times New Roman" w:hAnsi="Times New Roman" w:cs="Times New Roman"/>
          <w:sz w:val="24"/>
          <w:szCs w:val="24"/>
          <w:lang w:eastAsia="sk-SK"/>
        </w:rPr>
        <w:t>u</w:t>
      </w:r>
      <w:r w:rsidRPr="004B0E95">
        <w:rPr>
          <w:rFonts w:ascii="Times New Roman" w:eastAsia="Times New Roman" w:hAnsi="Times New Roman" w:cs="Times New Roman"/>
          <w:sz w:val="24"/>
          <w:szCs w:val="24"/>
          <w:lang w:eastAsia="sk-SK"/>
        </w:rPr>
        <w:t>ce, aby sa takéhoto výkonu zúčastňovali len osoby, ktoré už absolvovali odbornú prípravu. Zároveň sa upravuje akým dokladom a komu musí osoba, ktorá sa zúčastňovala odbornej prípravy,  preuká</w:t>
      </w:r>
      <w:r w:rsidR="006C3642">
        <w:rPr>
          <w:rFonts w:ascii="Times New Roman" w:eastAsia="Times New Roman" w:hAnsi="Times New Roman" w:cs="Times New Roman"/>
          <w:sz w:val="24"/>
          <w:szCs w:val="24"/>
          <w:lang w:eastAsia="sk-SK"/>
        </w:rPr>
        <w:t>zať svoju odbornú spôsobilosť.</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sidR="008C4534">
        <w:rPr>
          <w:rFonts w:ascii="Times New Roman" w:eastAsia="Times New Roman" w:hAnsi="Times New Roman" w:cs="Times New Roman"/>
          <w:sz w:val="24"/>
          <w:szCs w:val="24"/>
          <w:u w:val="single"/>
          <w:lang w:eastAsia="sk-SK"/>
        </w:rPr>
        <w:t>41</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50 ods. 2</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Upravuje sa možnosť použitia vecného bezpečnostného prostriedku</w:t>
      </w:r>
      <w:r>
        <w:rPr>
          <w:rFonts w:ascii="Times New Roman" w:eastAsia="Times New Roman" w:hAnsi="Times New Roman" w:cs="Times New Roman"/>
          <w:sz w:val="24"/>
          <w:szCs w:val="24"/>
          <w:lang w:eastAsia="sk-SK"/>
        </w:rPr>
        <w:t xml:space="preserve"> a </w:t>
      </w:r>
      <w:r w:rsidR="006C3642" w:rsidRPr="00091CFD">
        <w:rPr>
          <w:rFonts w:ascii="Times New Roman" w:eastAsia="Times New Roman" w:hAnsi="Times New Roman"/>
          <w:sz w:val="24"/>
          <w:szCs w:val="24"/>
          <w:lang w:eastAsia="sk-SK"/>
        </w:rPr>
        <w:t>hmat</w:t>
      </w:r>
      <w:r w:rsidR="006C3642">
        <w:rPr>
          <w:rFonts w:ascii="Times New Roman" w:eastAsia="Times New Roman" w:hAnsi="Times New Roman"/>
          <w:sz w:val="24"/>
          <w:szCs w:val="24"/>
          <w:lang w:eastAsia="sk-SK"/>
        </w:rPr>
        <w:t>ov</w:t>
      </w:r>
      <w:r w:rsidR="006C3642" w:rsidRPr="00091CFD">
        <w:rPr>
          <w:rFonts w:ascii="Times New Roman" w:eastAsia="Times New Roman" w:hAnsi="Times New Roman"/>
          <w:sz w:val="24"/>
          <w:szCs w:val="24"/>
          <w:lang w:eastAsia="sk-SK"/>
        </w:rPr>
        <w:t>, chvat</w:t>
      </w:r>
      <w:r w:rsidR="006C3642">
        <w:rPr>
          <w:rFonts w:ascii="Times New Roman" w:eastAsia="Times New Roman" w:hAnsi="Times New Roman"/>
          <w:sz w:val="24"/>
          <w:szCs w:val="24"/>
          <w:lang w:eastAsia="sk-SK"/>
        </w:rPr>
        <w:t>ov, úderov a kopov</w:t>
      </w:r>
      <w:r w:rsidR="006C3642" w:rsidRPr="00091CFD">
        <w:rPr>
          <w:rFonts w:ascii="Times New Roman" w:eastAsia="Times New Roman" w:hAnsi="Times New Roman"/>
          <w:sz w:val="24"/>
          <w:szCs w:val="24"/>
          <w:lang w:eastAsia="sk-SK"/>
        </w:rPr>
        <w:t xml:space="preserve"> sebaobrany.</w:t>
      </w:r>
      <w:r w:rsidR="006C3642">
        <w:rPr>
          <w:rFonts w:ascii="Times New Roman" w:eastAsia="Times New Roman" w:hAnsi="Times New Roman"/>
          <w:sz w:val="24"/>
          <w:szCs w:val="24"/>
          <w:lang w:eastAsia="sk-SK"/>
        </w:rPr>
        <w:t xml:space="preserve"> </w:t>
      </w:r>
      <w:r w:rsidRPr="004B0E95">
        <w:rPr>
          <w:rFonts w:ascii="Times New Roman" w:eastAsia="Times New Roman" w:hAnsi="Times New Roman" w:cs="Times New Roman"/>
          <w:sz w:val="24"/>
          <w:szCs w:val="24"/>
          <w:lang w:eastAsia="sk-SK"/>
        </w:rPr>
        <w:t>Zavádza sa nová povinnosť vyzvať osobu, proti ktorej sa zasahuje, aby upustila od svojho konania a upozorniť ju</w:t>
      </w:r>
      <w:r>
        <w:rPr>
          <w:rFonts w:ascii="Times New Roman" w:eastAsia="Times New Roman" w:hAnsi="Times New Roman" w:cs="Times New Roman"/>
          <w:sz w:val="24"/>
          <w:szCs w:val="24"/>
          <w:lang w:eastAsia="sk-SK"/>
        </w:rPr>
        <w:t>, že</w:t>
      </w:r>
      <w:r w:rsidRPr="004B0E95">
        <w:rPr>
          <w:rFonts w:ascii="Times New Roman" w:eastAsia="Times New Roman" w:hAnsi="Times New Roman" w:cs="Times New Roman"/>
          <w:sz w:val="24"/>
          <w:szCs w:val="24"/>
          <w:lang w:eastAsia="sk-SK"/>
        </w:rPr>
        <w:t xml:space="preserve"> pokiaľ od konania neupustí, budú voči nej použité vecné bezpečnostné prostriedky. O použití vecného bezpečnostného prostriedku rozhoduje ten, kto vykonáva zásah a teda osobne zodpovedá za vykonanie zásahu a použitie vecného bezpečnostného prostriedku. </w:t>
      </w:r>
      <w:r w:rsidR="006C3642" w:rsidRPr="006C3642">
        <w:rPr>
          <w:rFonts w:ascii="Times New Roman" w:eastAsia="Times New Roman" w:hAnsi="Times New Roman" w:cs="Times New Roman"/>
          <w:sz w:val="24"/>
          <w:szCs w:val="24"/>
          <w:lang w:eastAsia="sk-SK"/>
        </w:rPr>
        <w:t>Úprava sa</w:t>
      </w:r>
      <w:r w:rsidR="000F43E0">
        <w:rPr>
          <w:rFonts w:ascii="Times New Roman" w:eastAsia="Times New Roman" w:hAnsi="Times New Roman" w:cs="Times New Roman"/>
          <w:sz w:val="24"/>
          <w:szCs w:val="24"/>
          <w:lang w:eastAsia="sk-SK"/>
        </w:rPr>
        <w:t xml:space="preserve"> netýka použitia strelných zbraní, ale sa </w:t>
      </w:r>
      <w:r w:rsidR="006C3642" w:rsidRPr="006C3642">
        <w:rPr>
          <w:rFonts w:ascii="Times New Roman" w:eastAsia="Times New Roman" w:hAnsi="Times New Roman" w:cs="Times New Roman"/>
          <w:sz w:val="24"/>
          <w:szCs w:val="24"/>
          <w:lang w:eastAsia="sk-SK"/>
        </w:rPr>
        <w:t xml:space="preserve">týka použitia vecných bezpečnostných prostriedkov </w:t>
      </w:r>
      <w:r w:rsidR="006C3642">
        <w:rPr>
          <w:rFonts w:ascii="Times New Roman" w:eastAsia="Times New Roman" w:hAnsi="Times New Roman" w:cs="Times New Roman"/>
          <w:sz w:val="24"/>
          <w:szCs w:val="24"/>
          <w:lang w:eastAsia="sk-SK"/>
        </w:rPr>
        <w:t xml:space="preserve">vymedzených </w:t>
      </w:r>
      <w:r w:rsidR="006C3642" w:rsidRPr="006C3642">
        <w:rPr>
          <w:rFonts w:ascii="Times New Roman" w:eastAsia="Times New Roman" w:hAnsi="Times New Roman" w:cs="Times New Roman"/>
          <w:sz w:val="24"/>
          <w:szCs w:val="24"/>
          <w:lang w:eastAsia="sk-SK"/>
        </w:rPr>
        <w:t>v</w:t>
      </w:r>
      <w:r w:rsidR="006C3642">
        <w:rPr>
          <w:rFonts w:ascii="Times New Roman" w:eastAsia="Times New Roman" w:hAnsi="Times New Roman" w:cs="Times New Roman"/>
          <w:sz w:val="24"/>
          <w:szCs w:val="24"/>
          <w:lang w:eastAsia="sk-SK"/>
        </w:rPr>
        <w:t xml:space="preserve"> § 8 písm. i)</w:t>
      </w:r>
      <w:r w:rsidR="000F43E0">
        <w:rPr>
          <w:rFonts w:ascii="Times New Roman" w:eastAsia="Times New Roman" w:hAnsi="Times New Roman" w:cs="Times New Roman"/>
          <w:sz w:val="24"/>
          <w:szCs w:val="24"/>
          <w:lang w:eastAsia="sk-SK"/>
        </w:rPr>
        <w:t>. Z</w:t>
      </w:r>
      <w:r w:rsidR="006C3642" w:rsidRPr="006C3642">
        <w:rPr>
          <w:rFonts w:ascii="Times New Roman" w:eastAsia="Times New Roman" w:hAnsi="Times New Roman" w:cs="Times New Roman"/>
          <w:sz w:val="24"/>
          <w:szCs w:val="24"/>
          <w:lang w:eastAsia="sk-SK"/>
        </w:rPr>
        <w:t xml:space="preserve">ákon </w:t>
      </w:r>
      <w:r w:rsidR="000F43E0">
        <w:rPr>
          <w:rFonts w:ascii="Times New Roman" w:eastAsia="Times New Roman" w:hAnsi="Times New Roman" w:cs="Times New Roman"/>
          <w:sz w:val="24"/>
          <w:szCs w:val="24"/>
          <w:lang w:eastAsia="sk-SK"/>
        </w:rPr>
        <w:t xml:space="preserve">totiž </w:t>
      </w:r>
      <w:r w:rsidR="006C3642" w:rsidRPr="006C3642">
        <w:rPr>
          <w:rFonts w:ascii="Times New Roman" w:eastAsia="Times New Roman" w:hAnsi="Times New Roman" w:cs="Times New Roman"/>
          <w:sz w:val="24"/>
          <w:szCs w:val="24"/>
          <w:lang w:eastAsia="sk-SK"/>
        </w:rPr>
        <w:t>rozlišuje vo svojich ustanoveniach použit</w:t>
      </w:r>
      <w:r w:rsidR="000F43E0">
        <w:rPr>
          <w:rFonts w:ascii="Times New Roman" w:eastAsia="Times New Roman" w:hAnsi="Times New Roman" w:cs="Times New Roman"/>
          <w:sz w:val="24"/>
          <w:szCs w:val="24"/>
          <w:lang w:eastAsia="sk-SK"/>
        </w:rPr>
        <w:t>ie</w:t>
      </w:r>
      <w:r w:rsidR="006C3642" w:rsidRPr="006C3642">
        <w:rPr>
          <w:rFonts w:ascii="Times New Roman" w:eastAsia="Times New Roman" w:hAnsi="Times New Roman" w:cs="Times New Roman"/>
          <w:sz w:val="24"/>
          <w:szCs w:val="24"/>
          <w:lang w:eastAsia="sk-SK"/>
        </w:rPr>
        <w:t xml:space="preserve"> zbrane (strelná zbraň) a použit</w:t>
      </w:r>
      <w:r w:rsidR="000F43E0">
        <w:rPr>
          <w:rFonts w:ascii="Times New Roman" w:eastAsia="Times New Roman" w:hAnsi="Times New Roman" w:cs="Times New Roman"/>
          <w:sz w:val="24"/>
          <w:szCs w:val="24"/>
          <w:lang w:eastAsia="sk-SK"/>
        </w:rPr>
        <w:t>ie</w:t>
      </w:r>
      <w:r w:rsidR="006C3642" w:rsidRPr="006C3642">
        <w:rPr>
          <w:rFonts w:ascii="Times New Roman" w:eastAsia="Times New Roman" w:hAnsi="Times New Roman" w:cs="Times New Roman"/>
          <w:sz w:val="24"/>
          <w:szCs w:val="24"/>
          <w:lang w:eastAsia="sk-SK"/>
        </w:rPr>
        <w:t xml:space="preserve"> vec</w:t>
      </w:r>
      <w:r w:rsidR="000F43E0">
        <w:rPr>
          <w:rFonts w:ascii="Times New Roman" w:eastAsia="Times New Roman" w:hAnsi="Times New Roman" w:cs="Times New Roman"/>
          <w:sz w:val="24"/>
          <w:szCs w:val="24"/>
          <w:lang w:eastAsia="sk-SK"/>
        </w:rPr>
        <w:t>ného bezpečnostného prostriedku [</w:t>
      </w:r>
      <w:r w:rsidR="006C3642" w:rsidRPr="006C3642">
        <w:rPr>
          <w:rFonts w:ascii="Times New Roman" w:eastAsia="Times New Roman" w:hAnsi="Times New Roman" w:cs="Times New Roman"/>
          <w:sz w:val="24"/>
          <w:szCs w:val="24"/>
          <w:lang w:eastAsia="sk-SK"/>
        </w:rPr>
        <w:t>napr. § 28</w:t>
      </w:r>
      <w:r w:rsidR="000F43E0">
        <w:rPr>
          <w:rFonts w:ascii="Times New Roman" w:eastAsia="Times New Roman" w:hAnsi="Times New Roman" w:cs="Times New Roman"/>
          <w:sz w:val="24"/>
          <w:szCs w:val="24"/>
          <w:lang w:eastAsia="sk-SK"/>
        </w:rPr>
        <w:t xml:space="preserve"> písm. b) a g)]</w:t>
      </w:r>
      <w:r w:rsidR="006C3642" w:rsidRPr="006C3642">
        <w:rPr>
          <w:rFonts w:ascii="Times New Roman" w:eastAsia="Times New Roman" w:hAnsi="Times New Roman" w:cs="Times New Roman"/>
          <w:sz w:val="24"/>
          <w:szCs w:val="24"/>
          <w:lang w:eastAsia="sk-SK"/>
        </w:rPr>
        <w:t xml:space="preserve">.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4</w:t>
      </w:r>
      <w:r w:rsidR="008C4534">
        <w:rPr>
          <w:rFonts w:ascii="Times New Roman" w:eastAsia="Times New Roman" w:hAnsi="Times New Roman" w:cs="Times New Roman"/>
          <w:sz w:val="24"/>
          <w:szCs w:val="24"/>
          <w:u w:val="single"/>
          <w:lang w:eastAsia="sk-SK"/>
        </w:rPr>
        <w:t>2</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50 ods. 4 písm. d)</w:t>
      </w:r>
    </w:p>
    <w:p w:rsidR="00835459" w:rsidRPr="004B0E95" w:rsidRDefault="00835459" w:rsidP="00835459">
      <w:pPr>
        <w:spacing w:after="0"/>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Legislatívno-technická úprava, nakoľko predmetné oprávnenie je možné uplatniť aj voči ozbrojeným silám Slovenskej republiky.</w:t>
      </w:r>
    </w:p>
    <w:p w:rsidR="00835459" w:rsidRPr="004B0E95" w:rsidRDefault="00835459" w:rsidP="00835459">
      <w:pPr>
        <w:spacing w:after="0"/>
        <w:jc w:val="both"/>
        <w:rPr>
          <w:rFonts w:ascii="Times New Roman" w:eastAsia="Times New Roman" w:hAnsi="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4</w:t>
      </w:r>
      <w:r w:rsidR="008C4534">
        <w:rPr>
          <w:rFonts w:ascii="Times New Roman" w:eastAsia="Times New Roman" w:hAnsi="Times New Roman" w:cs="Times New Roman"/>
          <w:sz w:val="24"/>
          <w:szCs w:val="24"/>
          <w:u w:val="single"/>
          <w:lang w:eastAsia="sk-SK"/>
        </w:rPr>
        <w:t>3</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50 ods. 4 písm. i)</w:t>
      </w:r>
    </w:p>
    <w:p w:rsidR="00835459" w:rsidRPr="004B0E95"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Uvedená zmena vyplynula z aplikačnej praxe, najmä z prípadov kedy sa osoba opakovane dopustila priestupku proti majetku v posledných dvanástich mesiacoch, čo zakladá skutkovú podstatu trestného činu krádeže podľa § 212 ods. 1 písm. g) zák. č. 300/2005 Z. z. Trestný zákon. Osoby vykonávajúce fyzickú ochranu o predchádzajúcom konaní osôb nemajú vedomosť a v prípade, že osoba hodnoverne preukáže svoju totožnosť musia ju prepustiť. Týmto sa do značnej miery sťažuje činnosť útvarov Policajného zboru na úseku trestného konania a predlžuje trvanie trestného konania pri dokumentovaní tejto trestnej činnosti. Úkony trestného konania pri tomto trestnom čine, sa môžu vykonávať bezprostredne po ich zistení, čím sa môže zároveň predísť ďalšiemu páchaniu te</w:t>
      </w:r>
      <w:r>
        <w:rPr>
          <w:rFonts w:ascii="Times New Roman" w:eastAsia="Times New Roman" w:hAnsi="Times New Roman"/>
          <w:sz w:val="24"/>
          <w:szCs w:val="24"/>
          <w:lang w:eastAsia="sk-SK"/>
        </w:rPr>
        <w:t>j</w:t>
      </w:r>
      <w:r w:rsidRPr="004B0E95">
        <w:rPr>
          <w:rFonts w:ascii="Times New Roman" w:eastAsia="Times New Roman" w:hAnsi="Times New Roman"/>
          <w:sz w:val="24"/>
          <w:szCs w:val="24"/>
          <w:lang w:eastAsia="sk-SK"/>
        </w:rPr>
        <w:t>to trestnej či</w:t>
      </w:r>
      <w:r>
        <w:rPr>
          <w:rFonts w:ascii="Times New Roman" w:eastAsia="Times New Roman" w:hAnsi="Times New Roman"/>
          <w:sz w:val="24"/>
          <w:szCs w:val="24"/>
          <w:lang w:eastAsia="sk-SK"/>
        </w:rPr>
        <w:t>nnosti.</w:t>
      </w:r>
    </w:p>
    <w:p w:rsidR="00835459" w:rsidRPr="004B0E95" w:rsidRDefault="00835459" w:rsidP="00835459">
      <w:pPr>
        <w:spacing w:after="0"/>
        <w:jc w:val="both"/>
        <w:rPr>
          <w:rFonts w:ascii="Times New Roman" w:eastAsia="Times New Roman" w:hAnsi="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4</w:t>
      </w:r>
      <w:r w:rsidR="008C4534">
        <w:rPr>
          <w:rFonts w:ascii="Times New Roman" w:eastAsia="Times New Roman" w:hAnsi="Times New Roman" w:cs="Times New Roman"/>
          <w:sz w:val="24"/>
          <w:szCs w:val="24"/>
          <w:u w:val="single"/>
          <w:lang w:eastAsia="sk-SK"/>
        </w:rPr>
        <w:t>4</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50 ods. 4 písm. k)</w:t>
      </w:r>
    </w:p>
    <w:p w:rsidR="00835459" w:rsidRPr="004B0E95"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Dopĺňa sa nov</w:t>
      </w:r>
      <w:r>
        <w:rPr>
          <w:rFonts w:ascii="Times New Roman" w:eastAsia="Times New Roman" w:hAnsi="Times New Roman"/>
          <w:sz w:val="24"/>
          <w:szCs w:val="24"/>
          <w:lang w:eastAsia="sk-SK"/>
        </w:rPr>
        <w:t>é oprávnenie</w:t>
      </w:r>
      <w:r w:rsidRPr="004B0E95">
        <w:rPr>
          <w:rFonts w:ascii="Times New Roman" w:eastAsia="Times New Roman" w:hAnsi="Times New Roman"/>
          <w:sz w:val="24"/>
          <w:szCs w:val="24"/>
          <w:lang w:eastAsia="sk-SK"/>
        </w:rPr>
        <w:t xml:space="preserve"> umožňujúc</w:t>
      </w:r>
      <w:r>
        <w:rPr>
          <w:rFonts w:ascii="Times New Roman" w:eastAsia="Times New Roman" w:hAnsi="Times New Roman"/>
          <w:sz w:val="24"/>
          <w:szCs w:val="24"/>
          <w:lang w:eastAsia="sk-SK"/>
        </w:rPr>
        <w:t>e</w:t>
      </w:r>
      <w:r w:rsidRPr="004B0E95">
        <w:rPr>
          <w:rFonts w:ascii="Times New Roman" w:eastAsia="Times New Roman" w:hAnsi="Times New Roman"/>
          <w:sz w:val="24"/>
          <w:szCs w:val="24"/>
          <w:lang w:eastAsia="sk-SK"/>
        </w:rPr>
        <w:t xml:space="preserve"> osobám povereným výkonom fyzickej ochrany vyviesť osoby, ktoré sa neoprávnene nachádzajú alebo zotrvávajú v chránenom objekte alebo chránenom mieste, nakoľko takáto povinnosť absentuje.</w:t>
      </w:r>
    </w:p>
    <w:p w:rsidR="00835459" w:rsidRDefault="00835459" w:rsidP="00835459">
      <w:pPr>
        <w:spacing w:after="0" w:line="240" w:lineRule="auto"/>
        <w:jc w:val="both"/>
        <w:rPr>
          <w:rFonts w:ascii="Times New Roman" w:eastAsia="Times New Roman" w:hAnsi="Times New Roman"/>
          <w:sz w:val="24"/>
          <w:szCs w:val="24"/>
          <w:lang w:eastAsia="sk-SK"/>
        </w:rPr>
      </w:pPr>
    </w:p>
    <w:p w:rsidR="00914C18" w:rsidRDefault="00914C18" w:rsidP="00835459">
      <w:pPr>
        <w:spacing w:after="0" w:line="240" w:lineRule="auto"/>
        <w:jc w:val="both"/>
        <w:rPr>
          <w:rFonts w:ascii="Times New Roman" w:eastAsia="Times New Roman" w:hAnsi="Times New Roman"/>
          <w:sz w:val="24"/>
          <w:szCs w:val="24"/>
          <w:lang w:eastAsia="sk-SK"/>
        </w:rPr>
      </w:pPr>
    </w:p>
    <w:p w:rsidR="00914C18" w:rsidRDefault="00914C18" w:rsidP="00835459">
      <w:pPr>
        <w:spacing w:after="0" w:line="240" w:lineRule="auto"/>
        <w:jc w:val="both"/>
        <w:rPr>
          <w:rFonts w:ascii="Times New Roman" w:eastAsia="Times New Roman" w:hAnsi="Times New Roman"/>
          <w:sz w:val="24"/>
          <w:szCs w:val="24"/>
          <w:lang w:eastAsia="sk-SK"/>
        </w:rPr>
      </w:pPr>
    </w:p>
    <w:p w:rsidR="00914C18" w:rsidRPr="004B0E95" w:rsidRDefault="00914C18" w:rsidP="00835459">
      <w:pPr>
        <w:spacing w:after="0" w:line="240" w:lineRule="auto"/>
        <w:jc w:val="both"/>
        <w:rPr>
          <w:rFonts w:ascii="Times New Roman" w:eastAsia="Times New Roman" w:hAnsi="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lastRenderedPageBreak/>
        <w:t>K bodu 4</w:t>
      </w:r>
      <w:r w:rsidR="008C4534">
        <w:rPr>
          <w:rFonts w:ascii="Times New Roman" w:eastAsia="Times New Roman" w:hAnsi="Times New Roman" w:cs="Times New Roman"/>
          <w:sz w:val="24"/>
          <w:szCs w:val="24"/>
          <w:u w:val="single"/>
          <w:lang w:eastAsia="sk-SK"/>
        </w:rPr>
        <w:t>5</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52 ods. 3</w:t>
      </w:r>
    </w:p>
    <w:p w:rsidR="00835459" w:rsidRPr="004B0E95"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Legislatívno-technická zmena, nakoľko monitorovanie podľa § 3 písm. i) spadá pod strážnu službu.</w:t>
      </w:r>
    </w:p>
    <w:p w:rsidR="00835459" w:rsidRPr="004B0E95" w:rsidRDefault="00835459" w:rsidP="00835459">
      <w:pPr>
        <w:spacing w:after="0"/>
        <w:jc w:val="both"/>
        <w:rPr>
          <w:rFonts w:ascii="Times New Roman" w:eastAsia="Times New Roman" w:hAnsi="Times New Roman"/>
          <w:sz w:val="24"/>
          <w:szCs w:val="24"/>
          <w:lang w:eastAsia="sk-SK"/>
        </w:rPr>
      </w:pPr>
    </w:p>
    <w:p w:rsidR="00835459" w:rsidRDefault="00835459" w:rsidP="00835459">
      <w:pPr>
        <w:spacing w:after="0"/>
        <w:jc w:val="both"/>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t>K bodu 4</w:t>
      </w:r>
      <w:r w:rsidR="008C4534">
        <w:rPr>
          <w:rFonts w:ascii="Times New Roman" w:eastAsia="Times New Roman" w:hAnsi="Times New Roman"/>
          <w:sz w:val="24"/>
          <w:szCs w:val="24"/>
          <w:u w:val="single"/>
          <w:lang w:eastAsia="sk-SK"/>
        </w:rPr>
        <w:t>6</w:t>
      </w:r>
    </w:p>
    <w:p w:rsidR="00835459" w:rsidRPr="006528B9" w:rsidRDefault="00835459" w:rsidP="00835459">
      <w:pPr>
        <w:spacing w:after="0"/>
        <w:jc w:val="both"/>
        <w:rPr>
          <w:rFonts w:ascii="Times New Roman" w:eastAsia="Times New Roman" w:hAnsi="Times New Roman"/>
          <w:sz w:val="24"/>
          <w:szCs w:val="24"/>
          <w:lang w:eastAsia="sk-SK"/>
        </w:rPr>
      </w:pPr>
      <w:r w:rsidRPr="006528B9">
        <w:rPr>
          <w:rFonts w:ascii="Times New Roman" w:eastAsia="Times New Roman" w:hAnsi="Times New Roman"/>
          <w:sz w:val="24"/>
          <w:szCs w:val="24"/>
          <w:lang w:eastAsia="sk-SK"/>
        </w:rPr>
        <w:t>§ 53 ods. 1 písm. c)</w:t>
      </w:r>
    </w:p>
    <w:p w:rsidR="00835459" w:rsidRDefault="00835459" w:rsidP="00835459">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Vzhľadom na dostatočné skúsenosti osôb vykonávajúcich fyzickú ochranu alebo pátranie už po dvoch rokoch praxe sa znižuje podmienka praxe na vykonávanie ochrany objektov osobitnej dôležitosti z troch rokov na dva roky.</w:t>
      </w:r>
    </w:p>
    <w:p w:rsidR="00835459" w:rsidRDefault="00835459" w:rsidP="00835459">
      <w:pPr>
        <w:spacing w:after="0"/>
        <w:jc w:val="both"/>
        <w:rPr>
          <w:rFonts w:ascii="Times New Roman" w:eastAsia="Times New Roman" w:hAnsi="Times New Roman"/>
          <w:sz w:val="24"/>
          <w:szCs w:val="24"/>
          <w:lang w:eastAsia="sk-SK"/>
        </w:rPr>
      </w:pPr>
    </w:p>
    <w:p w:rsidR="00835459" w:rsidRPr="00296326" w:rsidRDefault="008C4534" w:rsidP="00835459">
      <w:pPr>
        <w:spacing w:after="0"/>
        <w:jc w:val="both"/>
        <w:rPr>
          <w:rFonts w:ascii="Times New Roman" w:eastAsia="Times New Roman" w:hAnsi="Times New Roman"/>
          <w:sz w:val="24"/>
          <w:szCs w:val="24"/>
          <w:u w:val="single"/>
          <w:lang w:eastAsia="sk-SK"/>
        </w:rPr>
      </w:pPr>
      <w:r>
        <w:rPr>
          <w:rFonts w:ascii="Times New Roman" w:eastAsia="Times New Roman" w:hAnsi="Times New Roman"/>
          <w:sz w:val="24"/>
          <w:szCs w:val="24"/>
          <w:u w:val="single"/>
          <w:lang w:eastAsia="sk-SK"/>
        </w:rPr>
        <w:t>K bodu 47</w:t>
      </w:r>
    </w:p>
    <w:p w:rsidR="00835459" w:rsidRPr="004B0E95" w:rsidRDefault="00835459" w:rsidP="00835459">
      <w:pPr>
        <w:spacing w:after="0"/>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54 ods. 2</w:t>
      </w:r>
    </w:p>
    <w:p w:rsidR="00835459" w:rsidRPr="004B0E95"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xml:space="preserve">Dopĺňa sa povinnosť pre prevádzkovateľa evidovať prevzatie identifikačného preukazu zamestnancom, z ktorého bude zrejmé kedy bol identifikačný preukaz vydaný osobe poverenej výkonom fyzickej ochrany, pátrania, odbornej prípravy a poradenstva.  </w:t>
      </w:r>
    </w:p>
    <w:p w:rsidR="00835459" w:rsidRPr="004B0E95" w:rsidRDefault="00835459" w:rsidP="00835459">
      <w:pPr>
        <w:spacing w:after="0" w:line="240" w:lineRule="auto"/>
        <w:jc w:val="both"/>
        <w:rPr>
          <w:rFonts w:ascii="Times New Roman" w:eastAsia="Times New Roman" w:hAnsi="Times New Roman"/>
          <w:sz w:val="24"/>
          <w:szCs w:val="24"/>
          <w:lang w:eastAsia="sk-SK"/>
        </w:rPr>
      </w:pPr>
    </w:p>
    <w:p w:rsidR="00835459" w:rsidRPr="004B0E95" w:rsidRDefault="00835459" w:rsidP="00835459">
      <w:pPr>
        <w:spacing w:after="0"/>
        <w:jc w:val="both"/>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t>K bodu 4</w:t>
      </w:r>
      <w:r w:rsidR="008C4534">
        <w:rPr>
          <w:rFonts w:ascii="Times New Roman" w:eastAsia="Times New Roman" w:hAnsi="Times New Roman"/>
          <w:sz w:val="24"/>
          <w:szCs w:val="24"/>
          <w:u w:val="single"/>
          <w:lang w:eastAsia="sk-SK"/>
        </w:rPr>
        <w:t>8</w:t>
      </w:r>
    </w:p>
    <w:p w:rsidR="00835459" w:rsidRPr="004B0E95" w:rsidRDefault="00835459" w:rsidP="00835459">
      <w:pPr>
        <w:spacing w:after="0"/>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54 ods. 3</w:t>
      </w:r>
    </w:p>
    <w:p w:rsidR="00835459"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xml:space="preserve">Upresňuje sa, akým spôsobom má byť umiestnený identifikačný preukaz na odeve osoby poverenej výkonom fyzickej ochrany na verejne prístupnom mieste. </w:t>
      </w:r>
      <w:r>
        <w:rPr>
          <w:rFonts w:ascii="Times New Roman" w:eastAsia="Times New Roman" w:hAnsi="Times New Roman"/>
          <w:sz w:val="24"/>
          <w:szCs w:val="24"/>
          <w:lang w:eastAsia="sk-SK"/>
        </w:rPr>
        <w:t>Zároveň sa ukladá povinnosť mať preukaz viditeľne aj v prípade, ak osoba poverená výkonom fyzickej ochrany prichádza do kontaktu s osobami pri vstupe, ktoré je nie je verejne prístupné, napríklad v prípade, ak ide o vstup na chránené miesto, ktoré sa nachádza v rámci väčšieho chráneného komplexu.</w:t>
      </w:r>
    </w:p>
    <w:p w:rsidR="00835459" w:rsidRDefault="00835459" w:rsidP="00835459">
      <w:pPr>
        <w:spacing w:after="0"/>
        <w:jc w:val="both"/>
        <w:rPr>
          <w:rFonts w:ascii="Times New Roman" w:eastAsia="Times New Roman" w:hAnsi="Times New Roman"/>
          <w:sz w:val="24"/>
          <w:szCs w:val="24"/>
          <w:lang w:eastAsia="sk-SK"/>
        </w:rPr>
      </w:pPr>
    </w:p>
    <w:p w:rsidR="00835459" w:rsidRDefault="008C4534" w:rsidP="00835459">
      <w:pPr>
        <w:spacing w:after="0"/>
        <w:jc w:val="both"/>
        <w:rPr>
          <w:rFonts w:ascii="Times New Roman" w:eastAsia="Times New Roman" w:hAnsi="Times New Roman"/>
          <w:sz w:val="24"/>
          <w:szCs w:val="24"/>
          <w:u w:val="single"/>
          <w:lang w:eastAsia="sk-SK"/>
        </w:rPr>
      </w:pPr>
      <w:r>
        <w:rPr>
          <w:rFonts w:ascii="Times New Roman" w:eastAsia="Times New Roman" w:hAnsi="Times New Roman"/>
          <w:sz w:val="24"/>
          <w:szCs w:val="24"/>
          <w:u w:val="single"/>
          <w:lang w:eastAsia="sk-SK"/>
        </w:rPr>
        <w:t>K bodu 49</w:t>
      </w:r>
    </w:p>
    <w:p w:rsidR="00835459" w:rsidRPr="00D06C5E" w:rsidRDefault="00835459" w:rsidP="00835459">
      <w:pPr>
        <w:spacing w:after="0"/>
        <w:jc w:val="both"/>
        <w:rPr>
          <w:rFonts w:ascii="Times New Roman" w:eastAsia="Times New Roman" w:hAnsi="Times New Roman"/>
          <w:sz w:val="24"/>
          <w:szCs w:val="24"/>
          <w:lang w:eastAsia="sk-SK"/>
        </w:rPr>
      </w:pPr>
      <w:r w:rsidRPr="00D06C5E">
        <w:rPr>
          <w:rFonts w:ascii="Times New Roman" w:eastAsia="Times New Roman" w:hAnsi="Times New Roman"/>
          <w:sz w:val="24"/>
          <w:szCs w:val="24"/>
          <w:lang w:eastAsia="sk-SK"/>
        </w:rPr>
        <w:t>§ 54 ods. 3</w:t>
      </w:r>
    </w:p>
    <w:p w:rsidR="00835459" w:rsidRPr="00D06C5E" w:rsidRDefault="00835459" w:rsidP="00835459">
      <w:pPr>
        <w:spacing w:after="0"/>
        <w:jc w:val="both"/>
        <w:rPr>
          <w:rFonts w:ascii="Times New Roman" w:eastAsia="Times New Roman" w:hAnsi="Times New Roman"/>
          <w:sz w:val="24"/>
          <w:szCs w:val="24"/>
          <w:lang w:eastAsia="sk-SK"/>
        </w:rPr>
      </w:pPr>
      <w:r w:rsidRPr="00D06C5E">
        <w:rPr>
          <w:rFonts w:ascii="Times New Roman" w:eastAsia="Times New Roman" w:hAnsi="Times New Roman"/>
          <w:sz w:val="24"/>
          <w:szCs w:val="24"/>
          <w:lang w:eastAsia="sk-SK"/>
        </w:rPr>
        <w:t xml:space="preserve">Zmena nadväzuje na zmenu </w:t>
      </w:r>
      <w:r>
        <w:rPr>
          <w:rFonts w:ascii="Times New Roman" w:eastAsia="Times New Roman" w:hAnsi="Times New Roman"/>
          <w:sz w:val="24"/>
          <w:szCs w:val="24"/>
          <w:lang w:eastAsia="sk-SK"/>
        </w:rPr>
        <w:t>v § 54 ods. 3 prvej vete.</w:t>
      </w:r>
      <w:r w:rsidRPr="00D06C5E">
        <w:rPr>
          <w:rFonts w:ascii="Times New Roman" w:eastAsia="Times New Roman" w:hAnsi="Times New Roman"/>
          <w:sz w:val="24"/>
          <w:szCs w:val="24"/>
          <w:lang w:eastAsia="sk-SK"/>
        </w:rPr>
        <w:t xml:space="preserve"> </w:t>
      </w:r>
    </w:p>
    <w:p w:rsidR="00835459" w:rsidRPr="004B0E95" w:rsidRDefault="00835459" w:rsidP="00835459">
      <w:pPr>
        <w:spacing w:after="0"/>
        <w:jc w:val="both"/>
        <w:rPr>
          <w:rFonts w:ascii="Times New Roman" w:eastAsia="Times New Roman" w:hAnsi="Times New Roman"/>
          <w:sz w:val="24"/>
          <w:szCs w:val="24"/>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K bodu 5</w:t>
      </w:r>
      <w:r w:rsidR="00252992">
        <w:rPr>
          <w:rFonts w:ascii="Times New Roman" w:eastAsia="Times New Roman" w:hAnsi="Times New Roman" w:cs="Times New Roman"/>
          <w:sz w:val="24"/>
          <w:szCs w:val="24"/>
          <w:u w:val="single"/>
          <w:lang w:eastAsia="sk-SK"/>
        </w:rPr>
        <w:t>0</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56 ods. 1 písm. c)</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Výslovne sa uvádza rozsah údajov, ktoré má viesť prevádzkovateľ. Uvedený rozsah je nevyhnutný na jednoznačnú identifikáciu osoby. </w:t>
      </w:r>
    </w:p>
    <w:p w:rsidR="00835459" w:rsidRPr="00D06C5E"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5</w:t>
      </w:r>
      <w:r w:rsidR="00252992">
        <w:rPr>
          <w:rFonts w:ascii="Times New Roman" w:eastAsia="Times New Roman" w:hAnsi="Times New Roman" w:cs="Times New Roman"/>
          <w:sz w:val="24"/>
          <w:szCs w:val="24"/>
          <w:u w:val="single"/>
          <w:lang w:eastAsia="sk-SK"/>
        </w:rPr>
        <w:t>1</w:t>
      </w:r>
    </w:p>
    <w:p w:rsidR="00835459" w:rsidRPr="004B0E95" w:rsidRDefault="00835459" w:rsidP="00835459">
      <w:pPr>
        <w:spacing w:after="0"/>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56 ods. 3</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Upresňuje sa miesto uchovávania dokladov preukazujúcich užívanie majetku, k</w:t>
      </w:r>
      <w:r>
        <w:rPr>
          <w:rFonts w:ascii="Times New Roman" w:hAnsi="Times New Roman" w:cs="Times New Roman"/>
          <w:sz w:val="24"/>
          <w:szCs w:val="24"/>
        </w:rPr>
        <w:t>torý má byť predmetom ochrany.</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K bodu 5</w:t>
      </w:r>
      <w:r w:rsidR="00252992">
        <w:rPr>
          <w:rFonts w:ascii="Times New Roman" w:eastAsia="Times New Roman" w:hAnsi="Times New Roman" w:cs="Times New Roman"/>
          <w:sz w:val="24"/>
          <w:szCs w:val="24"/>
          <w:u w:val="single"/>
          <w:lang w:eastAsia="sk-SK"/>
        </w:rPr>
        <w:t>2</w:t>
      </w:r>
    </w:p>
    <w:p w:rsidR="00835459" w:rsidRPr="00D06C5E" w:rsidRDefault="00835459" w:rsidP="00835459">
      <w:pPr>
        <w:spacing w:after="0" w:line="240" w:lineRule="auto"/>
        <w:jc w:val="both"/>
        <w:rPr>
          <w:rFonts w:ascii="Times New Roman" w:eastAsia="Times New Roman" w:hAnsi="Times New Roman" w:cs="Times New Roman"/>
          <w:sz w:val="24"/>
          <w:szCs w:val="24"/>
          <w:lang w:eastAsia="sk-SK"/>
        </w:rPr>
      </w:pPr>
      <w:r w:rsidRPr="00D06C5E">
        <w:rPr>
          <w:rFonts w:ascii="Times New Roman" w:eastAsia="Times New Roman" w:hAnsi="Times New Roman" w:cs="Times New Roman"/>
          <w:sz w:val="24"/>
          <w:szCs w:val="24"/>
          <w:lang w:eastAsia="sk-SK"/>
        </w:rPr>
        <w:t>§ 58 ods. 1 písm. c), § 62 ods. 1 písm. d)</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Výslovne sa uvádza rozsah údajov, ktoré má viesť prevádzkovateľ. Uvedený rozsah je nevyhnutný na jednoznačnú identifikáciu osoby.</w:t>
      </w:r>
    </w:p>
    <w:p w:rsidR="00835459" w:rsidRPr="00D06C5E" w:rsidRDefault="00835459" w:rsidP="00835459">
      <w:pPr>
        <w:spacing w:after="0" w:line="240" w:lineRule="auto"/>
        <w:jc w:val="both"/>
        <w:rPr>
          <w:rFonts w:ascii="Times New Roman" w:eastAsia="Times New Roman" w:hAnsi="Times New Roman" w:cs="Times New Roman"/>
          <w:sz w:val="24"/>
          <w:szCs w:val="24"/>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sz w:val="24"/>
          <w:szCs w:val="24"/>
          <w:u w:val="single"/>
          <w:lang w:eastAsia="sk-SK"/>
        </w:rPr>
        <w:t>K bodu 5</w:t>
      </w:r>
      <w:r w:rsidR="00252992">
        <w:rPr>
          <w:rFonts w:ascii="Times New Roman" w:eastAsia="Times New Roman" w:hAnsi="Times New Roman" w:cs="Times New Roman"/>
          <w:sz w:val="24"/>
          <w:szCs w:val="24"/>
          <w:u w:val="single"/>
          <w:lang w:eastAsia="sk-SK"/>
        </w:rPr>
        <w:t>3</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60 ods. 2 písm. a)</w:t>
      </w:r>
    </w:p>
    <w:p w:rsidR="00835459" w:rsidRPr="00CC61F4" w:rsidRDefault="00835459" w:rsidP="00835459">
      <w:pPr>
        <w:spacing w:after="0" w:line="240" w:lineRule="auto"/>
        <w:jc w:val="both"/>
        <w:rPr>
          <w:rFonts w:ascii="Times New Roman" w:eastAsia="Times New Roman" w:hAnsi="Times New Roman" w:cs="Times New Roman"/>
          <w:sz w:val="24"/>
          <w:szCs w:val="24"/>
          <w:lang w:eastAsia="sk-SK"/>
        </w:rPr>
      </w:pPr>
      <w:r w:rsidRPr="00CC61F4">
        <w:rPr>
          <w:rFonts w:ascii="Times New Roman" w:eastAsia="Times New Roman" w:hAnsi="Times New Roman" w:cs="Times New Roman"/>
          <w:sz w:val="24"/>
          <w:szCs w:val="24"/>
          <w:lang w:eastAsia="sk-SK"/>
        </w:rPr>
        <w:t>Výslovne sa uvádza, ktoré údaje majú</w:t>
      </w:r>
      <w:r>
        <w:rPr>
          <w:rFonts w:ascii="Times New Roman" w:eastAsia="Times New Roman" w:hAnsi="Times New Roman" w:cs="Times New Roman"/>
          <w:sz w:val="24"/>
          <w:szCs w:val="24"/>
          <w:lang w:eastAsia="sk-SK"/>
        </w:rPr>
        <w:t xml:space="preserve"> byť uvedené v záverečnej správe.</w:t>
      </w:r>
      <w:r w:rsidRPr="00CC61F4">
        <w:rPr>
          <w:rFonts w:ascii="Times New Roman" w:eastAsia="Times New Roman" w:hAnsi="Times New Roman" w:cs="Times New Roman"/>
          <w:sz w:val="24"/>
          <w:szCs w:val="24"/>
          <w:lang w:eastAsia="sk-SK"/>
        </w:rPr>
        <w:t xml:space="preserve">  </w:t>
      </w: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lastRenderedPageBreak/>
        <w:t xml:space="preserve">K bodu </w:t>
      </w:r>
      <w:r>
        <w:rPr>
          <w:rFonts w:ascii="Times New Roman" w:eastAsia="Times New Roman" w:hAnsi="Times New Roman" w:cs="Times New Roman"/>
          <w:sz w:val="24"/>
          <w:szCs w:val="24"/>
          <w:u w:val="single"/>
          <w:lang w:eastAsia="sk-SK"/>
        </w:rPr>
        <w:t>5</w:t>
      </w:r>
      <w:r w:rsidR="00252992">
        <w:rPr>
          <w:rFonts w:ascii="Times New Roman" w:eastAsia="Times New Roman" w:hAnsi="Times New Roman" w:cs="Times New Roman"/>
          <w:sz w:val="24"/>
          <w:szCs w:val="24"/>
          <w:u w:val="single"/>
          <w:lang w:eastAsia="sk-SK"/>
        </w:rPr>
        <w:t>4</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62 ods. 2</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Skracuje sa lehota na uchovávanie evidencie a inšpekčnej knihy dozoru z päť rokov na tri roky</w:t>
      </w:r>
      <w:r>
        <w:rPr>
          <w:rFonts w:ascii="Times New Roman" w:eastAsia="Times New Roman" w:hAnsi="Times New Roman" w:cs="Times New Roman"/>
          <w:sz w:val="24"/>
          <w:szCs w:val="24"/>
          <w:lang w:eastAsia="sk-SK"/>
        </w:rPr>
        <w:t>.</w:t>
      </w:r>
      <w:r w:rsidRPr="004B0E95">
        <w:rPr>
          <w:rFonts w:ascii="Times New Roman" w:eastAsia="Times New Roman" w:hAnsi="Times New Roman" w:cs="Times New Roman"/>
          <w:sz w:val="24"/>
          <w:szCs w:val="24"/>
          <w:lang w:eastAsia="sk-SK"/>
        </w:rPr>
        <w:t xml:space="preserve"> </w:t>
      </w:r>
    </w:p>
    <w:p w:rsidR="00835459" w:rsidRPr="004B0E95" w:rsidRDefault="00835459" w:rsidP="00835459">
      <w:pPr>
        <w:spacing w:after="0" w:line="240" w:lineRule="auto"/>
        <w:jc w:val="both"/>
        <w:rPr>
          <w:rFonts w:ascii="Times New Roman" w:hAnsi="Times New Roman" w:cs="Times New Roman"/>
          <w:sz w:val="24"/>
          <w:szCs w:val="24"/>
        </w:rPr>
      </w:pPr>
    </w:p>
    <w:p w:rsidR="00835459"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K bodu 5</w:t>
      </w:r>
      <w:r w:rsidR="00252992">
        <w:rPr>
          <w:rFonts w:ascii="Times New Roman" w:hAnsi="Times New Roman" w:cs="Times New Roman"/>
          <w:sz w:val="24"/>
          <w:szCs w:val="24"/>
          <w:u w:val="single"/>
        </w:rPr>
        <w:t>5</w:t>
      </w:r>
    </w:p>
    <w:p w:rsidR="00835459" w:rsidRDefault="00835459" w:rsidP="00835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67</w:t>
      </w:r>
    </w:p>
    <w:p w:rsidR="00835459" w:rsidRDefault="00835459" w:rsidP="00835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Vzhľadom na vypustenie písmena j) z § 40 ods. 2 a jeho presunutie do odseku 1 písm. d) sa upravuje vnútorný odkaz.</w:t>
      </w:r>
    </w:p>
    <w:p w:rsidR="00835459" w:rsidRDefault="00835459" w:rsidP="00835459">
      <w:pPr>
        <w:spacing w:after="0" w:line="240" w:lineRule="auto"/>
        <w:jc w:val="both"/>
        <w:rPr>
          <w:rFonts w:ascii="Times New Roman" w:hAnsi="Times New Roman" w:cs="Times New Roman"/>
          <w:sz w:val="24"/>
          <w:szCs w:val="24"/>
        </w:rPr>
      </w:pPr>
    </w:p>
    <w:p w:rsidR="00835459" w:rsidRPr="00CC61F4" w:rsidRDefault="00835459" w:rsidP="00835459">
      <w:pPr>
        <w:spacing w:after="0" w:line="240" w:lineRule="auto"/>
        <w:jc w:val="both"/>
        <w:rPr>
          <w:rFonts w:ascii="Times New Roman" w:hAnsi="Times New Roman" w:cs="Times New Roman"/>
          <w:sz w:val="24"/>
          <w:szCs w:val="24"/>
          <w:u w:val="single"/>
        </w:rPr>
      </w:pPr>
      <w:r w:rsidRPr="00CC61F4">
        <w:rPr>
          <w:rFonts w:ascii="Times New Roman" w:hAnsi="Times New Roman" w:cs="Times New Roman"/>
          <w:sz w:val="24"/>
          <w:szCs w:val="24"/>
          <w:u w:val="single"/>
        </w:rPr>
        <w:t>K bodu 5</w:t>
      </w:r>
      <w:r w:rsidR="00252992">
        <w:rPr>
          <w:rFonts w:ascii="Times New Roman" w:hAnsi="Times New Roman" w:cs="Times New Roman"/>
          <w:sz w:val="24"/>
          <w:szCs w:val="24"/>
          <w:u w:val="single"/>
        </w:rPr>
        <w:t>6</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71 ods. 5</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xml:space="preserve">Legislatívno-technická úprava, </w:t>
      </w:r>
      <w:r>
        <w:rPr>
          <w:rFonts w:ascii="Times New Roman" w:hAnsi="Times New Roman" w:cs="Times New Roman"/>
          <w:sz w:val="24"/>
          <w:szCs w:val="24"/>
        </w:rPr>
        <w:t>nesprávne uvedený vnútorný odkaz</w:t>
      </w:r>
      <w:r w:rsidRPr="004B0E95">
        <w:rPr>
          <w:rFonts w:ascii="Times New Roman" w:hAnsi="Times New Roman" w:cs="Times New Roman"/>
          <w:sz w:val="24"/>
          <w:szCs w:val="24"/>
        </w:rPr>
        <w:t>.</w:t>
      </w:r>
    </w:p>
    <w:p w:rsidR="00835459" w:rsidRPr="004B0E95" w:rsidRDefault="00835459" w:rsidP="00835459">
      <w:pPr>
        <w:spacing w:after="0" w:line="240" w:lineRule="auto"/>
        <w:jc w:val="both"/>
        <w:rPr>
          <w:rFonts w:ascii="Times New Roman" w:hAnsi="Times New Roman" w:cs="Times New Roman"/>
          <w:sz w:val="24"/>
          <w:szCs w:val="24"/>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K bodu 5</w:t>
      </w:r>
      <w:r w:rsidR="00252992">
        <w:rPr>
          <w:rFonts w:ascii="Times New Roman" w:hAnsi="Times New Roman" w:cs="Times New Roman"/>
          <w:sz w:val="24"/>
          <w:szCs w:val="24"/>
          <w:u w:val="single"/>
        </w:rPr>
        <w:t>7</w:t>
      </w:r>
      <w:r w:rsidRPr="004B0E95">
        <w:rPr>
          <w:rFonts w:ascii="Times New Roman" w:hAnsi="Times New Roman" w:cs="Times New Roman"/>
          <w:sz w:val="24"/>
          <w:szCs w:val="24"/>
          <w:u w:val="single"/>
        </w:rPr>
        <w:t xml:space="preserve"> </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72 ods. 3</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Licencia je vydávaná na desať rokov a je na samotnom prevádzkovateľovi technickej služby aj </w:t>
      </w:r>
      <w:r>
        <w:rPr>
          <w:rFonts w:ascii="Times New Roman" w:eastAsia="Times New Roman" w:hAnsi="Times New Roman" w:cs="Times New Roman"/>
          <w:sz w:val="24"/>
          <w:szCs w:val="24"/>
          <w:lang w:eastAsia="sk-SK"/>
        </w:rPr>
        <w:t xml:space="preserve">   </w:t>
      </w:r>
      <w:r w:rsidRPr="004B0E95">
        <w:rPr>
          <w:rFonts w:ascii="Times New Roman" w:eastAsia="Times New Roman" w:hAnsi="Times New Roman" w:cs="Times New Roman"/>
          <w:sz w:val="24"/>
          <w:szCs w:val="24"/>
          <w:lang w:eastAsia="sk-SK"/>
        </w:rPr>
        <w:t>s prihliadnutím na súčasnú ekonomickú situáciu, ako sa mu podarí zabezpečiť činnosť, ktorú ma vykonávať. Pokiaľ prevádzkovateľ technickej služby spĺňa všetky podmienky, nie je účelné, aby sa mu prikazovalo, kedy má činnosť začať vykonávať.</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5</w:t>
      </w:r>
      <w:r w:rsidR="00252992">
        <w:rPr>
          <w:rFonts w:ascii="Times New Roman" w:eastAsia="Times New Roman" w:hAnsi="Times New Roman" w:cs="Times New Roman"/>
          <w:sz w:val="24"/>
          <w:szCs w:val="24"/>
          <w:u w:val="single"/>
          <w:lang w:eastAsia="sk-SK"/>
        </w:rPr>
        <w:t>8</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eastAsia="Times New Roman" w:hAnsi="Times New Roman" w:cs="Times New Roman"/>
          <w:sz w:val="24"/>
          <w:szCs w:val="24"/>
          <w:lang w:eastAsia="sk-SK"/>
        </w:rPr>
        <w:t>§ 73 ods. 4</w:t>
      </w:r>
    </w:p>
    <w:p w:rsidR="00835459"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Odbúranie administratívnej činnosti príslušného orgánu, pričom zostane zachovaný jeho postup pri rozhodovaní o zmene rozhodnutia o udelení licencie na prevádzkovanie technickej služby, o pozastavení prevádzkovania technickej služby alebo odňatí licencie na prevádzkovanie technickej služby a to podľa zistení zo zaslaných dokladov, čestných vyhlásení a lekárskeho posudku predlože</w:t>
      </w:r>
      <w:r w:rsidR="00252992">
        <w:rPr>
          <w:rFonts w:ascii="Times New Roman" w:hAnsi="Times New Roman" w:cs="Times New Roman"/>
          <w:sz w:val="24"/>
          <w:szCs w:val="24"/>
        </w:rPr>
        <w:t>ných podľa odsekov 2 až 3 a 5.</w:t>
      </w:r>
    </w:p>
    <w:p w:rsidR="00252992" w:rsidRPr="004B0E95" w:rsidRDefault="00252992" w:rsidP="00835459">
      <w:pPr>
        <w:spacing w:after="0" w:line="240" w:lineRule="auto"/>
        <w:jc w:val="both"/>
        <w:rPr>
          <w:rFonts w:ascii="Times New Roman" w:hAnsi="Times New Roman" w:cs="Times New Roman"/>
          <w:sz w:val="24"/>
          <w:szCs w:val="24"/>
        </w:rPr>
      </w:pPr>
    </w:p>
    <w:p w:rsidR="00835459" w:rsidRPr="004B0E95" w:rsidRDefault="00835459" w:rsidP="0083545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252992">
        <w:rPr>
          <w:rFonts w:ascii="Times New Roman" w:hAnsi="Times New Roman" w:cs="Times New Roman"/>
          <w:sz w:val="24"/>
          <w:szCs w:val="24"/>
          <w:u w:val="single"/>
        </w:rPr>
        <w:t>59</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73 ods. 5</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Legislatívno-technická úpravu súvisiaca s oznamovacou povinnosťou prevádzkovateľa technickej služby súvisiacou s posudzovaním bezúhonnosti a spoľahlivosti u vyšpecifikovanej osoby.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6</w:t>
      </w:r>
      <w:r w:rsidR="00252992">
        <w:rPr>
          <w:rFonts w:ascii="Times New Roman" w:eastAsia="Times New Roman" w:hAnsi="Times New Roman" w:cs="Times New Roman"/>
          <w:sz w:val="24"/>
          <w:szCs w:val="24"/>
          <w:u w:val="single"/>
          <w:lang w:eastAsia="sk-SK"/>
        </w:rPr>
        <w:t>0</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§76 ods. 3</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Prevádzkovatelia technických služieb sú značne znevýhodnení voči prevádzkovateľom bezpečnostných služieb, a to skrátení lehoty na podanie žiadosti o predĺženie licencie. Ak nestihnú v stanovenej lehote podať žiadosť o vydanie licencie, vznikajú im zvýšené náklady vo forme správnych poplatkov za vydanie novej licencie. Úpravou sa zrovnoprávňuje lehota na podanie žiadosti o vydanie novej licencie na činnosti, ktoré sú predmetom už udelenej licencie u prevádzkovateľov bezpečnostnej služby a technickej služby. </w:t>
      </w:r>
    </w:p>
    <w:p w:rsidR="00835459" w:rsidRPr="004B0E95" w:rsidRDefault="00835459" w:rsidP="00835459">
      <w:pPr>
        <w:spacing w:after="0" w:line="240" w:lineRule="auto"/>
        <w:jc w:val="both"/>
        <w:rPr>
          <w:rFonts w:ascii="Times New Roman" w:hAnsi="Times New Roman" w:cs="Times New Roman"/>
          <w:sz w:val="24"/>
          <w:szCs w:val="24"/>
          <w:u w:val="single"/>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6</w:t>
      </w:r>
      <w:r w:rsidR="00252992">
        <w:rPr>
          <w:rFonts w:ascii="Times New Roman" w:eastAsia="Times New Roman" w:hAnsi="Times New Roman" w:cs="Times New Roman"/>
          <w:sz w:val="24"/>
          <w:szCs w:val="24"/>
          <w:u w:val="single"/>
          <w:lang w:eastAsia="sk-SK"/>
        </w:rPr>
        <w:t>1</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77 ods. 1 písm. c)</w:t>
      </w:r>
    </w:p>
    <w:p w:rsidR="00835459" w:rsidRPr="004B0E95"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xml:space="preserve">Nie je účelné, aby bola licencia odňatá z dôvodu, že prevádzkovateľ technickej služby nezačne vykonávať aspoň jednu povolenú činnosť v určenej lehote odo dňa nadobudnutia právoplatnosti rozhodnutia o udelení licencie alebo takúto činnosť nevykonáva </w:t>
      </w:r>
      <w:r w:rsidRPr="004B0E95">
        <w:rPr>
          <w:rFonts w:ascii="Times New Roman" w:eastAsia="Times New Roman" w:hAnsi="Times New Roman" w:cs="Times New Roman"/>
          <w:sz w:val="24"/>
          <w:szCs w:val="24"/>
          <w:lang w:eastAsia="sk-SK"/>
        </w:rPr>
        <w:t xml:space="preserve">v určenom období </w:t>
      </w:r>
      <w:r w:rsidRPr="004B0E95">
        <w:rPr>
          <w:rFonts w:ascii="Times New Roman" w:eastAsia="Times New Roman" w:hAnsi="Times New Roman"/>
          <w:sz w:val="24"/>
          <w:szCs w:val="24"/>
          <w:lang w:eastAsia="sk-SK"/>
        </w:rPr>
        <w:t>nepretržite. Licencia je vydávaná na desať rokov a je na samotnom prevádzkovateľovi technickej služby</w:t>
      </w:r>
      <w:r>
        <w:rPr>
          <w:rFonts w:ascii="Times New Roman" w:eastAsia="Times New Roman" w:hAnsi="Times New Roman"/>
          <w:sz w:val="24"/>
          <w:szCs w:val="24"/>
          <w:lang w:eastAsia="sk-SK"/>
        </w:rPr>
        <w:t xml:space="preserve"> </w:t>
      </w:r>
      <w:r w:rsidRPr="004B0E95">
        <w:rPr>
          <w:rFonts w:ascii="Times New Roman" w:eastAsia="Times New Roman" w:hAnsi="Times New Roman"/>
          <w:sz w:val="24"/>
          <w:szCs w:val="24"/>
          <w:lang w:eastAsia="sk-SK"/>
        </w:rPr>
        <w:t xml:space="preserve">s prihliadnutím na súčasnú ekonomickú situáciu, ako sa mu podarí </w:t>
      </w:r>
      <w:r w:rsidRPr="004B0E95">
        <w:rPr>
          <w:rFonts w:ascii="Times New Roman" w:eastAsia="Times New Roman" w:hAnsi="Times New Roman"/>
          <w:sz w:val="24"/>
          <w:szCs w:val="24"/>
          <w:lang w:eastAsia="sk-SK"/>
        </w:rPr>
        <w:lastRenderedPageBreak/>
        <w:t>zabezpečiť činnosť, ktorú má vykonávať. Nie je účelné, pokiaľ prevádzkovateľ spĺňa všetky podmienky, aby mu bola licencia odňatá len z dôvodu jeho nečinnosti.</w:t>
      </w:r>
    </w:p>
    <w:p w:rsidR="00835459" w:rsidRPr="004B0E95" w:rsidRDefault="00835459" w:rsidP="00835459">
      <w:pPr>
        <w:spacing w:after="0" w:line="240" w:lineRule="auto"/>
        <w:jc w:val="both"/>
        <w:rPr>
          <w:rFonts w:ascii="Times New Roman" w:eastAsia="Times New Roman" w:hAnsi="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6</w:t>
      </w:r>
      <w:r w:rsidR="00252992">
        <w:rPr>
          <w:rFonts w:ascii="Times New Roman" w:eastAsia="Times New Roman" w:hAnsi="Times New Roman" w:cs="Times New Roman"/>
          <w:sz w:val="24"/>
          <w:szCs w:val="24"/>
          <w:u w:val="single"/>
          <w:lang w:eastAsia="sk-SK"/>
        </w:rPr>
        <w:t>2</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78a</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Upravujú sa podmienky, kto a po splnení akých podmienok  môže vykonávať technickú službu, nakoľko takáto úprava u technickej služby absentovala.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D673C6" w:rsidRDefault="00835459" w:rsidP="00835459">
      <w:pPr>
        <w:spacing w:after="0" w:line="240" w:lineRule="auto"/>
        <w:jc w:val="both"/>
        <w:rPr>
          <w:rFonts w:ascii="Times New Roman" w:eastAsia="Times New Roman" w:hAnsi="Times New Roman" w:cs="Times New Roman"/>
          <w:sz w:val="24"/>
          <w:szCs w:val="24"/>
          <w:u w:val="single"/>
          <w:lang w:eastAsia="sk-SK"/>
        </w:rPr>
      </w:pPr>
      <w:r w:rsidRPr="00D673C6">
        <w:rPr>
          <w:rFonts w:ascii="Times New Roman" w:eastAsia="Times New Roman" w:hAnsi="Times New Roman" w:cs="Times New Roman"/>
          <w:sz w:val="24"/>
          <w:szCs w:val="24"/>
          <w:u w:val="single"/>
          <w:lang w:eastAsia="sk-SK"/>
        </w:rPr>
        <w:t xml:space="preserve">K bodu </w:t>
      </w:r>
      <w:r w:rsidR="00252992">
        <w:rPr>
          <w:rFonts w:ascii="Times New Roman" w:eastAsia="Times New Roman" w:hAnsi="Times New Roman" w:cs="Times New Roman"/>
          <w:sz w:val="24"/>
          <w:szCs w:val="24"/>
          <w:u w:val="single"/>
          <w:lang w:eastAsia="sk-SK"/>
        </w:rPr>
        <w:t>63</w:t>
      </w:r>
    </w:p>
    <w:p w:rsidR="00835459" w:rsidRPr="00D673C6" w:rsidRDefault="00835459" w:rsidP="00835459">
      <w:pPr>
        <w:spacing w:after="0" w:line="240" w:lineRule="auto"/>
        <w:jc w:val="both"/>
        <w:rPr>
          <w:rFonts w:ascii="Times New Roman" w:eastAsia="Times New Roman" w:hAnsi="Times New Roman" w:cs="Times New Roman"/>
          <w:sz w:val="24"/>
          <w:szCs w:val="24"/>
          <w:lang w:eastAsia="sk-SK"/>
        </w:rPr>
      </w:pPr>
      <w:r w:rsidRPr="00D673C6">
        <w:rPr>
          <w:rFonts w:ascii="Times New Roman" w:eastAsia="Times New Roman" w:hAnsi="Times New Roman" w:cs="Times New Roman"/>
          <w:sz w:val="24"/>
          <w:szCs w:val="24"/>
          <w:lang w:eastAsia="sk-SK"/>
        </w:rPr>
        <w:t>§ 79</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D673C6">
        <w:rPr>
          <w:rFonts w:ascii="Times New Roman" w:eastAsia="Times New Roman" w:hAnsi="Times New Roman" w:cs="Times New Roman"/>
          <w:sz w:val="24"/>
          <w:szCs w:val="24"/>
          <w:lang w:eastAsia="sk-SK"/>
        </w:rPr>
        <w:t xml:space="preserve">Z dôvodu sprehľadnenia zamestnaneckých vzťahov </w:t>
      </w:r>
      <w:r>
        <w:rPr>
          <w:rFonts w:ascii="Times New Roman" w:eastAsia="Times New Roman" w:hAnsi="Times New Roman" w:cs="Times New Roman"/>
          <w:sz w:val="24"/>
          <w:szCs w:val="24"/>
          <w:lang w:eastAsia="sk-SK"/>
        </w:rPr>
        <w:t xml:space="preserve">a zrovnoprávnenia s prevádzkovateľmi bezpečnostných služieb </w:t>
      </w:r>
      <w:r w:rsidRPr="00D673C6">
        <w:rPr>
          <w:rFonts w:ascii="Times New Roman" w:eastAsia="Times New Roman" w:hAnsi="Times New Roman" w:cs="Times New Roman"/>
          <w:sz w:val="24"/>
          <w:szCs w:val="24"/>
          <w:lang w:eastAsia="sk-SK"/>
        </w:rPr>
        <w:t>sa ukladá prevádzkovateľovi technickej služby povinnosť viesť samostatnú evidenciu osôb poverených činnosťami, ktoré sú technickou službou, nakoľko do</w:t>
      </w:r>
      <w:r>
        <w:rPr>
          <w:rFonts w:ascii="Times New Roman" w:eastAsia="Times New Roman" w:hAnsi="Times New Roman" w:cs="Times New Roman"/>
          <w:sz w:val="24"/>
          <w:szCs w:val="24"/>
          <w:lang w:eastAsia="sk-SK"/>
        </w:rPr>
        <w:t>teraz takúto povinnosť nemal.</w:t>
      </w:r>
    </w:p>
    <w:p w:rsidR="00835459" w:rsidRPr="00D673C6" w:rsidRDefault="00835459" w:rsidP="00835459">
      <w:pPr>
        <w:spacing w:after="0" w:line="240" w:lineRule="auto"/>
        <w:jc w:val="both"/>
        <w:rPr>
          <w:rFonts w:ascii="Times New Roman" w:eastAsia="Times New Roman" w:hAnsi="Times New Roman" w:cs="Times New Roman"/>
          <w:sz w:val="24"/>
          <w:szCs w:val="24"/>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6</w:t>
      </w:r>
      <w:r w:rsidR="00252992">
        <w:rPr>
          <w:rFonts w:ascii="Times New Roman" w:eastAsia="Times New Roman" w:hAnsi="Times New Roman" w:cs="Times New Roman"/>
          <w:sz w:val="24"/>
          <w:szCs w:val="24"/>
          <w:u w:val="single"/>
          <w:lang w:eastAsia="sk-SK"/>
        </w:rPr>
        <w:t>4</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651CF2">
        <w:rPr>
          <w:rFonts w:ascii="Times New Roman" w:eastAsia="Times New Roman" w:hAnsi="Times New Roman" w:cs="Times New Roman"/>
          <w:sz w:val="24"/>
          <w:szCs w:val="24"/>
          <w:lang w:eastAsia="sk-SK"/>
        </w:rPr>
        <w:t>§ 80 ods. 1 písm. c)</w:t>
      </w:r>
    </w:p>
    <w:p w:rsidR="00835459" w:rsidRPr="00651CF2"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súvislosti so zavedením možnosti uskutočňovať odbornú prípravu dištančnou formou sa upravujú ustanovenia</w:t>
      </w:r>
      <w:r w:rsidR="00A91D86">
        <w:rPr>
          <w:rFonts w:ascii="Times New Roman" w:eastAsia="Times New Roman" w:hAnsi="Times New Roman" w:cs="Times New Roman"/>
          <w:sz w:val="24"/>
          <w:szCs w:val="24"/>
          <w:lang w:eastAsia="sk-SK"/>
        </w:rPr>
        <w:t xml:space="preserve"> ohľadom školiaceho zariadenia.</w:t>
      </w: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651CF2">
        <w:rPr>
          <w:rFonts w:ascii="Times New Roman" w:eastAsia="Times New Roman" w:hAnsi="Times New Roman" w:cs="Times New Roman"/>
          <w:sz w:val="24"/>
          <w:szCs w:val="24"/>
          <w:u w:val="single"/>
          <w:lang w:eastAsia="sk-SK"/>
        </w:rPr>
        <w:t>K bodu 6</w:t>
      </w:r>
      <w:r w:rsidR="00252992">
        <w:rPr>
          <w:rFonts w:ascii="Times New Roman" w:eastAsia="Times New Roman" w:hAnsi="Times New Roman" w:cs="Times New Roman"/>
          <w:sz w:val="24"/>
          <w:szCs w:val="24"/>
          <w:u w:val="single"/>
          <w:lang w:eastAsia="sk-SK"/>
        </w:rPr>
        <w:t>5</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80 ods. 2</w:t>
      </w:r>
    </w:p>
    <w:p w:rsidR="00835459" w:rsidRPr="004B0E95" w:rsidRDefault="00A91D86" w:rsidP="00835459">
      <w:pPr>
        <w:pStyle w:val="Odsekzoznamu"/>
        <w:ind w:left="0" w:firstLine="0"/>
        <w:rPr>
          <w:rFonts w:ascii="Times New Roman" w:eastAsia="Times New Roman" w:hAnsi="Times New Roman"/>
          <w:sz w:val="24"/>
          <w:szCs w:val="24"/>
          <w:lang w:eastAsia="sk-SK"/>
        </w:rPr>
      </w:pPr>
      <w:r>
        <w:rPr>
          <w:rFonts w:ascii="Times New Roman" w:eastAsia="Times New Roman" w:hAnsi="Times New Roman"/>
          <w:sz w:val="24"/>
          <w:szCs w:val="24"/>
          <w:lang w:eastAsia="sk-SK"/>
        </w:rPr>
        <w:t>Menia</w:t>
      </w:r>
      <w:r w:rsidR="00835459" w:rsidRPr="004B0E95">
        <w:rPr>
          <w:rFonts w:ascii="Times New Roman" w:eastAsia="Times New Roman" w:hAnsi="Times New Roman"/>
          <w:sz w:val="24"/>
          <w:szCs w:val="24"/>
          <w:lang w:eastAsia="sk-SK"/>
        </w:rPr>
        <w:t xml:space="preserve"> sa možnosti </w:t>
      </w:r>
      <w:r>
        <w:rPr>
          <w:rFonts w:ascii="Times New Roman" w:eastAsia="Times New Roman" w:hAnsi="Times New Roman"/>
          <w:sz w:val="24"/>
          <w:szCs w:val="24"/>
          <w:lang w:eastAsia="sk-SK"/>
        </w:rPr>
        <w:t>v</w:t>
      </w:r>
      <w:r w:rsidR="00835459" w:rsidRPr="004B0E95">
        <w:rPr>
          <w:rFonts w:ascii="Times New Roman" w:eastAsia="Times New Roman" w:hAnsi="Times New Roman"/>
          <w:sz w:val="24"/>
          <w:szCs w:val="24"/>
          <w:lang w:eastAsia="sk-SK"/>
        </w:rPr>
        <w:t>ykonávania odbornej prípravy, pričom sa okrem prezenčnej formy umožňuje aj vykonávanie odbornej prípravy dištančnou formou</w:t>
      </w:r>
      <w:r w:rsidR="00835459">
        <w:rPr>
          <w:rFonts w:ascii="Times New Roman" w:eastAsia="Times New Roman" w:hAnsi="Times New Roman"/>
          <w:sz w:val="24"/>
          <w:szCs w:val="24"/>
          <w:lang w:eastAsia="sk-SK"/>
        </w:rPr>
        <w:t>, prípadne ich kombináciou</w:t>
      </w:r>
      <w:r>
        <w:rPr>
          <w:rFonts w:ascii="Times New Roman" w:eastAsia="Times New Roman" w:hAnsi="Times New Roman"/>
          <w:sz w:val="24"/>
          <w:szCs w:val="24"/>
          <w:lang w:eastAsia="sk-SK"/>
        </w:rPr>
        <w:t xml:space="preserve">, kedy sa časť odbornej prípravy bude vykonávať dištančnou formou a časť prezenčnou formou. V závislosti od toho bude resp. nebude žiadateľ o akreditáciu povinný zabezpečiť priestory, kde bude vykonávať prezenčnú formu odbornej prípravy. </w:t>
      </w:r>
      <w:r w:rsidR="00835459" w:rsidRPr="004B0E95">
        <w:rPr>
          <w:rFonts w:ascii="Times New Roman" w:eastAsia="Times New Roman" w:hAnsi="Times New Roman"/>
          <w:sz w:val="24"/>
          <w:szCs w:val="24"/>
          <w:lang w:eastAsia="sk-SK"/>
        </w:rPr>
        <w:t>Zároveň sa upravuje  priebeh odbornej prípravy vykonávanej dištančnou formou a ukladá sa povinnosť akreditovanej osobe sprístupniť online pripojenie k odbornej príprave vykonávanej dištančnou formou orgánu dozoru alebo kontroly. Zároveň sa určuje postih za zneprístupnenie odbor</w:t>
      </w:r>
      <w:r w:rsidR="00835459">
        <w:rPr>
          <w:rFonts w:ascii="Times New Roman" w:eastAsia="Times New Roman" w:hAnsi="Times New Roman"/>
          <w:sz w:val="24"/>
          <w:szCs w:val="24"/>
          <w:lang w:eastAsia="sk-SK"/>
        </w:rPr>
        <w:t>nej prípravy dištančnou formou.</w:t>
      </w:r>
      <w:r w:rsidR="00835459" w:rsidRPr="004B0E95">
        <w:rPr>
          <w:rFonts w:ascii="Times New Roman" w:eastAsia="Times New Roman" w:hAnsi="Times New Roman"/>
          <w:sz w:val="24"/>
          <w:szCs w:val="24"/>
          <w:lang w:eastAsia="sk-SK"/>
        </w:rPr>
        <w:t xml:space="preserve"> </w:t>
      </w:r>
      <w:r w:rsidR="00835459">
        <w:rPr>
          <w:rFonts w:ascii="Times New Roman" w:eastAsia="Times New Roman" w:hAnsi="Times New Roman"/>
          <w:sz w:val="24"/>
          <w:szCs w:val="24"/>
          <w:lang w:eastAsia="sk-SK"/>
        </w:rPr>
        <w:t>Vykonávanie odbornej prípravy prostredníctvom online pripojenia nebude podmienené vyhotovovaním audiovizuálnych záznamov.</w:t>
      </w:r>
    </w:p>
    <w:p w:rsidR="00835459" w:rsidRPr="004B0E95" w:rsidRDefault="00835459" w:rsidP="00835459">
      <w:pPr>
        <w:spacing w:after="0"/>
        <w:jc w:val="both"/>
        <w:rPr>
          <w:rFonts w:ascii="Times New Roman" w:eastAsia="Times New Roman" w:hAnsi="Times New Roman"/>
          <w:sz w:val="24"/>
          <w:szCs w:val="24"/>
          <w:lang w:eastAsia="sk-SK"/>
        </w:rPr>
      </w:pPr>
    </w:p>
    <w:p w:rsidR="00835459" w:rsidRPr="004B0E95" w:rsidRDefault="00835459" w:rsidP="00835459">
      <w:pPr>
        <w:spacing w:after="0"/>
        <w:jc w:val="both"/>
        <w:rPr>
          <w:rFonts w:ascii="Times New Roman" w:eastAsia="Times New Roman" w:hAnsi="Times New Roman"/>
          <w:sz w:val="24"/>
          <w:szCs w:val="24"/>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6</w:t>
      </w:r>
      <w:r w:rsidR="00252992">
        <w:rPr>
          <w:rFonts w:ascii="Times New Roman" w:eastAsia="Times New Roman" w:hAnsi="Times New Roman" w:cs="Times New Roman"/>
          <w:sz w:val="24"/>
          <w:szCs w:val="24"/>
          <w:u w:val="single"/>
          <w:lang w:eastAsia="sk-SK"/>
        </w:rPr>
        <w:t>6</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81 ods. 1 písm. b)</w:t>
      </w:r>
    </w:p>
    <w:p w:rsidR="00835459" w:rsidRPr="004B0E95"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Zaniká povinnosť ustanoviť zodpovedného zástupcu, nakoľko za riadne vykonávanie odbornej prípravy zodpovedá samotná akreditovaná osoba</w:t>
      </w:r>
      <w:r>
        <w:rPr>
          <w:rFonts w:ascii="Times New Roman" w:eastAsia="Times New Roman" w:hAnsi="Times New Roman"/>
          <w:sz w:val="24"/>
          <w:szCs w:val="24"/>
          <w:lang w:eastAsia="sk-SK"/>
        </w:rPr>
        <w:t>.</w:t>
      </w:r>
      <w:r w:rsidR="00252992">
        <w:rPr>
          <w:rFonts w:ascii="Times New Roman" w:eastAsia="Times New Roman" w:hAnsi="Times New Roman"/>
          <w:sz w:val="24"/>
          <w:szCs w:val="24"/>
          <w:lang w:eastAsia="sk-SK"/>
        </w:rPr>
        <w:t xml:space="preserve"> Zodpovedná osoba nemala ustanovené žiadne oprávnenia ani povinnosti. </w:t>
      </w:r>
      <w:r w:rsidR="00252992" w:rsidRPr="00252992">
        <w:rPr>
          <w:rFonts w:ascii="Times New Roman" w:eastAsia="Times New Roman" w:hAnsi="Times New Roman"/>
          <w:sz w:val="24"/>
          <w:szCs w:val="24"/>
          <w:lang w:eastAsia="sk-SK"/>
        </w:rPr>
        <w:t>V súvislosti so zavedením možnosti uskutočňovať odbornú prípravu dištančnou</w:t>
      </w:r>
      <w:r w:rsidR="00252992">
        <w:rPr>
          <w:rFonts w:ascii="Times New Roman" w:eastAsia="Times New Roman" w:hAnsi="Times New Roman"/>
          <w:sz w:val="24"/>
          <w:szCs w:val="24"/>
          <w:lang w:eastAsia="sk-SK"/>
        </w:rPr>
        <w:t xml:space="preserve"> alebo kombinovanou</w:t>
      </w:r>
      <w:r w:rsidR="00252992" w:rsidRPr="00252992">
        <w:rPr>
          <w:rFonts w:ascii="Times New Roman" w:eastAsia="Times New Roman" w:hAnsi="Times New Roman"/>
          <w:sz w:val="24"/>
          <w:szCs w:val="24"/>
          <w:lang w:eastAsia="sk-SK"/>
        </w:rPr>
        <w:t xml:space="preserve"> formou sa</w:t>
      </w:r>
      <w:r w:rsidR="00252992">
        <w:rPr>
          <w:rFonts w:ascii="Times New Roman" w:eastAsia="Times New Roman" w:hAnsi="Times New Roman"/>
          <w:sz w:val="24"/>
          <w:szCs w:val="24"/>
          <w:lang w:eastAsia="sk-SK"/>
        </w:rPr>
        <w:t xml:space="preserve"> dopĺňa ustanovenie o povinnosti informovať aká forma vykonávania odbornej prípravy sa bude uskutočňovať.</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K bodu 6</w:t>
      </w:r>
      <w:r w:rsidR="00252992">
        <w:rPr>
          <w:rFonts w:ascii="Times New Roman" w:eastAsia="Times New Roman" w:hAnsi="Times New Roman" w:cs="Times New Roman"/>
          <w:sz w:val="24"/>
          <w:szCs w:val="24"/>
          <w:u w:val="single"/>
          <w:lang w:eastAsia="sk-SK"/>
        </w:rPr>
        <w:t>7</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81 ods. 1 písm. </w:t>
      </w:r>
      <w:r w:rsidR="00252992">
        <w:rPr>
          <w:rFonts w:ascii="Times New Roman" w:eastAsia="Times New Roman" w:hAnsi="Times New Roman" w:cs="Times New Roman"/>
          <w:sz w:val="24"/>
          <w:szCs w:val="24"/>
          <w:lang w:eastAsia="sk-SK"/>
        </w:rPr>
        <w:t>e</w:t>
      </w:r>
      <w:r>
        <w:rPr>
          <w:rFonts w:ascii="Times New Roman" w:eastAsia="Times New Roman" w:hAnsi="Times New Roman" w:cs="Times New Roman"/>
          <w:sz w:val="24"/>
          <w:szCs w:val="24"/>
          <w:lang w:eastAsia="sk-SK"/>
        </w:rPr>
        <w:t>)</w:t>
      </w:r>
    </w:p>
    <w:p w:rsidR="00835459" w:rsidRPr="00651CF2"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súvislosti so zavedením možnosti uskutočňovať odbornú prípravu dištančnou formou sa upravujú ustanovenia ohľadom školiaceho zariadenia. </w:t>
      </w:r>
    </w:p>
    <w:p w:rsidR="00835459" w:rsidRDefault="00835459" w:rsidP="00835459">
      <w:pPr>
        <w:spacing w:after="0" w:line="240" w:lineRule="auto"/>
        <w:jc w:val="both"/>
        <w:rPr>
          <w:rFonts w:ascii="Times New Roman" w:eastAsia="Times New Roman" w:hAnsi="Times New Roman" w:cs="Times New Roman"/>
          <w:sz w:val="24"/>
          <w:szCs w:val="24"/>
          <w:lang w:eastAsia="sk-SK"/>
        </w:rPr>
      </w:pPr>
    </w:p>
    <w:p w:rsidR="00914C18" w:rsidRDefault="00914C18" w:rsidP="00835459">
      <w:pPr>
        <w:spacing w:after="0" w:line="240" w:lineRule="auto"/>
        <w:jc w:val="both"/>
        <w:rPr>
          <w:rFonts w:ascii="Times New Roman" w:eastAsia="Times New Roman" w:hAnsi="Times New Roman" w:cs="Times New Roman"/>
          <w:sz w:val="24"/>
          <w:szCs w:val="24"/>
          <w:lang w:eastAsia="sk-SK"/>
        </w:rPr>
      </w:pPr>
    </w:p>
    <w:p w:rsidR="00914C18" w:rsidRDefault="00914C18" w:rsidP="00835459">
      <w:pPr>
        <w:spacing w:after="0" w:line="240" w:lineRule="auto"/>
        <w:jc w:val="both"/>
        <w:rPr>
          <w:rFonts w:ascii="Times New Roman" w:eastAsia="Times New Roman" w:hAnsi="Times New Roman" w:cs="Times New Roman"/>
          <w:sz w:val="24"/>
          <w:szCs w:val="24"/>
          <w:lang w:eastAsia="sk-SK"/>
        </w:rPr>
      </w:pPr>
    </w:p>
    <w:p w:rsidR="00914C18" w:rsidRDefault="00914C18" w:rsidP="00835459">
      <w:pPr>
        <w:spacing w:after="0" w:line="240" w:lineRule="auto"/>
        <w:jc w:val="both"/>
        <w:rPr>
          <w:rFonts w:ascii="Times New Roman" w:eastAsia="Times New Roman" w:hAnsi="Times New Roman" w:cs="Times New Roman"/>
          <w:sz w:val="24"/>
          <w:szCs w:val="24"/>
          <w:lang w:eastAsia="sk-SK"/>
        </w:rPr>
      </w:pPr>
    </w:p>
    <w:p w:rsidR="00835459" w:rsidRPr="00651CF2" w:rsidRDefault="00835459" w:rsidP="00835459">
      <w:pPr>
        <w:spacing w:after="0" w:line="240" w:lineRule="auto"/>
        <w:jc w:val="both"/>
        <w:rPr>
          <w:rFonts w:ascii="Times New Roman" w:eastAsia="Times New Roman" w:hAnsi="Times New Roman" w:cs="Times New Roman"/>
          <w:sz w:val="24"/>
          <w:szCs w:val="24"/>
          <w:u w:val="single"/>
          <w:lang w:eastAsia="sk-SK"/>
        </w:rPr>
      </w:pPr>
      <w:r w:rsidRPr="00651CF2">
        <w:rPr>
          <w:rFonts w:ascii="Times New Roman" w:eastAsia="Times New Roman" w:hAnsi="Times New Roman" w:cs="Times New Roman"/>
          <w:sz w:val="24"/>
          <w:szCs w:val="24"/>
          <w:u w:val="single"/>
          <w:lang w:eastAsia="sk-SK"/>
        </w:rPr>
        <w:lastRenderedPageBreak/>
        <w:t>K bodu 6</w:t>
      </w:r>
      <w:r w:rsidR="00252992">
        <w:rPr>
          <w:rFonts w:ascii="Times New Roman" w:eastAsia="Times New Roman" w:hAnsi="Times New Roman" w:cs="Times New Roman"/>
          <w:sz w:val="24"/>
          <w:szCs w:val="24"/>
          <w:u w:val="single"/>
          <w:lang w:eastAsia="sk-SK"/>
        </w:rPr>
        <w:t>8</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 81 ods. 1 písm. </w:t>
      </w:r>
      <w:r w:rsidR="00252992">
        <w:rPr>
          <w:rFonts w:ascii="Times New Roman" w:eastAsia="Times New Roman" w:hAnsi="Times New Roman" w:cs="Times New Roman"/>
          <w:sz w:val="24"/>
          <w:szCs w:val="24"/>
          <w:lang w:eastAsia="sk-SK"/>
        </w:rPr>
        <w:t>f</w:t>
      </w:r>
      <w:r w:rsidRPr="004B0E95">
        <w:rPr>
          <w:rFonts w:ascii="Times New Roman" w:eastAsia="Times New Roman" w:hAnsi="Times New Roman" w:cs="Times New Roman"/>
          <w:sz w:val="24"/>
          <w:szCs w:val="24"/>
          <w:lang w:eastAsia="sk-SK"/>
        </w:rPr>
        <w:t>)</w:t>
      </w:r>
    </w:p>
    <w:p w:rsidR="00835459" w:rsidRDefault="00835459" w:rsidP="00835459">
      <w:pPr>
        <w:pStyle w:val="Odsekzoznamu"/>
        <w:ind w:left="0" w:firstLine="0"/>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U</w:t>
      </w:r>
      <w:r>
        <w:rPr>
          <w:rFonts w:ascii="Times New Roman" w:eastAsia="Times New Roman" w:hAnsi="Times New Roman"/>
          <w:sz w:val="24"/>
          <w:szCs w:val="24"/>
          <w:lang w:eastAsia="sk-SK"/>
        </w:rPr>
        <w:t>stanovuje sa rozsah údajov o lektorovi</w:t>
      </w:r>
      <w:r w:rsidRPr="004B0E95">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ktor</w:t>
      </w:r>
      <w:r w:rsidRPr="004B0E95">
        <w:rPr>
          <w:rFonts w:ascii="Times New Roman" w:eastAsia="Times New Roman" w:hAnsi="Times New Roman"/>
          <w:sz w:val="24"/>
          <w:szCs w:val="24"/>
          <w:lang w:eastAsia="sk-SK"/>
        </w:rPr>
        <w:t xml:space="preserve">é musia byť </w:t>
      </w:r>
      <w:r>
        <w:rPr>
          <w:rFonts w:ascii="Times New Roman" w:eastAsia="Times New Roman" w:hAnsi="Times New Roman"/>
          <w:sz w:val="24"/>
          <w:szCs w:val="24"/>
          <w:lang w:eastAsia="sk-SK"/>
        </w:rPr>
        <w:t xml:space="preserve">uvedené v žiadosti o udelenie akreditácie. Uvedený rozsah osobných údajov o lektorovi je nevyhnutný na jeho jednoznačnú identifikáciu. </w:t>
      </w:r>
    </w:p>
    <w:p w:rsidR="00835459" w:rsidRDefault="00835459" w:rsidP="00835459">
      <w:pPr>
        <w:pStyle w:val="Odsekzoznamu"/>
        <w:ind w:left="0" w:firstLine="0"/>
        <w:rPr>
          <w:rFonts w:ascii="Times New Roman" w:eastAsia="Times New Roman" w:hAnsi="Times New Roman"/>
          <w:sz w:val="24"/>
          <w:szCs w:val="24"/>
          <w:lang w:eastAsia="sk-SK"/>
        </w:rPr>
      </w:pPr>
    </w:p>
    <w:p w:rsidR="00835459" w:rsidRDefault="00835459" w:rsidP="00835459">
      <w:pPr>
        <w:pStyle w:val="Odsekzoznamu"/>
        <w:ind w:left="0" w:firstLine="0"/>
        <w:rPr>
          <w:rFonts w:ascii="Times New Roman" w:eastAsia="Times New Roman" w:hAnsi="Times New Roman"/>
          <w:sz w:val="24"/>
          <w:szCs w:val="24"/>
          <w:u w:val="single"/>
          <w:lang w:eastAsia="sk-SK"/>
        </w:rPr>
      </w:pPr>
      <w:r w:rsidRPr="00651CF2">
        <w:rPr>
          <w:rFonts w:ascii="Times New Roman" w:eastAsia="Times New Roman" w:hAnsi="Times New Roman"/>
          <w:sz w:val="24"/>
          <w:szCs w:val="24"/>
          <w:u w:val="single"/>
          <w:lang w:eastAsia="sk-SK"/>
        </w:rPr>
        <w:t xml:space="preserve">K bodu </w:t>
      </w:r>
      <w:r w:rsidR="00252992">
        <w:rPr>
          <w:rFonts w:ascii="Times New Roman" w:eastAsia="Times New Roman" w:hAnsi="Times New Roman"/>
          <w:sz w:val="24"/>
          <w:szCs w:val="24"/>
          <w:u w:val="single"/>
          <w:lang w:eastAsia="sk-SK"/>
        </w:rPr>
        <w:t>69</w:t>
      </w:r>
    </w:p>
    <w:p w:rsidR="00835459" w:rsidRDefault="00835459" w:rsidP="00835459">
      <w:pPr>
        <w:pStyle w:val="Odsekzoznamu"/>
        <w:ind w:left="0" w:firstLine="0"/>
        <w:rPr>
          <w:rFonts w:ascii="Times New Roman" w:eastAsia="Times New Roman" w:hAnsi="Times New Roman"/>
          <w:sz w:val="24"/>
          <w:szCs w:val="24"/>
          <w:lang w:eastAsia="sk-SK"/>
        </w:rPr>
      </w:pPr>
      <w:r w:rsidRPr="00651CF2">
        <w:rPr>
          <w:rFonts w:ascii="Times New Roman" w:eastAsia="Times New Roman" w:hAnsi="Times New Roman"/>
          <w:sz w:val="24"/>
          <w:szCs w:val="24"/>
          <w:lang w:eastAsia="sk-SK"/>
        </w:rPr>
        <w:t>§ 81 ods. 2 písm. a)</w:t>
      </w:r>
    </w:p>
    <w:p w:rsidR="00835459" w:rsidRPr="00651CF2"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súvislosti so zavedením možnosti uskutočňovať odbornú prípravu dištančnou formou sa upravujú ustanovenia ohľadom školiaceho zariadenia. </w:t>
      </w:r>
    </w:p>
    <w:p w:rsidR="00835459" w:rsidRPr="004B0E95" w:rsidRDefault="00835459" w:rsidP="00835459">
      <w:pPr>
        <w:pStyle w:val="Odsekzoznamu"/>
        <w:ind w:left="0" w:firstLine="0"/>
        <w:rPr>
          <w:rFonts w:ascii="Times New Roman" w:eastAsia="Times New Roman" w:hAnsi="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7</w:t>
      </w:r>
      <w:r w:rsidR="00891DAF">
        <w:rPr>
          <w:rFonts w:ascii="Times New Roman" w:eastAsia="Times New Roman" w:hAnsi="Times New Roman" w:cs="Times New Roman"/>
          <w:sz w:val="24"/>
          <w:szCs w:val="24"/>
          <w:u w:val="single"/>
          <w:lang w:eastAsia="sk-SK"/>
        </w:rPr>
        <w:t>0</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81 ods. 2 písm. c)</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Vyšpecifikuje sa  požadovaný obsah koncepcie odbornej prípravy a učebného plánu. </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7</w:t>
      </w:r>
      <w:r w:rsidR="00891DAF">
        <w:rPr>
          <w:rFonts w:ascii="Times New Roman" w:eastAsia="Times New Roman" w:hAnsi="Times New Roman" w:cs="Times New Roman"/>
          <w:sz w:val="24"/>
          <w:szCs w:val="24"/>
          <w:u w:val="single"/>
          <w:lang w:eastAsia="sk-SK"/>
        </w:rPr>
        <w:t>1</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81 ods. 3</w:t>
      </w:r>
    </w:p>
    <w:p w:rsidR="00835459" w:rsidRPr="004B0E95" w:rsidRDefault="00835459" w:rsidP="00835459">
      <w:pPr>
        <w:jc w:val="both"/>
        <w:rPr>
          <w:rFonts w:ascii="Times New Roman" w:eastAsia="Times New Roman" w:hAnsi="Times New Roman" w:cs="Times New Roman"/>
          <w:sz w:val="24"/>
          <w:szCs w:val="24"/>
          <w:lang w:eastAsia="sk-SK"/>
        </w:rPr>
      </w:pPr>
      <w:r w:rsidRPr="004B0E95">
        <w:rPr>
          <w:rFonts w:ascii="Times New Roman" w:eastAsia="Times New Roman" w:hAnsi="Times New Roman"/>
          <w:sz w:val="24"/>
          <w:szCs w:val="24"/>
          <w:lang w:eastAsia="sk-SK"/>
        </w:rPr>
        <w:t>Legislatívno-technická úprava súvisiaca so zánikom povinnosti u</w:t>
      </w:r>
      <w:r w:rsidR="00891DAF">
        <w:rPr>
          <w:rFonts w:ascii="Times New Roman" w:eastAsia="Times New Roman" w:hAnsi="Times New Roman"/>
          <w:sz w:val="24"/>
          <w:szCs w:val="24"/>
          <w:lang w:eastAsia="sk-SK"/>
        </w:rPr>
        <w:t>stanoviť zodpovedného zástupcu.</w:t>
      </w: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Pr>
          <w:rFonts w:ascii="Times New Roman" w:eastAsia="Times New Roman" w:hAnsi="Times New Roman" w:cs="Times New Roman"/>
          <w:sz w:val="24"/>
          <w:szCs w:val="24"/>
          <w:u w:val="single"/>
          <w:lang w:eastAsia="sk-SK"/>
        </w:rPr>
        <w:t>7</w:t>
      </w:r>
      <w:r w:rsidR="00891DAF">
        <w:rPr>
          <w:rFonts w:ascii="Times New Roman" w:eastAsia="Times New Roman" w:hAnsi="Times New Roman" w:cs="Times New Roman"/>
          <w:sz w:val="24"/>
          <w:szCs w:val="24"/>
          <w:u w:val="single"/>
          <w:lang w:eastAsia="sk-SK"/>
        </w:rPr>
        <w:t>2</w:t>
      </w:r>
    </w:p>
    <w:p w:rsidR="00891DAF" w:rsidRPr="00891DAF" w:rsidRDefault="00891DAF" w:rsidP="00835459">
      <w:pPr>
        <w:spacing w:after="0" w:line="240" w:lineRule="auto"/>
        <w:jc w:val="both"/>
        <w:rPr>
          <w:rFonts w:ascii="Times New Roman" w:eastAsia="Times New Roman" w:hAnsi="Times New Roman" w:cs="Times New Roman"/>
          <w:sz w:val="24"/>
          <w:szCs w:val="24"/>
          <w:lang w:eastAsia="sk-SK"/>
        </w:rPr>
      </w:pPr>
      <w:r w:rsidRPr="00891DAF">
        <w:rPr>
          <w:rFonts w:ascii="Times New Roman" w:eastAsia="Times New Roman" w:hAnsi="Times New Roman" w:cs="Times New Roman"/>
          <w:sz w:val="24"/>
          <w:szCs w:val="24"/>
          <w:lang w:eastAsia="sk-SK"/>
        </w:rPr>
        <w:t>§ 81 ods. 3</w:t>
      </w:r>
    </w:p>
    <w:p w:rsidR="00891DAF" w:rsidRPr="00891DAF" w:rsidRDefault="00891DAF" w:rsidP="00835459">
      <w:pPr>
        <w:spacing w:after="0" w:line="240" w:lineRule="auto"/>
        <w:jc w:val="both"/>
        <w:rPr>
          <w:rFonts w:ascii="Times New Roman" w:eastAsia="Times New Roman" w:hAnsi="Times New Roman" w:cs="Times New Roman"/>
          <w:sz w:val="24"/>
          <w:szCs w:val="24"/>
          <w:lang w:eastAsia="sk-SK"/>
        </w:rPr>
      </w:pPr>
      <w:r w:rsidRPr="00891DAF">
        <w:rPr>
          <w:rFonts w:ascii="Times New Roman" w:eastAsia="Times New Roman" w:hAnsi="Times New Roman" w:cs="Times New Roman"/>
          <w:sz w:val="24"/>
          <w:szCs w:val="24"/>
          <w:lang w:eastAsia="sk-SK"/>
        </w:rPr>
        <w:t>V súvislosti so zavedením možnosti uskutočňovať odbornú prípravu dištančnou formou sa upravujú ustanovenia ohľadom školiaceho zariadenia.</w:t>
      </w:r>
    </w:p>
    <w:p w:rsidR="00835459" w:rsidRDefault="00835459" w:rsidP="00835459">
      <w:pPr>
        <w:spacing w:after="0" w:line="240" w:lineRule="auto"/>
        <w:jc w:val="both"/>
        <w:rPr>
          <w:rFonts w:ascii="Times New Roman" w:eastAsia="Times New Roman" w:hAnsi="Times New Roman" w:cs="Times New Roman"/>
          <w:sz w:val="24"/>
          <w:szCs w:val="24"/>
          <w:lang w:eastAsia="sk-SK"/>
        </w:rPr>
      </w:pPr>
    </w:p>
    <w:p w:rsidR="00835459" w:rsidRDefault="00835459" w:rsidP="00835459">
      <w:pPr>
        <w:spacing w:after="0" w:line="240" w:lineRule="auto"/>
        <w:jc w:val="both"/>
        <w:rPr>
          <w:rFonts w:ascii="Times New Roman" w:eastAsia="Times New Roman" w:hAnsi="Times New Roman" w:cs="Times New Roman"/>
          <w:sz w:val="24"/>
          <w:szCs w:val="24"/>
          <w:u w:val="single"/>
          <w:lang w:eastAsia="sk-SK"/>
        </w:rPr>
      </w:pPr>
      <w:r w:rsidRPr="004B0E95">
        <w:rPr>
          <w:rFonts w:ascii="Times New Roman" w:eastAsia="Times New Roman" w:hAnsi="Times New Roman" w:cs="Times New Roman"/>
          <w:sz w:val="24"/>
          <w:szCs w:val="24"/>
          <w:u w:val="single"/>
          <w:lang w:eastAsia="sk-SK"/>
        </w:rPr>
        <w:t xml:space="preserve">K bodu </w:t>
      </w:r>
      <w:r w:rsidR="00891DAF">
        <w:rPr>
          <w:rFonts w:ascii="Times New Roman" w:eastAsia="Times New Roman" w:hAnsi="Times New Roman" w:cs="Times New Roman"/>
          <w:sz w:val="24"/>
          <w:szCs w:val="24"/>
          <w:u w:val="single"/>
          <w:lang w:eastAsia="sk-SK"/>
        </w:rPr>
        <w:t>73</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81 ods. 4</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súvislosti so zavedením možnosti uskutočňovať odbornú prípravu dištančnou formou sa upravujú ustanovenia ohľadom školiaceho zariadenia. </w:t>
      </w:r>
    </w:p>
    <w:p w:rsidR="00891DAF" w:rsidRDefault="00891DAF" w:rsidP="00835459">
      <w:pPr>
        <w:spacing w:after="0" w:line="240" w:lineRule="auto"/>
        <w:jc w:val="both"/>
        <w:rPr>
          <w:rFonts w:ascii="Times New Roman" w:eastAsia="Times New Roman" w:hAnsi="Times New Roman" w:cs="Times New Roman"/>
          <w:sz w:val="24"/>
          <w:szCs w:val="24"/>
          <w:lang w:eastAsia="sk-SK"/>
        </w:rPr>
      </w:pPr>
    </w:p>
    <w:p w:rsidR="00891DAF" w:rsidRPr="00891DAF" w:rsidRDefault="00891DAF" w:rsidP="00835459">
      <w:pPr>
        <w:spacing w:after="0" w:line="240" w:lineRule="auto"/>
        <w:jc w:val="both"/>
        <w:rPr>
          <w:rFonts w:ascii="Times New Roman" w:eastAsia="Times New Roman" w:hAnsi="Times New Roman" w:cs="Times New Roman"/>
          <w:sz w:val="24"/>
          <w:szCs w:val="24"/>
          <w:u w:val="single"/>
          <w:lang w:eastAsia="sk-SK"/>
        </w:rPr>
      </w:pPr>
      <w:r w:rsidRPr="00891DAF">
        <w:rPr>
          <w:rFonts w:ascii="Times New Roman" w:eastAsia="Times New Roman" w:hAnsi="Times New Roman" w:cs="Times New Roman"/>
          <w:sz w:val="24"/>
          <w:szCs w:val="24"/>
          <w:u w:val="single"/>
          <w:lang w:eastAsia="sk-SK"/>
        </w:rPr>
        <w:t>K bodu 74</w:t>
      </w:r>
    </w:p>
    <w:p w:rsidR="00891DAF" w:rsidRDefault="00891DAF" w:rsidP="00891DA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83</w:t>
      </w:r>
    </w:p>
    <w:p w:rsidR="00891DAF" w:rsidRPr="004B0E95" w:rsidRDefault="00891DAF" w:rsidP="00891DAF">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Odsek 1:</w:t>
      </w:r>
    </w:p>
    <w:p w:rsidR="00891DAF" w:rsidRDefault="00891DAF" w:rsidP="00891DAF">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Účelom tejto zmeny je zjednotiť formu a obsah ozná</w:t>
      </w:r>
      <w:r>
        <w:rPr>
          <w:rFonts w:ascii="Times New Roman" w:eastAsia="Times New Roman" w:hAnsi="Times New Roman" w:cs="Times New Roman"/>
          <w:sz w:val="24"/>
          <w:szCs w:val="24"/>
          <w:lang w:eastAsia="sk-SK"/>
        </w:rPr>
        <w:t>menia začatia odbornej prípravy</w:t>
      </w:r>
      <w:r w:rsidRPr="004B0E95">
        <w:rPr>
          <w:rFonts w:ascii="Times New Roman" w:eastAsia="Times New Roman" w:hAnsi="Times New Roman" w:cs="Times New Roman"/>
          <w:sz w:val="24"/>
          <w:szCs w:val="24"/>
          <w:lang w:eastAsia="sk-SK"/>
        </w:rPr>
        <w:t xml:space="preserve"> a</w:t>
      </w:r>
      <w:r>
        <w:rPr>
          <w:rFonts w:ascii="Times New Roman" w:eastAsia="Times New Roman" w:hAnsi="Times New Roman" w:cs="Times New Roman"/>
          <w:sz w:val="24"/>
          <w:szCs w:val="24"/>
          <w:lang w:eastAsia="sk-SK"/>
        </w:rPr>
        <w:t> </w:t>
      </w:r>
      <w:r w:rsidRPr="004B0E95">
        <w:rPr>
          <w:rFonts w:ascii="Times New Roman" w:eastAsia="Times New Roman" w:hAnsi="Times New Roman" w:cs="Times New Roman"/>
          <w:sz w:val="24"/>
          <w:szCs w:val="24"/>
          <w:lang w:eastAsia="sk-SK"/>
        </w:rPr>
        <w:t>predkladaných zoznamov osôb, ktoré sú prihlásené akreditova</w:t>
      </w:r>
      <w:r>
        <w:rPr>
          <w:rFonts w:ascii="Times New Roman" w:eastAsia="Times New Roman" w:hAnsi="Times New Roman" w:cs="Times New Roman"/>
          <w:sz w:val="24"/>
          <w:szCs w:val="24"/>
          <w:lang w:eastAsia="sk-SK"/>
        </w:rPr>
        <w:t>nou osobou na odbornú prípravu.</w:t>
      </w:r>
      <w:r w:rsidR="00FB2429">
        <w:rPr>
          <w:rFonts w:ascii="Times New Roman" w:eastAsia="Times New Roman" w:hAnsi="Times New Roman" w:cs="Times New Roman"/>
          <w:sz w:val="24"/>
          <w:szCs w:val="24"/>
          <w:lang w:eastAsia="sk-SK"/>
        </w:rPr>
        <w:t xml:space="preserve"> V prípade vykonávania odbornej prípravy prezenčnou alebo kombinovanou formou bude oznámenie obsahovať aj miesto jej konania na účely vykonávania fyzickej kontroly. V prípade vykonávania odbornej prípravy aspoň čiastočne dištančne bude potrebné oznámiť podrobnosti o spôsobe sprístupnenia k onl</w:t>
      </w:r>
      <w:r w:rsidR="00092000">
        <w:rPr>
          <w:rFonts w:ascii="Times New Roman" w:eastAsia="Times New Roman" w:hAnsi="Times New Roman" w:cs="Times New Roman"/>
          <w:sz w:val="24"/>
          <w:szCs w:val="24"/>
          <w:lang w:eastAsia="sk-SK"/>
        </w:rPr>
        <w:t>ine príprave na účely kontroly.</w:t>
      </w:r>
    </w:p>
    <w:p w:rsidR="00092000" w:rsidRPr="004B0E95" w:rsidRDefault="00092000" w:rsidP="00891DAF">
      <w:pPr>
        <w:spacing w:after="0" w:line="240" w:lineRule="auto"/>
        <w:jc w:val="both"/>
        <w:rPr>
          <w:rFonts w:ascii="Times New Roman" w:eastAsia="Times New Roman" w:hAnsi="Times New Roman" w:cs="Times New Roman"/>
          <w:sz w:val="24"/>
          <w:szCs w:val="24"/>
          <w:lang w:eastAsia="sk-SK"/>
        </w:rPr>
      </w:pPr>
    </w:p>
    <w:p w:rsidR="00891DAF" w:rsidRDefault="00891DAF"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Odsek 2:</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Mení sa spôsob evidencie osôb zúčastňujúcich sa odbornej prípravy akreditovanou osobou. Upúšťa sa od vydávania záznamníku každej osobe, ktorý bude nahradený evidenciou osôb a priebehu odbornej prípravy, do ktorej sa budú zapisovať všetky osoby prihlásené na odbornú prípravu a priebeh odbornej prípravy. Týmto zároveň odpadá pre akreditovanú osobu povinnosť viesť samostatnú evidenciu osôb a evidenciu záznamníkov, čím sa zmenší jej administratívna zaťaženosť. Zároveň sa vyšpecifikuje obsah požadovaných údajov v evidencii osôb a priebehu odbornej prípravy</w:t>
      </w:r>
      <w:r>
        <w:rPr>
          <w:rFonts w:ascii="Times New Roman" w:eastAsia="Times New Roman" w:hAnsi="Times New Roman" w:cs="Times New Roman"/>
          <w:sz w:val="24"/>
          <w:szCs w:val="24"/>
          <w:lang w:eastAsia="sk-SK"/>
        </w:rPr>
        <w:t xml:space="preserve"> a spôsob zápisu týchto údajov.</w:t>
      </w:r>
    </w:p>
    <w:p w:rsidR="00891DAF" w:rsidRPr="004B0E95" w:rsidRDefault="00891DAF" w:rsidP="00835459">
      <w:pPr>
        <w:spacing w:after="0" w:line="240" w:lineRule="auto"/>
        <w:jc w:val="both"/>
        <w:rPr>
          <w:rFonts w:ascii="Times New Roman" w:eastAsia="Times New Roman" w:hAnsi="Times New Roman" w:cs="Times New Roman"/>
          <w:sz w:val="24"/>
          <w:szCs w:val="24"/>
          <w:lang w:eastAsia="sk-SK"/>
        </w:rPr>
      </w:pPr>
    </w:p>
    <w:p w:rsidR="00914C18" w:rsidRDefault="00914C18" w:rsidP="00835459">
      <w:pPr>
        <w:spacing w:after="0" w:line="240" w:lineRule="auto"/>
        <w:jc w:val="both"/>
        <w:rPr>
          <w:rFonts w:ascii="Times New Roman" w:eastAsia="Times New Roman" w:hAnsi="Times New Roman" w:cs="Times New Roman"/>
          <w:sz w:val="24"/>
          <w:szCs w:val="24"/>
          <w:lang w:eastAsia="sk-SK"/>
        </w:rPr>
      </w:pPr>
    </w:p>
    <w:p w:rsidR="00914C18" w:rsidRDefault="00914C18"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91DAF"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Odsek 3:</w:t>
      </w:r>
    </w:p>
    <w:p w:rsidR="00835459" w:rsidRPr="004B0E95" w:rsidRDefault="00891DAF" w:rsidP="00835459">
      <w:pPr>
        <w:pStyle w:val="Odsekzoznamu"/>
        <w:ind w:left="0" w:firstLine="0"/>
        <w:rPr>
          <w:rFonts w:ascii="Times New Roman" w:eastAsia="Times New Roman" w:hAnsi="Times New Roman"/>
          <w:sz w:val="24"/>
          <w:szCs w:val="24"/>
          <w:lang w:eastAsia="sk-SK"/>
        </w:rPr>
      </w:pPr>
      <w:r>
        <w:rPr>
          <w:rFonts w:ascii="Times New Roman" w:eastAsia="Times New Roman" w:hAnsi="Times New Roman"/>
          <w:sz w:val="24"/>
          <w:szCs w:val="24"/>
          <w:lang w:eastAsia="sk-SK"/>
        </w:rPr>
        <w:t>Ustanovuje s</w:t>
      </w:r>
      <w:r w:rsidR="00835459" w:rsidRPr="004B0E95">
        <w:rPr>
          <w:rFonts w:ascii="Times New Roman" w:eastAsia="Times New Roman" w:hAnsi="Times New Roman"/>
          <w:sz w:val="24"/>
          <w:szCs w:val="24"/>
          <w:lang w:eastAsia="sk-SK"/>
        </w:rPr>
        <w:t>a povinnosť akreditovanej osoby vydať osobe po skončení odbornej prípravy v celom rozsahu osvedčenie o absolvovaní odbornej prípravy.</w:t>
      </w:r>
    </w:p>
    <w:p w:rsidR="00835459" w:rsidRPr="004B0E95" w:rsidRDefault="00835459" w:rsidP="00835459">
      <w:pPr>
        <w:pStyle w:val="Odsekzoznamu"/>
        <w:ind w:left="0" w:firstLine="0"/>
        <w:rPr>
          <w:rFonts w:ascii="Times New Roman" w:eastAsia="Times New Roman" w:hAnsi="Times New Roman"/>
          <w:sz w:val="24"/>
          <w:szCs w:val="24"/>
          <w:lang w:eastAsia="sk-SK"/>
        </w:rPr>
      </w:pPr>
    </w:p>
    <w:p w:rsidR="008B2C79" w:rsidRDefault="008B2C79" w:rsidP="0083545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Odsek 4:</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Zavádza sa povinnosť pre akreditovanú osobu</w:t>
      </w:r>
      <w:r>
        <w:rPr>
          <w:rFonts w:ascii="Times New Roman" w:eastAsia="Times New Roman" w:hAnsi="Times New Roman" w:cs="Times New Roman"/>
          <w:sz w:val="24"/>
          <w:szCs w:val="24"/>
          <w:lang w:eastAsia="sk-SK"/>
        </w:rPr>
        <w:t>,</w:t>
      </w:r>
      <w:r w:rsidRPr="004B0E95">
        <w:rPr>
          <w:rFonts w:ascii="Times New Roman" w:eastAsia="Times New Roman" w:hAnsi="Times New Roman" w:cs="Times New Roman"/>
          <w:sz w:val="24"/>
          <w:szCs w:val="24"/>
          <w:lang w:eastAsia="sk-SK"/>
        </w:rPr>
        <w:t xml:space="preserve"> akým spôsobom a kde má viesť evidenciu osô</w:t>
      </w:r>
      <w:r>
        <w:rPr>
          <w:rFonts w:ascii="Times New Roman" w:eastAsia="Times New Roman" w:hAnsi="Times New Roman" w:cs="Times New Roman"/>
          <w:sz w:val="24"/>
          <w:szCs w:val="24"/>
          <w:lang w:eastAsia="sk-SK"/>
        </w:rPr>
        <w:t>b a priebehu odbornej prípravy, ktorá bude vedená napríklad za účelom prípadnej následnej kontroly. Lehota uchovávania je ustanovená vzhľadom na lehotu, počas ktorej je možnosť uloženia sankcie pre akreditovanú osobu. Rozsah údajov je zhodný s rozsahom údajov uvádzaným v oznámení podľa § 83 ods. 1 za účelom jednoznačnej identifikácie.</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8B2C79" w:rsidRDefault="008B2C79" w:rsidP="00835459">
      <w:pPr>
        <w:spacing w:after="0" w:line="240" w:lineRule="auto"/>
        <w:jc w:val="both"/>
        <w:rPr>
          <w:rFonts w:ascii="Times New Roman" w:eastAsia="Times New Roman" w:hAnsi="Times New Roman" w:cs="Times New Roman"/>
          <w:sz w:val="24"/>
          <w:szCs w:val="24"/>
          <w:u w:val="single"/>
          <w:lang w:eastAsia="sk-SK"/>
        </w:rPr>
      </w:pPr>
      <w:r w:rsidRPr="008B2C79">
        <w:rPr>
          <w:rFonts w:ascii="Times New Roman" w:eastAsia="Times New Roman" w:hAnsi="Times New Roman" w:cs="Times New Roman"/>
          <w:sz w:val="24"/>
          <w:szCs w:val="24"/>
          <w:lang w:eastAsia="sk-SK"/>
        </w:rPr>
        <w:t>O</w:t>
      </w:r>
      <w:r w:rsidR="00835459" w:rsidRPr="004B0E95">
        <w:rPr>
          <w:rFonts w:ascii="Times New Roman" w:eastAsia="Times New Roman" w:hAnsi="Times New Roman" w:cs="Times New Roman"/>
          <w:sz w:val="24"/>
          <w:szCs w:val="24"/>
          <w:lang w:eastAsia="sk-SK"/>
        </w:rPr>
        <w:t>ds</w:t>
      </w:r>
      <w:r>
        <w:rPr>
          <w:rFonts w:ascii="Times New Roman" w:eastAsia="Times New Roman" w:hAnsi="Times New Roman" w:cs="Times New Roman"/>
          <w:sz w:val="24"/>
          <w:szCs w:val="24"/>
          <w:lang w:eastAsia="sk-SK"/>
        </w:rPr>
        <w:t>ek</w:t>
      </w:r>
      <w:r w:rsidR="00835459" w:rsidRPr="004B0E95">
        <w:rPr>
          <w:rFonts w:ascii="Times New Roman" w:eastAsia="Times New Roman" w:hAnsi="Times New Roman" w:cs="Times New Roman"/>
          <w:sz w:val="24"/>
          <w:szCs w:val="24"/>
          <w:lang w:eastAsia="sk-SK"/>
        </w:rPr>
        <w:t xml:space="preserve"> 5</w:t>
      </w:r>
      <w:r>
        <w:rPr>
          <w:rFonts w:ascii="Times New Roman" w:eastAsia="Times New Roman" w:hAnsi="Times New Roman" w:cs="Times New Roman"/>
          <w:sz w:val="24"/>
          <w:szCs w:val="24"/>
          <w:lang w:eastAsia="sk-SK"/>
        </w:rPr>
        <w:t>:</w:t>
      </w:r>
    </w:p>
    <w:p w:rsidR="00835459" w:rsidRPr="004B0E95"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 xml:space="preserve">Z dôvodu zavedenia evidencie osôb a priebehu odbornej prípravy ako novej evidencie osôb prihlásených na odbornú prípravu, obsahu a priebehu výučby, sa dopĺňa splnomocňovacie ustanovenie, ktoré určí jednotný vzor evidencie osôb a priebehu odbornej prípravy a spôsob jej vyplňovania vo vyhláške.   </w:t>
      </w:r>
    </w:p>
    <w:p w:rsidR="00835459" w:rsidRPr="004B0E95" w:rsidRDefault="00835459" w:rsidP="00835459">
      <w:pPr>
        <w:spacing w:after="0" w:line="240" w:lineRule="auto"/>
        <w:jc w:val="both"/>
        <w:rPr>
          <w:rFonts w:ascii="Times New Roman" w:hAnsi="Times New Roman" w:cs="Times New Roman"/>
          <w:sz w:val="24"/>
          <w:szCs w:val="24"/>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 xml:space="preserve">K bodu </w:t>
      </w:r>
      <w:r w:rsidR="008B2C79">
        <w:rPr>
          <w:rFonts w:ascii="Times New Roman" w:hAnsi="Times New Roman" w:cs="Times New Roman"/>
          <w:sz w:val="24"/>
          <w:szCs w:val="24"/>
          <w:u w:val="single"/>
        </w:rPr>
        <w:t>75</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86 ods. 2</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eastAsia="Times New Roman" w:hAnsi="Times New Roman"/>
          <w:sz w:val="24"/>
          <w:szCs w:val="24"/>
          <w:lang w:eastAsia="sk-SK"/>
        </w:rPr>
        <w:t>Z dôvodu aplikačnej praxe vyplynula potreba rozšíriť o</w:t>
      </w:r>
      <w:r w:rsidRPr="004B0E95">
        <w:rPr>
          <w:rFonts w:ascii="Times New Roman" w:hAnsi="Times New Roman" w:cs="Times New Roman"/>
          <w:sz w:val="24"/>
          <w:szCs w:val="24"/>
        </w:rPr>
        <w:t xml:space="preserve">právnenie kontrolóra aj na vykonávanie kontroly činnosti. Pri doterajšom stave kontrolór vykonávajúci kontrolu činnosti nemôže využívať oprávnenie podľa § 86 ods. 2 písm. a) a ak napr. nastal dôvod pre zabezpečenie dôkazu, musel ukončiť kontrolu činnosti  a začať vykonávať štátny dozor alebo kontrolu. Je teda neúčelné a neefektívne, aby kontrolór  pri výkone kontroly činnosti nemohol využívať uvedené oprávnenie, ktoré má pri výkone štátneho dozoru alebo kontroly. </w:t>
      </w:r>
    </w:p>
    <w:p w:rsidR="00835459" w:rsidRPr="004B0E95" w:rsidRDefault="00835459" w:rsidP="00835459">
      <w:pPr>
        <w:spacing w:after="0" w:line="240" w:lineRule="auto"/>
        <w:jc w:val="both"/>
        <w:rPr>
          <w:rFonts w:ascii="Times New Roman" w:hAnsi="Times New Roman" w:cs="Times New Roman"/>
          <w:sz w:val="24"/>
          <w:szCs w:val="24"/>
          <w:u w:val="single"/>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 xml:space="preserve">K bodu </w:t>
      </w:r>
      <w:r w:rsidR="008B2C79">
        <w:rPr>
          <w:rFonts w:ascii="Times New Roman" w:hAnsi="Times New Roman" w:cs="Times New Roman"/>
          <w:sz w:val="24"/>
          <w:szCs w:val="24"/>
          <w:u w:val="single"/>
        </w:rPr>
        <w:t>76</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89 ods. 1</w:t>
      </w:r>
    </w:p>
    <w:p w:rsidR="00835459" w:rsidRPr="004B0E95" w:rsidRDefault="00835459" w:rsidP="00835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Zmenou sa o</w:t>
      </w:r>
      <w:r w:rsidRPr="004B0E95">
        <w:rPr>
          <w:rFonts w:ascii="Times New Roman" w:hAnsi="Times New Roman" w:cs="Times New Roman"/>
          <w:sz w:val="24"/>
          <w:szCs w:val="24"/>
        </w:rPr>
        <w:t xml:space="preserve">dstráni možnosť subjektívneho rozhodovania orgánov dozoru a kontroly, nakoľko sa doterajšie </w:t>
      </w:r>
      <w:r>
        <w:rPr>
          <w:rFonts w:ascii="Times New Roman" w:hAnsi="Times New Roman" w:cs="Times New Roman"/>
          <w:sz w:val="24"/>
          <w:szCs w:val="24"/>
        </w:rPr>
        <w:t>oprávnenie mení na povinnosť.</w:t>
      </w:r>
    </w:p>
    <w:p w:rsidR="00835459" w:rsidRPr="004B0E95" w:rsidRDefault="00835459" w:rsidP="00835459">
      <w:pPr>
        <w:spacing w:after="0" w:line="240" w:lineRule="auto"/>
        <w:jc w:val="both"/>
        <w:rPr>
          <w:rFonts w:ascii="Times New Roman" w:hAnsi="Times New Roman" w:cs="Times New Roman"/>
          <w:sz w:val="24"/>
          <w:szCs w:val="24"/>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 xml:space="preserve">K bodu </w:t>
      </w:r>
      <w:r w:rsidR="008B2C79">
        <w:rPr>
          <w:rFonts w:ascii="Times New Roman" w:hAnsi="Times New Roman" w:cs="Times New Roman"/>
          <w:sz w:val="24"/>
          <w:szCs w:val="24"/>
          <w:u w:val="single"/>
        </w:rPr>
        <w:t>77</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89 ods. 1 písm. b)</w:t>
      </w:r>
    </w:p>
    <w:p w:rsidR="00835459" w:rsidRPr="004B0E95" w:rsidRDefault="00835459" w:rsidP="00835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Upravuje sa postup osoby</w:t>
      </w:r>
      <w:r w:rsidRPr="004B0E95">
        <w:rPr>
          <w:rFonts w:ascii="Times New Roman" w:hAnsi="Times New Roman" w:cs="Times New Roman"/>
          <w:sz w:val="24"/>
          <w:szCs w:val="24"/>
        </w:rPr>
        <w:t xml:space="preserve">, ktorá na základe rozhodnutia orgánu dozoru alebo kontroly odovzdala preukaz odbornej spôsobilosti a ktorá nadobudla opätovne spoľahlivosť po konečnom rozhodnutí vo veci podľa osobitného predpisu, </w:t>
      </w:r>
      <w:r>
        <w:rPr>
          <w:rFonts w:ascii="Times New Roman" w:hAnsi="Times New Roman" w:cs="Times New Roman"/>
          <w:sz w:val="24"/>
          <w:szCs w:val="24"/>
        </w:rPr>
        <w:t>na získanie pr</w:t>
      </w:r>
      <w:r w:rsidRPr="004B0E95">
        <w:rPr>
          <w:rFonts w:ascii="Times New Roman" w:hAnsi="Times New Roman" w:cs="Times New Roman"/>
          <w:sz w:val="24"/>
          <w:szCs w:val="24"/>
        </w:rPr>
        <w:t xml:space="preserve">eukazu odbornej spôsobilosti. </w:t>
      </w:r>
    </w:p>
    <w:p w:rsidR="00835459" w:rsidRPr="004B0E95" w:rsidRDefault="00835459" w:rsidP="00835459">
      <w:pPr>
        <w:spacing w:after="0" w:line="240" w:lineRule="auto"/>
        <w:jc w:val="both"/>
        <w:rPr>
          <w:rFonts w:ascii="Times New Roman" w:hAnsi="Times New Roman" w:cs="Times New Roman"/>
          <w:sz w:val="24"/>
          <w:szCs w:val="24"/>
        </w:rPr>
      </w:pPr>
    </w:p>
    <w:p w:rsidR="00835459" w:rsidRPr="004B0E95"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 xml:space="preserve">K bodu </w:t>
      </w:r>
      <w:r w:rsidR="008B2C79">
        <w:rPr>
          <w:rFonts w:ascii="Times New Roman" w:hAnsi="Times New Roman" w:cs="Times New Roman"/>
          <w:sz w:val="24"/>
          <w:szCs w:val="24"/>
          <w:u w:val="single"/>
        </w:rPr>
        <w:t>78</w:t>
      </w:r>
      <w:r w:rsidRPr="004B0E95">
        <w:rPr>
          <w:rFonts w:ascii="Times New Roman" w:hAnsi="Times New Roman" w:cs="Times New Roman"/>
          <w:sz w:val="24"/>
          <w:szCs w:val="24"/>
          <w:u w:val="single"/>
        </w:rPr>
        <w:t xml:space="preserve"> </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 89 ods. 3</w:t>
      </w:r>
    </w:p>
    <w:p w:rsidR="00835459" w:rsidRPr="004B0E95" w:rsidRDefault="00835459" w:rsidP="00835459">
      <w:pPr>
        <w:spacing w:after="0" w:line="240" w:lineRule="auto"/>
        <w:jc w:val="both"/>
        <w:rPr>
          <w:rFonts w:ascii="Times New Roman" w:hAnsi="Times New Roman" w:cs="Times New Roman"/>
          <w:sz w:val="24"/>
          <w:szCs w:val="24"/>
        </w:rPr>
      </w:pPr>
      <w:r w:rsidRPr="004B0E95">
        <w:rPr>
          <w:rFonts w:ascii="Times New Roman" w:hAnsi="Times New Roman" w:cs="Times New Roman"/>
          <w:sz w:val="24"/>
          <w:szCs w:val="24"/>
        </w:rPr>
        <w:t>Z dôvodu hospodárnosti a zbytočného zaťažovania účastníkov konania a iných osôb je neúčelné, aby orgány kontroly nemohli rozhodovať aj v prípadoch, pokiaľ im budú d</w:t>
      </w:r>
      <w:r>
        <w:rPr>
          <w:rFonts w:ascii="Times New Roman" w:hAnsi="Times New Roman" w:cs="Times New Roman"/>
          <w:sz w:val="24"/>
          <w:szCs w:val="24"/>
        </w:rPr>
        <w:t>ôvody na rozhodnutie  oznámené.</w:t>
      </w:r>
    </w:p>
    <w:p w:rsidR="00835459" w:rsidRPr="004B0E95" w:rsidRDefault="00835459" w:rsidP="00835459">
      <w:pPr>
        <w:spacing w:after="0" w:line="240" w:lineRule="auto"/>
        <w:jc w:val="both"/>
        <w:rPr>
          <w:rFonts w:ascii="Times New Roman" w:hAnsi="Times New Roman" w:cs="Times New Roman"/>
          <w:sz w:val="24"/>
          <w:szCs w:val="24"/>
        </w:rPr>
      </w:pPr>
    </w:p>
    <w:p w:rsidR="008B2C79"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u w:val="single"/>
        </w:rPr>
        <w:t xml:space="preserve">K bodu </w:t>
      </w:r>
      <w:r w:rsidR="008B2C79">
        <w:rPr>
          <w:rFonts w:ascii="Times New Roman" w:hAnsi="Times New Roman" w:cs="Times New Roman"/>
          <w:sz w:val="24"/>
          <w:szCs w:val="24"/>
          <w:u w:val="single"/>
        </w:rPr>
        <w:t>79</w:t>
      </w:r>
    </w:p>
    <w:p w:rsidR="00835459" w:rsidRPr="008B2C79" w:rsidRDefault="00835459" w:rsidP="00835459">
      <w:pPr>
        <w:spacing w:after="0" w:line="240" w:lineRule="auto"/>
        <w:jc w:val="both"/>
        <w:rPr>
          <w:rFonts w:ascii="Times New Roman" w:hAnsi="Times New Roman" w:cs="Times New Roman"/>
          <w:sz w:val="24"/>
          <w:szCs w:val="24"/>
          <w:u w:val="single"/>
        </w:rPr>
      </w:pPr>
      <w:r w:rsidRPr="004B0E95">
        <w:rPr>
          <w:rFonts w:ascii="Times New Roman" w:hAnsi="Times New Roman" w:cs="Times New Roman"/>
          <w:sz w:val="24"/>
          <w:szCs w:val="24"/>
        </w:rPr>
        <w:t>§ 91 ods. 1 písm. f)</w:t>
      </w:r>
    </w:p>
    <w:p w:rsidR="00835459" w:rsidRPr="004B0E95" w:rsidRDefault="00835459" w:rsidP="00835459">
      <w:pPr>
        <w:pStyle w:val="Odsekzoznamu"/>
        <w:ind w:left="0" w:firstLine="0"/>
        <w:rPr>
          <w:rFonts w:ascii="Times New Roman" w:eastAsia="Times New Roman" w:hAnsi="Times New Roman"/>
          <w:sz w:val="24"/>
          <w:szCs w:val="24"/>
          <w:lang w:eastAsia="sk-SK"/>
        </w:rPr>
      </w:pPr>
      <w:r>
        <w:rPr>
          <w:rFonts w:ascii="Times New Roman" w:eastAsia="Times New Roman" w:hAnsi="Times New Roman"/>
          <w:sz w:val="24"/>
          <w:szCs w:val="24"/>
          <w:lang w:eastAsia="sk-SK"/>
        </w:rPr>
        <w:t>Zavádza</w:t>
      </w:r>
      <w:r w:rsidRPr="004B0E95">
        <w:rPr>
          <w:rFonts w:ascii="Times New Roman" w:eastAsia="Times New Roman" w:hAnsi="Times New Roman"/>
          <w:sz w:val="24"/>
          <w:szCs w:val="24"/>
          <w:lang w:eastAsia="sk-SK"/>
        </w:rPr>
        <w:t xml:space="preserve"> sa nový správny delikt súvisiaci s obsahom správy o činnosti bezpečnostných služieb predloženej prevádzkovateľom</w:t>
      </w:r>
      <w:r>
        <w:rPr>
          <w:rFonts w:ascii="Times New Roman" w:eastAsia="Times New Roman" w:hAnsi="Times New Roman"/>
          <w:sz w:val="24"/>
          <w:szCs w:val="24"/>
          <w:lang w:eastAsia="sk-SK"/>
        </w:rPr>
        <w:t>.</w:t>
      </w:r>
    </w:p>
    <w:p w:rsidR="00835459" w:rsidRPr="004B0E95" w:rsidRDefault="00835459" w:rsidP="00835459">
      <w:pPr>
        <w:pStyle w:val="Odsekzoznamu"/>
        <w:ind w:left="0" w:firstLine="0"/>
        <w:rPr>
          <w:rFonts w:ascii="Times New Roman" w:eastAsia="Times New Roman" w:hAnsi="Times New Roman"/>
          <w:sz w:val="24"/>
          <w:szCs w:val="24"/>
          <w:lang w:eastAsia="sk-SK"/>
        </w:rPr>
      </w:pPr>
    </w:p>
    <w:p w:rsidR="00914C18" w:rsidRDefault="00914C18" w:rsidP="00835459">
      <w:pPr>
        <w:pStyle w:val="Odsekzoznamu"/>
        <w:ind w:left="0" w:firstLine="0"/>
        <w:rPr>
          <w:rFonts w:ascii="Times New Roman" w:eastAsia="Times New Roman" w:hAnsi="Times New Roman"/>
          <w:sz w:val="24"/>
          <w:szCs w:val="24"/>
          <w:u w:val="single"/>
          <w:lang w:eastAsia="sk-SK"/>
        </w:rPr>
      </w:pPr>
    </w:p>
    <w:p w:rsidR="00914C18" w:rsidRDefault="00914C18" w:rsidP="00835459">
      <w:pPr>
        <w:pStyle w:val="Odsekzoznamu"/>
        <w:ind w:left="0" w:firstLine="0"/>
        <w:rPr>
          <w:rFonts w:ascii="Times New Roman" w:eastAsia="Times New Roman" w:hAnsi="Times New Roman"/>
          <w:sz w:val="24"/>
          <w:szCs w:val="24"/>
          <w:u w:val="single"/>
          <w:lang w:eastAsia="sk-SK"/>
        </w:rPr>
      </w:pPr>
    </w:p>
    <w:p w:rsidR="00835459" w:rsidRPr="004B0E95" w:rsidRDefault="00835459" w:rsidP="00835459">
      <w:pPr>
        <w:pStyle w:val="Odsekzoznamu"/>
        <w:ind w:left="0" w:firstLine="0"/>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lastRenderedPageBreak/>
        <w:t xml:space="preserve">K bodu </w:t>
      </w:r>
      <w:r>
        <w:rPr>
          <w:rFonts w:ascii="Times New Roman" w:eastAsia="Times New Roman" w:hAnsi="Times New Roman"/>
          <w:sz w:val="24"/>
          <w:szCs w:val="24"/>
          <w:u w:val="single"/>
          <w:lang w:eastAsia="sk-SK"/>
        </w:rPr>
        <w:t>8</w:t>
      </w:r>
      <w:r w:rsidR="008B2C79">
        <w:rPr>
          <w:rFonts w:ascii="Times New Roman" w:eastAsia="Times New Roman" w:hAnsi="Times New Roman"/>
          <w:sz w:val="24"/>
          <w:szCs w:val="24"/>
          <w:u w:val="single"/>
          <w:lang w:eastAsia="sk-SK"/>
        </w:rPr>
        <w:t>0</w:t>
      </w:r>
    </w:p>
    <w:p w:rsidR="00835459" w:rsidRPr="004B0E95" w:rsidRDefault="00835459" w:rsidP="00835459">
      <w:pPr>
        <w:pStyle w:val="Odsekzoznamu"/>
        <w:ind w:left="0" w:firstLine="0"/>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91 ods. 2</w:t>
      </w:r>
    </w:p>
    <w:p w:rsidR="00835459" w:rsidRPr="004B0E95" w:rsidRDefault="00835459" w:rsidP="00835459">
      <w:pPr>
        <w:pStyle w:val="Odsekzoznamu"/>
        <w:ind w:left="0" w:firstLine="0"/>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xml:space="preserve">Legislatívno-technická úprava </w:t>
      </w:r>
      <w:r>
        <w:rPr>
          <w:rFonts w:ascii="Times New Roman" w:eastAsia="Times New Roman" w:hAnsi="Times New Roman"/>
          <w:sz w:val="24"/>
          <w:szCs w:val="24"/>
          <w:lang w:eastAsia="sk-SK"/>
        </w:rPr>
        <w:t>súvisiaca so zavedením nového správneho deliktu.</w:t>
      </w:r>
    </w:p>
    <w:p w:rsidR="00835459" w:rsidRPr="004B0E95" w:rsidRDefault="00835459" w:rsidP="00835459">
      <w:pPr>
        <w:pStyle w:val="Odsekzoznamu"/>
        <w:ind w:left="0" w:firstLine="0"/>
        <w:rPr>
          <w:rFonts w:ascii="Times New Roman" w:eastAsia="Times New Roman" w:hAnsi="Times New Roman"/>
          <w:sz w:val="24"/>
          <w:szCs w:val="24"/>
          <w:lang w:eastAsia="sk-SK"/>
        </w:rPr>
      </w:pPr>
    </w:p>
    <w:p w:rsidR="00835459" w:rsidRPr="004B0E95" w:rsidRDefault="00835459" w:rsidP="00835459">
      <w:pPr>
        <w:pStyle w:val="Odsekzoznamu"/>
        <w:ind w:left="0" w:firstLine="0"/>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t xml:space="preserve">K bodu </w:t>
      </w:r>
      <w:r>
        <w:rPr>
          <w:rFonts w:ascii="Times New Roman" w:eastAsia="Times New Roman" w:hAnsi="Times New Roman"/>
          <w:sz w:val="24"/>
          <w:szCs w:val="24"/>
          <w:u w:val="single"/>
          <w:lang w:eastAsia="sk-SK"/>
        </w:rPr>
        <w:t>8</w:t>
      </w:r>
      <w:r w:rsidR="008B2C79">
        <w:rPr>
          <w:rFonts w:ascii="Times New Roman" w:eastAsia="Times New Roman" w:hAnsi="Times New Roman"/>
          <w:sz w:val="24"/>
          <w:szCs w:val="24"/>
          <w:u w:val="single"/>
          <w:lang w:eastAsia="sk-SK"/>
        </w:rPr>
        <w:t>1</w:t>
      </w:r>
    </w:p>
    <w:p w:rsidR="00835459" w:rsidRPr="004B0E95" w:rsidRDefault="00835459" w:rsidP="00835459">
      <w:pPr>
        <w:pStyle w:val="Odsekzoznamu"/>
        <w:ind w:left="0" w:firstLine="0"/>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92 ods. 1 písm. c)</w:t>
      </w:r>
    </w:p>
    <w:p w:rsidR="00835459" w:rsidRDefault="00835459" w:rsidP="00835459">
      <w:pPr>
        <w:spacing w:after="0" w:line="240" w:lineRule="auto"/>
        <w:jc w:val="both"/>
        <w:rPr>
          <w:rFonts w:ascii="Times New Roman" w:eastAsia="Times New Roman" w:hAnsi="Times New Roman" w:cs="Times New Roman"/>
          <w:sz w:val="24"/>
          <w:szCs w:val="24"/>
          <w:lang w:eastAsia="sk-SK"/>
        </w:rPr>
      </w:pPr>
      <w:r w:rsidRPr="004B0E95">
        <w:rPr>
          <w:rFonts w:ascii="Times New Roman" w:eastAsia="Times New Roman" w:hAnsi="Times New Roman" w:cs="Times New Roman"/>
          <w:sz w:val="24"/>
          <w:szCs w:val="24"/>
          <w:lang w:eastAsia="sk-SK"/>
        </w:rPr>
        <w:t>Legislatívno-technická úpravu súvisiaca s</w:t>
      </w:r>
      <w:r>
        <w:rPr>
          <w:rFonts w:ascii="Times New Roman" w:eastAsia="Times New Roman" w:hAnsi="Times New Roman" w:cs="Times New Roman"/>
          <w:sz w:val="24"/>
          <w:szCs w:val="24"/>
          <w:lang w:eastAsia="sk-SK"/>
        </w:rPr>
        <w:t>o zmenou znenia oznamovacej</w:t>
      </w:r>
      <w:r w:rsidRPr="004B0E95">
        <w:rPr>
          <w:rFonts w:ascii="Times New Roman" w:eastAsia="Times New Roman" w:hAnsi="Times New Roman" w:cs="Times New Roman"/>
          <w:sz w:val="24"/>
          <w:szCs w:val="24"/>
          <w:lang w:eastAsia="sk-SK"/>
        </w:rPr>
        <w:t xml:space="preserve"> povinnos</w:t>
      </w:r>
      <w:r>
        <w:rPr>
          <w:rFonts w:ascii="Times New Roman" w:eastAsia="Times New Roman" w:hAnsi="Times New Roman" w:cs="Times New Roman"/>
          <w:sz w:val="24"/>
          <w:szCs w:val="24"/>
          <w:lang w:eastAsia="sk-SK"/>
        </w:rPr>
        <w:t>ti</w:t>
      </w:r>
      <w:r w:rsidRPr="004B0E95">
        <w:rPr>
          <w:rFonts w:ascii="Times New Roman" w:eastAsia="Times New Roman" w:hAnsi="Times New Roman" w:cs="Times New Roman"/>
          <w:sz w:val="24"/>
          <w:szCs w:val="24"/>
          <w:lang w:eastAsia="sk-SK"/>
        </w:rPr>
        <w:t xml:space="preserve"> zamestnanca podľa § 46</w:t>
      </w:r>
      <w:r>
        <w:rPr>
          <w:rFonts w:ascii="Times New Roman" w:eastAsia="Times New Roman" w:hAnsi="Times New Roman" w:cs="Times New Roman"/>
          <w:sz w:val="24"/>
          <w:szCs w:val="24"/>
          <w:lang w:eastAsia="sk-SK"/>
        </w:rPr>
        <w:t>.</w:t>
      </w:r>
    </w:p>
    <w:p w:rsidR="00835459" w:rsidRDefault="00835459" w:rsidP="00835459">
      <w:pPr>
        <w:spacing w:after="0" w:line="240" w:lineRule="auto"/>
        <w:jc w:val="both"/>
        <w:rPr>
          <w:rFonts w:ascii="Times New Roman" w:eastAsia="Times New Roman" w:hAnsi="Times New Roman" w:cs="Times New Roman"/>
          <w:sz w:val="24"/>
          <w:szCs w:val="24"/>
          <w:lang w:eastAsia="sk-SK"/>
        </w:rPr>
      </w:pPr>
    </w:p>
    <w:p w:rsidR="00835459" w:rsidRPr="004B0E95" w:rsidRDefault="00835459" w:rsidP="00835459">
      <w:pPr>
        <w:pStyle w:val="Odsekzoznamu"/>
        <w:ind w:left="0" w:firstLine="0"/>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t xml:space="preserve">K bodu </w:t>
      </w:r>
      <w:r>
        <w:rPr>
          <w:rFonts w:ascii="Times New Roman" w:eastAsia="Times New Roman" w:hAnsi="Times New Roman"/>
          <w:sz w:val="24"/>
          <w:szCs w:val="24"/>
          <w:u w:val="single"/>
          <w:lang w:eastAsia="sk-SK"/>
        </w:rPr>
        <w:t>8</w:t>
      </w:r>
      <w:r w:rsidR="008B2C79">
        <w:rPr>
          <w:rFonts w:ascii="Times New Roman" w:eastAsia="Times New Roman" w:hAnsi="Times New Roman"/>
          <w:sz w:val="24"/>
          <w:szCs w:val="24"/>
          <w:u w:val="single"/>
          <w:lang w:eastAsia="sk-SK"/>
        </w:rPr>
        <w:t>2</w:t>
      </w:r>
    </w:p>
    <w:p w:rsidR="00835459" w:rsidRPr="004B0E95" w:rsidRDefault="00835459" w:rsidP="00835459">
      <w:pPr>
        <w:pStyle w:val="Odsekzoznamu"/>
        <w:ind w:left="0" w:firstLine="0"/>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93 ods. 6</w:t>
      </w:r>
    </w:p>
    <w:p w:rsidR="00835459" w:rsidRPr="004B0E95" w:rsidRDefault="00835459" w:rsidP="00835459">
      <w:pPr>
        <w:spacing w:after="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Vypúšťa sa splnomocňovacie ustanovenie, z dôvodu nadbytočnosti, keďže </w:t>
      </w:r>
      <w:r w:rsidRPr="004B0E95">
        <w:rPr>
          <w:rFonts w:ascii="Times New Roman" w:eastAsia="Times New Roman" w:hAnsi="Times New Roman"/>
          <w:sz w:val="24"/>
          <w:szCs w:val="24"/>
          <w:lang w:eastAsia="sk-SK"/>
        </w:rPr>
        <w:t xml:space="preserve">§ 93 dostatočne definuje, aké údaje sa </w:t>
      </w:r>
      <w:r>
        <w:rPr>
          <w:rFonts w:ascii="Times New Roman" w:eastAsia="Times New Roman" w:hAnsi="Times New Roman"/>
          <w:sz w:val="24"/>
          <w:szCs w:val="24"/>
          <w:lang w:eastAsia="sk-SK"/>
        </w:rPr>
        <w:t>vedú</w:t>
      </w:r>
      <w:r w:rsidRPr="004B0E95">
        <w:rPr>
          <w:rFonts w:ascii="Times New Roman" w:eastAsia="Times New Roman" w:hAnsi="Times New Roman"/>
          <w:sz w:val="24"/>
          <w:szCs w:val="24"/>
          <w:lang w:eastAsia="sk-SK"/>
        </w:rPr>
        <w:t xml:space="preserve"> v evidenciách informačného systému súkromnej bezpečnosti.</w:t>
      </w:r>
    </w:p>
    <w:p w:rsidR="00835459" w:rsidRPr="004B0E95" w:rsidRDefault="00835459" w:rsidP="00835459">
      <w:pPr>
        <w:spacing w:after="0"/>
        <w:jc w:val="both"/>
        <w:rPr>
          <w:rFonts w:ascii="Times New Roman" w:eastAsia="Times New Roman" w:hAnsi="Times New Roman"/>
          <w:sz w:val="24"/>
          <w:szCs w:val="24"/>
          <w:lang w:eastAsia="sk-SK"/>
        </w:rPr>
      </w:pPr>
    </w:p>
    <w:p w:rsidR="00835459" w:rsidRPr="004B0E95" w:rsidRDefault="00835459" w:rsidP="00835459">
      <w:pPr>
        <w:pStyle w:val="Odsekzoznamu"/>
        <w:ind w:left="0" w:firstLine="0"/>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t xml:space="preserve">K bodu </w:t>
      </w:r>
      <w:r w:rsidR="008B2C79">
        <w:rPr>
          <w:rFonts w:ascii="Times New Roman" w:eastAsia="Times New Roman" w:hAnsi="Times New Roman"/>
          <w:sz w:val="24"/>
          <w:szCs w:val="24"/>
          <w:u w:val="single"/>
          <w:lang w:eastAsia="sk-SK"/>
        </w:rPr>
        <w:t>83</w:t>
      </w:r>
    </w:p>
    <w:p w:rsidR="00835459" w:rsidRPr="004B0E95" w:rsidRDefault="00835459" w:rsidP="00835459">
      <w:pPr>
        <w:pStyle w:val="Odsekzoznamu"/>
        <w:ind w:left="0" w:firstLine="0"/>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xml:space="preserve">§ 98c ods. 5 </w:t>
      </w:r>
    </w:p>
    <w:p w:rsidR="00835459" w:rsidRPr="004B0E95" w:rsidRDefault="00835459" w:rsidP="0083545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cs="Times New Roman"/>
          <w:sz w:val="24"/>
          <w:szCs w:val="24"/>
          <w:lang w:eastAsia="sk-SK"/>
        </w:rPr>
        <w:t xml:space="preserve">Legislatívno-technická úprava súvisiaca s vypustením možnosti odňať licenciu z dôvodu, že  </w:t>
      </w:r>
      <w:r w:rsidRPr="004B0E95">
        <w:rPr>
          <w:rFonts w:ascii="Times New Roman" w:eastAsia="Times New Roman" w:hAnsi="Times New Roman"/>
          <w:sz w:val="24"/>
          <w:szCs w:val="24"/>
          <w:lang w:eastAsia="sk-SK"/>
        </w:rPr>
        <w:t>prevádzkovateľ nezačne vykonávať aspoň jednu povolenú činnosť v určitej lehote odo dňa nadobudnutia právoplatnosti rozhodnutia o udelení licencie, alebo takúto činnosť nevykonáva nepretržit</w:t>
      </w:r>
      <w:r w:rsidR="008B2C79">
        <w:rPr>
          <w:rFonts w:ascii="Times New Roman" w:eastAsia="Times New Roman" w:hAnsi="Times New Roman"/>
          <w:sz w:val="24"/>
          <w:szCs w:val="24"/>
          <w:lang w:eastAsia="sk-SK"/>
        </w:rPr>
        <w:t>e v určenom období.</w:t>
      </w:r>
    </w:p>
    <w:p w:rsidR="00835459" w:rsidRPr="004B0E95" w:rsidRDefault="00835459" w:rsidP="00835459">
      <w:pPr>
        <w:spacing w:after="0" w:line="240" w:lineRule="auto"/>
        <w:jc w:val="both"/>
        <w:rPr>
          <w:rFonts w:ascii="Times New Roman" w:eastAsia="Times New Roman" w:hAnsi="Times New Roman"/>
          <w:sz w:val="24"/>
          <w:szCs w:val="24"/>
          <w:lang w:eastAsia="sk-SK"/>
        </w:rPr>
      </w:pPr>
    </w:p>
    <w:p w:rsidR="00835459" w:rsidRPr="004B0E95" w:rsidRDefault="00835459" w:rsidP="00835459">
      <w:pPr>
        <w:spacing w:after="0"/>
        <w:jc w:val="both"/>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t xml:space="preserve">K bodu </w:t>
      </w:r>
      <w:r w:rsidR="008B2C79">
        <w:rPr>
          <w:rFonts w:ascii="Times New Roman" w:eastAsia="Times New Roman" w:hAnsi="Times New Roman"/>
          <w:sz w:val="24"/>
          <w:szCs w:val="24"/>
          <w:u w:val="single"/>
          <w:lang w:eastAsia="sk-SK"/>
        </w:rPr>
        <w:t>84</w:t>
      </w:r>
    </w:p>
    <w:p w:rsidR="00835459" w:rsidRDefault="00835459" w:rsidP="00835459">
      <w:pPr>
        <w:spacing w:after="0"/>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xml:space="preserve">§ 98c ods. </w:t>
      </w:r>
      <w:r w:rsidR="008B2C79">
        <w:rPr>
          <w:rFonts w:ascii="Times New Roman" w:eastAsia="Times New Roman" w:hAnsi="Times New Roman"/>
          <w:sz w:val="24"/>
          <w:szCs w:val="24"/>
          <w:lang w:eastAsia="sk-SK"/>
        </w:rPr>
        <w:t>5</w:t>
      </w:r>
    </w:p>
    <w:p w:rsidR="008B2C79" w:rsidRPr="004B0E95" w:rsidRDefault="008B2C79" w:rsidP="008B2C7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cs="Times New Roman"/>
          <w:sz w:val="24"/>
          <w:szCs w:val="24"/>
          <w:lang w:eastAsia="sk-SK"/>
        </w:rPr>
        <w:t xml:space="preserve">Legislatívno-technická úprava súvisiaca s vypustením </w:t>
      </w:r>
      <w:r>
        <w:rPr>
          <w:rFonts w:ascii="Times New Roman" w:eastAsia="Times New Roman" w:hAnsi="Times New Roman" w:cs="Times New Roman"/>
          <w:sz w:val="24"/>
          <w:szCs w:val="24"/>
          <w:lang w:eastAsia="sk-SK"/>
        </w:rPr>
        <w:t>§ 19 ods. 10 obs</w:t>
      </w:r>
      <w:r w:rsidR="00067E7A">
        <w:rPr>
          <w:rFonts w:ascii="Times New Roman" w:eastAsia="Times New Roman" w:hAnsi="Times New Roman" w:cs="Times New Roman"/>
          <w:sz w:val="24"/>
          <w:szCs w:val="24"/>
          <w:lang w:eastAsia="sk-SK"/>
        </w:rPr>
        <w:t>ahujúcim lehotu na vykonanie op</w:t>
      </w:r>
      <w:r>
        <w:rPr>
          <w:rFonts w:ascii="Times New Roman" w:eastAsia="Times New Roman" w:hAnsi="Times New Roman" w:cs="Times New Roman"/>
          <w:sz w:val="24"/>
          <w:szCs w:val="24"/>
          <w:lang w:eastAsia="sk-SK"/>
        </w:rPr>
        <w:t>ravnej skúšky</w:t>
      </w:r>
      <w:r w:rsidR="00067E7A">
        <w:rPr>
          <w:rFonts w:ascii="Times New Roman" w:eastAsia="Times New Roman" w:hAnsi="Times New Roman" w:cs="Times New Roman"/>
          <w:sz w:val="24"/>
          <w:szCs w:val="24"/>
          <w:lang w:eastAsia="sk-SK"/>
        </w:rPr>
        <w:t>.</w:t>
      </w:r>
    </w:p>
    <w:p w:rsidR="008B2C79" w:rsidRPr="004B0E95" w:rsidRDefault="008B2C79" w:rsidP="00835459">
      <w:pPr>
        <w:spacing w:after="0"/>
        <w:jc w:val="both"/>
        <w:rPr>
          <w:rFonts w:ascii="Times New Roman" w:eastAsia="Times New Roman" w:hAnsi="Times New Roman"/>
          <w:sz w:val="24"/>
          <w:szCs w:val="24"/>
          <w:lang w:eastAsia="sk-SK"/>
        </w:rPr>
      </w:pPr>
    </w:p>
    <w:p w:rsidR="008B2C79" w:rsidRPr="004B0E95" w:rsidRDefault="008B2C79" w:rsidP="008B2C79">
      <w:pPr>
        <w:spacing w:after="0"/>
        <w:jc w:val="both"/>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t xml:space="preserve">K bodu </w:t>
      </w:r>
      <w:r w:rsidR="00D11AA8">
        <w:rPr>
          <w:rFonts w:ascii="Times New Roman" w:eastAsia="Times New Roman" w:hAnsi="Times New Roman"/>
          <w:sz w:val="24"/>
          <w:szCs w:val="24"/>
          <w:u w:val="single"/>
          <w:lang w:eastAsia="sk-SK"/>
        </w:rPr>
        <w:t>85</w:t>
      </w:r>
    </w:p>
    <w:p w:rsidR="008B2C79" w:rsidRPr="004B0E95" w:rsidRDefault="008B2C79" w:rsidP="008B2C79">
      <w:pPr>
        <w:spacing w:after="0"/>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 98c ods. 9</w:t>
      </w:r>
    </w:p>
    <w:p w:rsidR="008B2C79" w:rsidRDefault="008B2C79" w:rsidP="008B2C79">
      <w:pPr>
        <w:spacing w:after="0" w:line="240" w:lineRule="auto"/>
        <w:jc w:val="both"/>
        <w:rPr>
          <w:rFonts w:ascii="Times New Roman" w:eastAsia="Times New Roman" w:hAnsi="Times New Roman"/>
          <w:sz w:val="24"/>
          <w:szCs w:val="24"/>
          <w:lang w:eastAsia="sk-SK"/>
        </w:rPr>
      </w:pPr>
      <w:r w:rsidRPr="004B0E95">
        <w:rPr>
          <w:rFonts w:ascii="Times New Roman" w:eastAsia="Times New Roman" w:hAnsi="Times New Roman"/>
          <w:sz w:val="24"/>
          <w:szCs w:val="24"/>
          <w:lang w:eastAsia="sk-SK"/>
        </w:rPr>
        <w:t>Vypustené prechodné ustanovenie týkajúce sa možnosti vykonávať akreditovanej osobe počas krízovej situácie odbornú prípravu prostredníctvom elektronických prostriedkov je nahradené novým ustanovením v § 80 ods. 2. Nové ustanovenie umožňuje akreditovanej osobe si vybrať medzi odbornou prípravou vykonávanou prezenčnou formou v školiacom zariadení</w:t>
      </w:r>
      <w:r w:rsidR="00D11AA8">
        <w:rPr>
          <w:rFonts w:ascii="Times New Roman" w:eastAsia="Times New Roman" w:hAnsi="Times New Roman"/>
          <w:sz w:val="24"/>
          <w:szCs w:val="24"/>
          <w:lang w:eastAsia="sk-SK"/>
        </w:rPr>
        <w:t xml:space="preserve">, </w:t>
      </w:r>
      <w:r w:rsidRPr="004B0E95">
        <w:rPr>
          <w:rFonts w:ascii="Times New Roman" w:eastAsia="Times New Roman" w:hAnsi="Times New Roman"/>
          <w:sz w:val="24"/>
          <w:szCs w:val="24"/>
          <w:lang w:eastAsia="sk-SK"/>
        </w:rPr>
        <w:t xml:space="preserve"> </w:t>
      </w:r>
      <w:r w:rsidR="00D11AA8" w:rsidRPr="004B0E95">
        <w:rPr>
          <w:rFonts w:ascii="Times New Roman" w:eastAsia="Times New Roman" w:hAnsi="Times New Roman"/>
          <w:sz w:val="24"/>
          <w:szCs w:val="24"/>
          <w:lang w:eastAsia="sk-SK"/>
        </w:rPr>
        <w:t xml:space="preserve">dištančnou formou </w:t>
      </w:r>
      <w:r w:rsidR="00D11AA8">
        <w:rPr>
          <w:rFonts w:ascii="Times New Roman" w:eastAsia="Times New Roman" w:hAnsi="Times New Roman"/>
          <w:sz w:val="24"/>
          <w:szCs w:val="24"/>
          <w:lang w:eastAsia="sk-SK"/>
        </w:rPr>
        <w:t>alebo ich kombináciou</w:t>
      </w:r>
      <w:r>
        <w:rPr>
          <w:rFonts w:ascii="Times New Roman" w:eastAsia="Times New Roman" w:hAnsi="Times New Roman"/>
          <w:sz w:val="24"/>
          <w:szCs w:val="24"/>
          <w:lang w:eastAsia="sk-SK"/>
        </w:rPr>
        <w:t>.</w:t>
      </w:r>
    </w:p>
    <w:p w:rsidR="00835459" w:rsidRDefault="00835459" w:rsidP="00835459">
      <w:pPr>
        <w:spacing w:after="0"/>
        <w:jc w:val="both"/>
        <w:rPr>
          <w:rFonts w:ascii="Times New Roman" w:eastAsia="Times New Roman" w:hAnsi="Times New Roman"/>
          <w:sz w:val="24"/>
          <w:szCs w:val="24"/>
          <w:lang w:eastAsia="sk-SK"/>
        </w:rPr>
      </w:pPr>
    </w:p>
    <w:p w:rsidR="00835459" w:rsidRDefault="00835459" w:rsidP="00835459">
      <w:pPr>
        <w:spacing w:after="0"/>
        <w:jc w:val="both"/>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t xml:space="preserve">K bodu </w:t>
      </w:r>
      <w:r w:rsidR="00D11AA8">
        <w:rPr>
          <w:rFonts w:ascii="Times New Roman" w:eastAsia="Times New Roman" w:hAnsi="Times New Roman"/>
          <w:sz w:val="24"/>
          <w:szCs w:val="24"/>
          <w:u w:val="single"/>
          <w:lang w:eastAsia="sk-SK"/>
        </w:rPr>
        <w:t>86</w:t>
      </w:r>
    </w:p>
    <w:p w:rsidR="00835459" w:rsidRDefault="00835459" w:rsidP="00835459">
      <w:pPr>
        <w:spacing w:after="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99</w:t>
      </w:r>
    </w:p>
    <w:p w:rsidR="00835459" w:rsidRDefault="00835459" w:rsidP="00835459">
      <w:pPr>
        <w:spacing w:after="0" w:line="240" w:lineRule="auto"/>
        <w:jc w:val="both"/>
        <w:rPr>
          <w:rFonts w:ascii="Times New Roman" w:eastAsia="Times New Roman" w:hAnsi="Times New Roman"/>
          <w:sz w:val="24"/>
          <w:szCs w:val="24"/>
          <w:lang w:eastAsia="sk-SK"/>
        </w:rPr>
      </w:pPr>
      <w:r w:rsidRPr="007B437A">
        <w:rPr>
          <w:rFonts w:ascii="Times New Roman" w:eastAsia="Times New Roman" w:hAnsi="Times New Roman"/>
          <w:sz w:val="24"/>
          <w:szCs w:val="24"/>
          <w:lang w:eastAsia="sk-SK"/>
        </w:rPr>
        <w:t>Z</w:t>
      </w:r>
      <w:r>
        <w:rPr>
          <w:rFonts w:ascii="Times New Roman" w:eastAsia="Times New Roman" w:hAnsi="Times New Roman"/>
          <w:sz w:val="24"/>
          <w:szCs w:val="24"/>
          <w:lang w:eastAsia="sk-SK"/>
        </w:rPr>
        <w:t> </w:t>
      </w:r>
      <w:r w:rsidRPr="007B437A">
        <w:rPr>
          <w:rFonts w:ascii="Times New Roman" w:eastAsia="Times New Roman" w:hAnsi="Times New Roman"/>
          <w:sz w:val="24"/>
          <w:szCs w:val="24"/>
          <w:lang w:eastAsia="sk-SK"/>
        </w:rPr>
        <w:t>dôvodu</w:t>
      </w:r>
      <w:r>
        <w:rPr>
          <w:rFonts w:ascii="Times New Roman" w:eastAsia="Times New Roman" w:hAnsi="Times New Roman"/>
          <w:sz w:val="24"/>
          <w:szCs w:val="24"/>
          <w:lang w:eastAsia="sk-SK"/>
        </w:rPr>
        <w:t xml:space="preserve"> zrušenia smerníc sa </w:t>
      </w:r>
      <w:r w:rsidRPr="007B437A">
        <w:rPr>
          <w:rFonts w:ascii="Times New Roman" w:eastAsia="Times New Roman" w:hAnsi="Times New Roman"/>
          <w:sz w:val="24"/>
          <w:szCs w:val="24"/>
          <w:lang w:eastAsia="sk-SK"/>
        </w:rPr>
        <w:t>vyp</w:t>
      </w:r>
      <w:r>
        <w:rPr>
          <w:rFonts w:ascii="Times New Roman" w:eastAsia="Times New Roman" w:hAnsi="Times New Roman"/>
          <w:sz w:val="24"/>
          <w:szCs w:val="24"/>
          <w:lang w:eastAsia="sk-SK"/>
        </w:rPr>
        <w:t>úšťa</w:t>
      </w:r>
      <w:r w:rsidRPr="007B437A">
        <w:rPr>
          <w:rFonts w:ascii="Times New Roman" w:eastAsia="Times New Roman" w:hAnsi="Times New Roman"/>
          <w:sz w:val="24"/>
          <w:szCs w:val="24"/>
          <w:lang w:eastAsia="sk-SK"/>
        </w:rPr>
        <w:t xml:space="preserve"> transpozičn</w:t>
      </w:r>
      <w:r>
        <w:rPr>
          <w:rFonts w:ascii="Times New Roman" w:eastAsia="Times New Roman" w:hAnsi="Times New Roman"/>
          <w:sz w:val="24"/>
          <w:szCs w:val="24"/>
          <w:lang w:eastAsia="sk-SK"/>
        </w:rPr>
        <w:t>á príloha vrátane</w:t>
      </w:r>
      <w:r w:rsidRPr="007B437A">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ustanovenia</w:t>
      </w:r>
      <w:r w:rsidRPr="007B437A">
        <w:rPr>
          <w:rFonts w:ascii="Times New Roman" w:eastAsia="Times New Roman" w:hAnsi="Times New Roman"/>
          <w:sz w:val="24"/>
          <w:szCs w:val="24"/>
          <w:lang w:eastAsia="sk-SK"/>
        </w:rPr>
        <w:t>, ktoré na ňu odkazuje.</w:t>
      </w:r>
    </w:p>
    <w:p w:rsidR="00835459" w:rsidRDefault="00835459" w:rsidP="00835459">
      <w:pPr>
        <w:spacing w:after="0"/>
        <w:jc w:val="both"/>
        <w:rPr>
          <w:rFonts w:ascii="Times New Roman" w:eastAsia="Times New Roman" w:hAnsi="Times New Roman"/>
          <w:sz w:val="24"/>
          <w:szCs w:val="24"/>
          <w:lang w:eastAsia="sk-SK"/>
        </w:rPr>
      </w:pPr>
    </w:p>
    <w:p w:rsidR="00835459" w:rsidRPr="004B0E95" w:rsidRDefault="00835459" w:rsidP="00835459">
      <w:pPr>
        <w:spacing w:after="0"/>
        <w:jc w:val="both"/>
        <w:rPr>
          <w:rFonts w:ascii="Times New Roman" w:eastAsia="Times New Roman" w:hAnsi="Times New Roman"/>
          <w:sz w:val="24"/>
          <w:szCs w:val="24"/>
          <w:u w:val="single"/>
          <w:lang w:eastAsia="sk-SK"/>
        </w:rPr>
      </w:pPr>
      <w:r w:rsidRPr="004B0E95">
        <w:rPr>
          <w:rFonts w:ascii="Times New Roman" w:eastAsia="Times New Roman" w:hAnsi="Times New Roman"/>
          <w:sz w:val="24"/>
          <w:szCs w:val="24"/>
          <w:u w:val="single"/>
          <w:lang w:eastAsia="sk-SK"/>
        </w:rPr>
        <w:t xml:space="preserve">K bodu </w:t>
      </w:r>
      <w:r w:rsidR="00D11AA8">
        <w:rPr>
          <w:rFonts w:ascii="Times New Roman" w:eastAsia="Times New Roman" w:hAnsi="Times New Roman"/>
          <w:sz w:val="24"/>
          <w:szCs w:val="24"/>
          <w:u w:val="single"/>
          <w:lang w:eastAsia="sk-SK"/>
        </w:rPr>
        <w:t>87</w:t>
      </w:r>
    </w:p>
    <w:p w:rsidR="00835459" w:rsidRDefault="00835459" w:rsidP="00835459">
      <w:pPr>
        <w:spacing w:after="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Príloha</w:t>
      </w:r>
    </w:p>
    <w:p w:rsidR="00835459" w:rsidRDefault="00835459" w:rsidP="00835459">
      <w:pPr>
        <w:spacing w:after="0" w:line="240" w:lineRule="auto"/>
        <w:jc w:val="both"/>
        <w:rPr>
          <w:rFonts w:ascii="Times New Roman" w:eastAsia="Times New Roman" w:hAnsi="Times New Roman"/>
          <w:sz w:val="24"/>
          <w:szCs w:val="24"/>
          <w:lang w:eastAsia="sk-SK"/>
        </w:rPr>
      </w:pPr>
      <w:r w:rsidRPr="007B437A">
        <w:rPr>
          <w:rFonts w:ascii="Times New Roman" w:eastAsia="Times New Roman" w:hAnsi="Times New Roman"/>
          <w:sz w:val="24"/>
          <w:szCs w:val="24"/>
          <w:lang w:eastAsia="sk-SK"/>
        </w:rPr>
        <w:t>Z</w:t>
      </w:r>
      <w:r>
        <w:rPr>
          <w:rFonts w:ascii="Times New Roman" w:eastAsia="Times New Roman" w:hAnsi="Times New Roman"/>
          <w:sz w:val="24"/>
          <w:szCs w:val="24"/>
          <w:lang w:eastAsia="sk-SK"/>
        </w:rPr>
        <w:t> </w:t>
      </w:r>
      <w:r w:rsidRPr="007B437A">
        <w:rPr>
          <w:rFonts w:ascii="Times New Roman" w:eastAsia="Times New Roman" w:hAnsi="Times New Roman"/>
          <w:sz w:val="24"/>
          <w:szCs w:val="24"/>
          <w:lang w:eastAsia="sk-SK"/>
        </w:rPr>
        <w:t>dôvodu</w:t>
      </w:r>
      <w:r>
        <w:rPr>
          <w:rFonts w:ascii="Times New Roman" w:eastAsia="Times New Roman" w:hAnsi="Times New Roman"/>
          <w:sz w:val="24"/>
          <w:szCs w:val="24"/>
          <w:lang w:eastAsia="sk-SK"/>
        </w:rPr>
        <w:t xml:space="preserve"> zrušenia smerníc sa </w:t>
      </w:r>
      <w:r w:rsidRPr="007B437A">
        <w:rPr>
          <w:rFonts w:ascii="Times New Roman" w:eastAsia="Times New Roman" w:hAnsi="Times New Roman"/>
          <w:sz w:val="24"/>
          <w:szCs w:val="24"/>
          <w:lang w:eastAsia="sk-SK"/>
        </w:rPr>
        <w:t>vyp</w:t>
      </w:r>
      <w:r>
        <w:rPr>
          <w:rFonts w:ascii="Times New Roman" w:eastAsia="Times New Roman" w:hAnsi="Times New Roman"/>
          <w:sz w:val="24"/>
          <w:szCs w:val="24"/>
          <w:lang w:eastAsia="sk-SK"/>
        </w:rPr>
        <w:t>úšťa</w:t>
      </w:r>
      <w:r w:rsidRPr="007B437A">
        <w:rPr>
          <w:rFonts w:ascii="Times New Roman" w:eastAsia="Times New Roman" w:hAnsi="Times New Roman"/>
          <w:sz w:val="24"/>
          <w:szCs w:val="24"/>
          <w:lang w:eastAsia="sk-SK"/>
        </w:rPr>
        <w:t xml:space="preserve"> transpozičn</w:t>
      </w:r>
      <w:r>
        <w:rPr>
          <w:rFonts w:ascii="Times New Roman" w:eastAsia="Times New Roman" w:hAnsi="Times New Roman"/>
          <w:sz w:val="24"/>
          <w:szCs w:val="24"/>
          <w:lang w:eastAsia="sk-SK"/>
        </w:rPr>
        <w:t>á príloha vrátane</w:t>
      </w:r>
      <w:r w:rsidRPr="007B437A">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ustanovenia</w:t>
      </w:r>
      <w:r w:rsidRPr="007B437A">
        <w:rPr>
          <w:rFonts w:ascii="Times New Roman" w:eastAsia="Times New Roman" w:hAnsi="Times New Roman"/>
          <w:sz w:val="24"/>
          <w:szCs w:val="24"/>
          <w:lang w:eastAsia="sk-SK"/>
        </w:rPr>
        <w:t>, ktoré na ňu odkazuje.</w:t>
      </w:r>
    </w:p>
    <w:p w:rsidR="00835459" w:rsidRDefault="00835459" w:rsidP="00835459">
      <w:pPr>
        <w:spacing w:after="0"/>
        <w:jc w:val="both"/>
        <w:rPr>
          <w:rFonts w:ascii="Times New Roman" w:eastAsia="Times New Roman" w:hAnsi="Times New Roman"/>
          <w:sz w:val="24"/>
          <w:szCs w:val="24"/>
          <w:lang w:eastAsia="sk-SK"/>
        </w:rPr>
      </w:pPr>
    </w:p>
    <w:p w:rsidR="00FA5615" w:rsidRDefault="00FA5615" w:rsidP="00835459">
      <w:pPr>
        <w:spacing w:after="0"/>
        <w:jc w:val="both"/>
        <w:rPr>
          <w:rFonts w:ascii="Times New Roman" w:eastAsia="Times New Roman" w:hAnsi="Times New Roman"/>
          <w:sz w:val="24"/>
          <w:szCs w:val="24"/>
          <w:lang w:eastAsia="sk-SK"/>
        </w:rPr>
      </w:pPr>
    </w:p>
    <w:p w:rsidR="00FA5615" w:rsidRDefault="00FA5615" w:rsidP="00835459">
      <w:pPr>
        <w:spacing w:after="0"/>
        <w:jc w:val="both"/>
        <w:rPr>
          <w:rFonts w:ascii="Times New Roman" w:eastAsia="Times New Roman" w:hAnsi="Times New Roman"/>
          <w:sz w:val="24"/>
          <w:szCs w:val="24"/>
          <w:lang w:eastAsia="sk-SK"/>
        </w:rPr>
      </w:pPr>
    </w:p>
    <w:p w:rsidR="00FA5615" w:rsidRDefault="00FA5615" w:rsidP="00835459">
      <w:pPr>
        <w:spacing w:after="0"/>
        <w:jc w:val="both"/>
        <w:rPr>
          <w:rFonts w:ascii="Times New Roman" w:eastAsia="Times New Roman" w:hAnsi="Times New Roman"/>
          <w:sz w:val="24"/>
          <w:szCs w:val="24"/>
          <w:lang w:eastAsia="sk-SK"/>
        </w:rPr>
      </w:pPr>
    </w:p>
    <w:p w:rsidR="00FA5615" w:rsidRDefault="00FA5615" w:rsidP="00835459">
      <w:pPr>
        <w:spacing w:after="0"/>
        <w:jc w:val="both"/>
        <w:rPr>
          <w:rFonts w:ascii="Times New Roman" w:eastAsia="Times New Roman" w:hAnsi="Times New Roman"/>
          <w:sz w:val="24"/>
          <w:szCs w:val="24"/>
          <w:lang w:eastAsia="sk-SK"/>
        </w:rPr>
      </w:pPr>
    </w:p>
    <w:p w:rsidR="000F43E0" w:rsidRDefault="000F43E0" w:rsidP="00835459">
      <w:pPr>
        <w:spacing w:after="0"/>
        <w:jc w:val="both"/>
        <w:rPr>
          <w:rFonts w:ascii="Times New Roman" w:eastAsia="Times New Roman" w:hAnsi="Times New Roman"/>
          <w:sz w:val="24"/>
          <w:szCs w:val="24"/>
          <w:u w:val="single"/>
          <w:lang w:eastAsia="sk-SK"/>
        </w:rPr>
      </w:pPr>
      <w:r w:rsidRPr="000F43E0">
        <w:rPr>
          <w:rFonts w:ascii="Times New Roman" w:eastAsia="Times New Roman" w:hAnsi="Times New Roman"/>
          <w:sz w:val="24"/>
          <w:szCs w:val="24"/>
          <w:u w:val="single"/>
          <w:lang w:eastAsia="sk-SK"/>
        </w:rPr>
        <w:lastRenderedPageBreak/>
        <w:t>K bodu 88</w:t>
      </w:r>
    </w:p>
    <w:p w:rsidR="000F43E0" w:rsidRPr="000F43E0" w:rsidRDefault="000F43E0" w:rsidP="00835459">
      <w:pPr>
        <w:spacing w:after="0"/>
        <w:jc w:val="both"/>
        <w:rPr>
          <w:rFonts w:ascii="Times New Roman" w:eastAsia="Times New Roman" w:hAnsi="Times New Roman"/>
          <w:sz w:val="24"/>
          <w:szCs w:val="24"/>
          <w:lang w:eastAsia="sk-SK"/>
        </w:rPr>
      </w:pPr>
      <w:r w:rsidRPr="000F43E0">
        <w:rPr>
          <w:rFonts w:ascii="Times New Roman" w:eastAsia="Times New Roman" w:hAnsi="Times New Roman"/>
          <w:sz w:val="24"/>
          <w:szCs w:val="24"/>
          <w:lang w:eastAsia="sk-SK"/>
        </w:rPr>
        <w:t>V súlade s požiadavkou čl. 5 ods. 1 písm. c) nariadenia Európskeho parlamentu a Rady (EÚ) 2016/679 z 27. apríla 2016 o ochrane fyzických osôb pri spracúvaní osobných údajov a o voľnom pohybe takýchto údajov, ktorým sa zrušuje smernica 95/46/ES (všeobecné nariadenie o ochrane údajov), podľa ktorého majú byť osobné údaje „primerané, relevantné a obmedzené na rozsah, ktorý je nevyhnutný vzhľadom na účely, na ktoré sa spracúvajú“ sa upravuje rozsah poskytovaných údajov. Z rozsahu údajov sa vypúšťajú dátum a miesto narodenia a ponecháva sa rodné číslo ako jednoznačný identifikátor fyzickej osoby.</w:t>
      </w:r>
    </w:p>
    <w:p w:rsidR="00835459" w:rsidRDefault="00835459" w:rsidP="00835459">
      <w:pPr>
        <w:spacing w:line="240" w:lineRule="atLeast"/>
        <w:jc w:val="center"/>
        <w:rPr>
          <w:rFonts w:ascii="Times New Roman" w:hAnsi="Times New Roman"/>
          <w:b/>
          <w:sz w:val="24"/>
          <w:szCs w:val="24"/>
        </w:rPr>
      </w:pPr>
    </w:p>
    <w:p w:rsidR="00835459" w:rsidRPr="004B0E95" w:rsidRDefault="00835459" w:rsidP="00835459">
      <w:pPr>
        <w:spacing w:line="240" w:lineRule="atLeast"/>
        <w:jc w:val="center"/>
        <w:rPr>
          <w:rFonts w:ascii="Times New Roman" w:hAnsi="Times New Roman"/>
          <w:b/>
          <w:sz w:val="24"/>
          <w:szCs w:val="24"/>
        </w:rPr>
      </w:pPr>
      <w:r w:rsidRPr="004B0E95">
        <w:rPr>
          <w:rFonts w:ascii="Times New Roman" w:hAnsi="Times New Roman"/>
          <w:b/>
          <w:sz w:val="24"/>
          <w:szCs w:val="24"/>
        </w:rPr>
        <w:t>Čl. II</w:t>
      </w:r>
    </w:p>
    <w:p w:rsidR="00835459" w:rsidRPr="004B0E95" w:rsidRDefault="00D11AA8" w:rsidP="00835459">
      <w:pPr>
        <w:spacing w:line="240" w:lineRule="auto"/>
        <w:jc w:val="both"/>
        <w:rPr>
          <w:rFonts w:ascii="Times New Roman" w:hAnsi="Times New Roman"/>
          <w:sz w:val="24"/>
          <w:szCs w:val="24"/>
        </w:rPr>
      </w:pPr>
      <w:r>
        <w:rPr>
          <w:rFonts w:ascii="Times New Roman" w:hAnsi="Times New Roman"/>
          <w:sz w:val="24"/>
          <w:szCs w:val="24"/>
        </w:rPr>
        <w:tab/>
      </w:r>
      <w:r w:rsidR="00835459" w:rsidRPr="004B0E95">
        <w:rPr>
          <w:rFonts w:ascii="Times New Roman" w:hAnsi="Times New Roman"/>
          <w:sz w:val="24"/>
          <w:szCs w:val="24"/>
        </w:rPr>
        <w:t>Vzhľadom na predpokladanú dĺžku legislatívneho procesu sa navrhuje dátum účinnosti</w:t>
      </w:r>
      <w:r w:rsidR="00835459">
        <w:rPr>
          <w:rFonts w:ascii="Times New Roman" w:hAnsi="Times New Roman"/>
          <w:sz w:val="24"/>
          <w:szCs w:val="24"/>
        </w:rPr>
        <w:t xml:space="preserve"> 1. august</w:t>
      </w:r>
      <w:r w:rsidR="00835459" w:rsidRPr="004B0E95">
        <w:rPr>
          <w:rFonts w:ascii="Times New Roman" w:hAnsi="Times New Roman"/>
          <w:sz w:val="24"/>
          <w:szCs w:val="24"/>
        </w:rPr>
        <w:t xml:space="preserve">a 2022 okrem čl. I bodov </w:t>
      </w:r>
      <w:r>
        <w:rPr>
          <w:rFonts w:ascii="Times New Roman" w:hAnsi="Times New Roman"/>
          <w:sz w:val="24"/>
          <w:szCs w:val="24"/>
        </w:rPr>
        <w:t>7,</w:t>
      </w:r>
      <w:r w:rsidR="00835459" w:rsidRPr="004B0E95">
        <w:rPr>
          <w:rFonts w:ascii="Times New Roman" w:hAnsi="Times New Roman"/>
          <w:sz w:val="24"/>
          <w:szCs w:val="24"/>
        </w:rPr>
        <w:t> 1</w:t>
      </w:r>
      <w:r>
        <w:rPr>
          <w:rFonts w:ascii="Times New Roman" w:hAnsi="Times New Roman"/>
          <w:sz w:val="24"/>
          <w:szCs w:val="24"/>
        </w:rPr>
        <w:t>2</w:t>
      </w:r>
      <w:r w:rsidR="00835459" w:rsidRPr="004B0E95">
        <w:rPr>
          <w:rFonts w:ascii="Times New Roman" w:hAnsi="Times New Roman"/>
          <w:sz w:val="24"/>
          <w:szCs w:val="24"/>
        </w:rPr>
        <w:t xml:space="preserve"> až 1</w:t>
      </w:r>
      <w:r>
        <w:rPr>
          <w:rFonts w:ascii="Times New Roman" w:hAnsi="Times New Roman"/>
          <w:sz w:val="24"/>
          <w:szCs w:val="24"/>
        </w:rPr>
        <w:t>4 a 84, ktoré nadobúdajú účinnosť 1 </w:t>
      </w:r>
      <w:r w:rsidR="00835459" w:rsidRPr="004B0E95">
        <w:rPr>
          <w:rFonts w:ascii="Times New Roman" w:hAnsi="Times New Roman"/>
          <w:sz w:val="24"/>
          <w:szCs w:val="24"/>
        </w:rPr>
        <w:t xml:space="preserve"> januára 2024.</w:t>
      </w:r>
    </w:p>
    <w:p w:rsidR="00835459" w:rsidRDefault="00835459" w:rsidP="00835459">
      <w:pPr>
        <w:spacing w:after="0" w:line="240" w:lineRule="auto"/>
        <w:jc w:val="both"/>
        <w:rPr>
          <w:rFonts w:ascii="Times New Roman" w:hAnsi="Times New Roman" w:cs="Times New Roman"/>
          <w:sz w:val="24"/>
          <w:szCs w:val="24"/>
        </w:rPr>
      </w:pPr>
    </w:p>
    <w:p w:rsidR="00FA5615" w:rsidRPr="004B0E95" w:rsidRDefault="00FA5615" w:rsidP="00835459">
      <w:pPr>
        <w:spacing w:after="0" w:line="240" w:lineRule="auto"/>
        <w:jc w:val="both"/>
        <w:rPr>
          <w:rFonts w:ascii="Times New Roman" w:hAnsi="Times New Roman" w:cs="Times New Roman"/>
          <w:sz w:val="24"/>
          <w:szCs w:val="24"/>
        </w:rPr>
      </w:pPr>
    </w:p>
    <w:p w:rsidR="009E6383" w:rsidRPr="009E6383" w:rsidRDefault="009E6383" w:rsidP="009E6383">
      <w:pPr>
        <w:spacing w:after="0" w:line="240" w:lineRule="auto"/>
        <w:ind w:left="426" w:hanging="426"/>
        <w:jc w:val="both"/>
        <w:rPr>
          <w:rFonts w:ascii="Times New Roman" w:eastAsia="Times New Roman" w:hAnsi="Times New Roman" w:cs="Times New Roman"/>
          <w:bCs/>
          <w:sz w:val="24"/>
          <w:szCs w:val="24"/>
          <w:lang w:eastAsia="sk-SK"/>
        </w:rPr>
      </w:pPr>
      <w:r w:rsidRPr="009E6383">
        <w:rPr>
          <w:rFonts w:ascii="Times New Roman" w:eastAsia="Times New Roman" w:hAnsi="Times New Roman" w:cs="Times New Roman"/>
          <w:bCs/>
          <w:sz w:val="24"/>
          <w:szCs w:val="24"/>
          <w:lang w:eastAsia="sk-SK"/>
        </w:rPr>
        <w:t>V Bratislave 6. apríla 2022</w:t>
      </w:r>
    </w:p>
    <w:p w:rsidR="009E6383" w:rsidRPr="009E6383" w:rsidRDefault="009E6383" w:rsidP="009E6383">
      <w:pPr>
        <w:spacing w:after="0" w:line="240" w:lineRule="auto"/>
        <w:ind w:left="426"/>
        <w:jc w:val="both"/>
        <w:rPr>
          <w:rFonts w:ascii="Times New Roman" w:eastAsia="Times New Roman" w:hAnsi="Times New Roman" w:cs="Times New Roman"/>
          <w:bCs/>
          <w:sz w:val="24"/>
          <w:szCs w:val="24"/>
          <w:lang w:eastAsia="sk-SK"/>
        </w:rPr>
      </w:pPr>
    </w:p>
    <w:p w:rsidR="009E6383" w:rsidRPr="009E6383" w:rsidRDefault="009E6383" w:rsidP="009E6383">
      <w:pPr>
        <w:spacing w:after="0" w:line="240" w:lineRule="auto"/>
        <w:jc w:val="center"/>
        <w:rPr>
          <w:rFonts w:ascii="Times New Roman" w:eastAsia="Times New Roman" w:hAnsi="Times New Roman" w:cs="Times New Roman"/>
          <w:b/>
          <w:sz w:val="24"/>
          <w:szCs w:val="24"/>
          <w:lang w:eastAsia="sk-SK"/>
        </w:rPr>
      </w:pPr>
    </w:p>
    <w:p w:rsidR="009E6383" w:rsidRPr="009E6383" w:rsidRDefault="009E6383" w:rsidP="009E6383">
      <w:pPr>
        <w:spacing w:after="0" w:line="240" w:lineRule="auto"/>
        <w:jc w:val="center"/>
        <w:rPr>
          <w:rFonts w:ascii="Times New Roman" w:eastAsia="Times New Roman" w:hAnsi="Times New Roman" w:cs="Times New Roman"/>
          <w:b/>
          <w:sz w:val="24"/>
          <w:szCs w:val="24"/>
          <w:lang w:eastAsia="sk-SK"/>
        </w:rPr>
      </w:pPr>
    </w:p>
    <w:p w:rsidR="009E6383" w:rsidRPr="009E6383" w:rsidRDefault="009E6383" w:rsidP="009E6383">
      <w:pPr>
        <w:spacing w:after="0" w:line="240" w:lineRule="auto"/>
        <w:jc w:val="center"/>
        <w:rPr>
          <w:rFonts w:ascii="Times New Roman" w:eastAsia="Times New Roman" w:hAnsi="Times New Roman" w:cs="Times New Roman"/>
          <w:b/>
          <w:sz w:val="24"/>
          <w:szCs w:val="24"/>
          <w:lang w:eastAsia="sk-SK"/>
        </w:rPr>
      </w:pPr>
    </w:p>
    <w:p w:rsidR="009E6383" w:rsidRPr="009E6383" w:rsidRDefault="009E6383" w:rsidP="009E6383">
      <w:pPr>
        <w:spacing w:after="0" w:line="240" w:lineRule="auto"/>
        <w:jc w:val="center"/>
        <w:rPr>
          <w:rFonts w:ascii="Times New Roman" w:eastAsia="Times New Roman" w:hAnsi="Times New Roman" w:cs="Times New Roman"/>
          <w:b/>
          <w:sz w:val="24"/>
          <w:szCs w:val="24"/>
          <w:lang w:eastAsia="sk-SK"/>
        </w:rPr>
      </w:pPr>
    </w:p>
    <w:p w:rsidR="009E6383" w:rsidRPr="009E6383" w:rsidRDefault="009E6383" w:rsidP="009E6383">
      <w:pPr>
        <w:spacing w:after="0" w:line="240" w:lineRule="auto"/>
        <w:jc w:val="center"/>
        <w:rPr>
          <w:rFonts w:ascii="Times New Roman" w:eastAsia="Times New Roman" w:hAnsi="Times New Roman" w:cs="Times New Roman"/>
          <w:b/>
          <w:sz w:val="24"/>
          <w:szCs w:val="24"/>
          <w:lang w:eastAsia="sk-SK"/>
        </w:rPr>
      </w:pPr>
      <w:r w:rsidRPr="009E6383">
        <w:rPr>
          <w:rFonts w:ascii="Times New Roman" w:eastAsia="Times New Roman" w:hAnsi="Times New Roman" w:cs="Times New Roman"/>
          <w:b/>
          <w:sz w:val="24"/>
          <w:szCs w:val="24"/>
          <w:lang w:eastAsia="sk-SK"/>
        </w:rPr>
        <w:t>Eduard Heger</w:t>
      </w:r>
      <w:r w:rsidR="007514DE">
        <w:rPr>
          <w:rFonts w:ascii="Times New Roman" w:eastAsia="Times New Roman" w:hAnsi="Times New Roman" w:cs="Times New Roman"/>
          <w:b/>
          <w:sz w:val="24"/>
          <w:szCs w:val="24"/>
          <w:lang w:eastAsia="sk-SK"/>
        </w:rPr>
        <w:t xml:space="preserve"> v. r.</w:t>
      </w:r>
    </w:p>
    <w:p w:rsidR="009E6383" w:rsidRPr="009E6383" w:rsidRDefault="009E6383" w:rsidP="009E6383">
      <w:pPr>
        <w:spacing w:after="0" w:line="240" w:lineRule="auto"/>
        <w:jc w:val="center"/>
        <w:rPr>
          <w:rFonts w:ascii="Times New Roman" w:eastAsia="Times New Roman" w:hAnsi="Times New Roman" w:cs="Times New Roman"/>
          <w:b/>
          <w:sz w:val="24"/>
          <w:szCs w:val="24"/>
          <w:lang w:eastAsia="sk-SK"/>
        </w:rPr>
      </w:pPr>
      <w:r w:rsidRPr="009E6383">
        <w:rPr>
          <w:rFonts w:ascii="Times New Roman" w:eastAsia="Times New Roman" w:hAnsi="Times New Roman" w:cs="Times New Roman"/>
          <w:b/>
          <w:sz w:val="24"/>
          <w:szCs w:val="24"/>
          <w:lang w:eastAsia="sk-SK"/>
        </w:rPr>
        <w:t>predseda vlády Slovenskej republiky</w:t>
      </w:r>
    </w:p>
    <w:p w:rsidR="009E6383" w:rsidRPr="009E6383" w:rsidRDefault="009E6383" w:rsidP="009E6383">
      <w:pPr>
        <w:spacing w:after="0" w:line="240" w:lineRule="auto"/>
        <w:jc w:val="center"/>
        <w:rPr>
          <w:rFonts w:ascii="Times New Roman" w:eastAsia="Times New Roman" w:hAnsi="Times New Roman" w:cs="Times New Roman"/>
          <w:b/>
          <w:sz w:val="24"/>
          <w:szCs w:val="24"/>
          <w:lang w:eastAsia="sk-SK"/>
        </w:rPr>
      </w:pPr>
    </w:p>
    <w:p w:rsidR="009E6383" w:rsidRPr="009E6383" w:rsidRDefault="009E6383" w:rsidP="009E6383">
      <w:pPr>
        <w:spacing w:after="0" w:line="240" w:lineRule="auto"/>
        <w:jc w:val="center"/>
        <w:rPr>
          <w:rFonts w:ascii="Times New Roman" w:eastAsia="Times New Roman" w:hAnsi="Times New Roman" w:cs="Times New Roman"/>
          <w:b/>
          <w:sz w:val="24"/>
          <w:szCs w:val="24"/>
          <w:lang w:eastAsia="sk-SK"/>
        </w:rPr>
      </w:pPr>
    </w:p>
    <w:p w:rsidR="009E6383" w:rsidRPr="009E6383" w:rsidRDefault="009E6383" w:rsidP="009E6383">
      <w:pPr>
        <w:spacing w:after="0" w:line="240" w:lineRule="auto"/>
        <w:jc w:val="center"/>
        <w:rPr>
          <w:rFonts w:ascii="Times New Roman" w:eastAsia="Times New Roman" w:hAnsi="Times New Roman" w:cs="Times New Roman"/>
          <w:b/>
          <w:sz w:val="24"/>
          <w:szCs w:val="24"/>
          <w:lang w:eastAsia="sk-SK"/>
        </w:rPr>
      </w:pPr>
      <w:r w:rsidRPr="009E6383">
        <w:rPr>
          <w:rFonts w:ascii="Times New Roman" w:eastAsia="Times New Roman" w:hAnsi="Times New Roman" w:cs="Times New Roman"/>
          <w:b/>
          <w:sz w:val="24"/>
          <w:szCs w:val="24"/>
          <w:lang w:eastAsia="sk-SK"/>
        </w:rPr>
        <w:t>Roman Mikulec</w:t>
      </w:r>
      <w:r w:rsidR="007514DE">
        <w:rPr>
          <w:rFonts w:ascii="Times New Roman" w:eastAsia="Times New Roman" w:hAnsi="Times New Roman" w:cs="Times New Roman"/>
          <w:b/>
          <w:sz w:val="24"/>
          <w:szCs w:val="24"/>
          <w:lang w:eastAsia="sk-SK"/>
        </w:rPr>
        <w:t xml:space="preserve"> v. r.</w:t>
      </w:r>
      <w:bookmarkStart w:id="1" w:name="_GoBack"/>
      <w:bookmarkEnd w:id="1"/>
      <w:r w:rsidRPr="009E6383">
        <w:rPr>
          <w:rFonts w:ascii="Times New Roman" w:eastAsia="Times New Roman" w:hAnsi="Times New Roman" w:cs="Times New Roman"/>
          <w:b/>
          <w:sz w:val="24"/>
          <w:szCs w:val="24"/>
          <w:lang w:eastAsia="sk-SK"/>
        </w:rPr>
        <w:t xml:space="preserve"> </w:t>
      </w:r>
    </w:p>
    <w:p w:rsidR="009E6383" w:rsidRPr="009E6383" w:rsidRDefault="009E6383" w:rsidP="009E6383">
      <w:pPr>
        <w:spacing w:after="0" w:line="240" w:lineRule="auto"/>
        <w:jc w:val="center"/>
        <w:rPr>
          <w:rFonts w:ascii="Times New Roman" w:eastAsia="Times New Roman" w:hAnsi="Times New Roman" w:cs="Times New Roman"/>
          <w:sz w:val="24"/>
          <w:szCs w:val="24"/>
          <w:lang w:eastAsia="sk-SK"/>
        </w:rPr>
      </w:pPr>
      <w:r w:rsidRPr="009E6383">
        <w:rPr>
          <w:rFonts w:ascii="Times New Roman" w:eastAsia="Times New Roman" w:hAnsi="Times New Roman" w:cs="Times New Roman"/>
          <w:b/>
          <w:sz w:val="24"/>
          <w:szCs w:val="24"/>
          <w:lang w:eastAsia="sk-SK"/>
        </w:rPr>
        <w:t>minister vnútra Slovenskej republiky</w:t>
      </w:r>
    </w:p>
    <w:p w:rsidR="009E6383" w:rsidRPr="009E6383" w:rsidRDefault="009E6383" w:rsidP="009E6383">
      <w:pPr>
        <w:spacing w:after="160" w:line="256" w:lineRule="auto"/>
        <w:rPr>
          <w:rFonts w:ascii="Times New Roman" w:eastAsia="Calibri" w:hAnsi="Times New Roman" w:cs="Times New Roman"/>
          <w:sz w:val="24"/>
          <w:szCs w:val="24"/>
        </w:rPr>
      </w:pPr>
    </w:p>
    <w:p w:rsidR="009E6383" w:rsidRPr="009E6383" w:rsidRDefault="009E6383" w:rsidP="009E6383">
      <w:pPr>
        <w:spacing w:after="0" w:line="240" w:lineRule="auto"/>
        <w:ind w:firstLine="709"/>
        <w:contextualSpacing/>
        <w:jc w:val="both"/>
        <w:rPr>
          <w:rFonts w:ascii="Times New Roman" w:eastAsia="Times New Roman" w:hAnsi="Times New Roman" w:cs="Times New Roman"/>
          <w:sz w:val="24"/>
          <w:szCs w:val="24"/>
          <w:lang w:eastAsia="sk-SK"/>
        </w:rPr>
      </w:pPr>
    </w:p>
    <w:p w:rsidR="005C2880" w:rsidRDefault="005C2880"/>
    <w:sectPr w:rsidR="005C2880" w:rsidSect="0083545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67A" w:rsidRDefault="00BF567A">
      <w:pPr>
        <w:spacing w:after="0" w:line="240" w:lineRule="auto"/>
      </w:pPr>
      <w:r>
        <w:separator/>
      </w:r>
    </w:p>
  </w:endnote>
  <w:endnote w:type="continuationSeparator" w:id="0">
    <w:p w:rsidR="00BF567A" w:rsidRDefault="00BF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974344"/>
      <w:docPartObj>
        <w:docPartGallery w:val="Page Numbers (Bottom of Page)"/>
        <w:docPartUnique/>
      </w:docPartObj>
    </w:sdtPr>
    <w:sdtEndPr>
      <w:rPr>
        <w:sz w:val="20"/>
        <w:szCs w:val="20"/>
      </w:rPr>
    </w:sdtEndPr>
    <w:sdtContent>
      <w:p w:rsidR="00A14978" w:rsidRPr="00E54477" w:rsidRDefault="00A14978">
        <w:pPr>
          <w:pStyle w:val="Pta"/>
          <w:jc w:val="center"/>
          <w:rPr>
            <w:sz w:val="20"/>
            <w:szCs w:val="20"/>
          </w:rPr>
        </w:pPr>
        <w:r w:rsidRPr="00E54477">
          <w:rPr>
            <w:sz w:val="20"/>
            <w:szCs w:val="20"/>
          </w:rPr>
          <w:fldChar w:fldCharType="begin"/>
        </w:r>
        <w:r w:rsidRPr="00E54477">
          <w:rPr>
            <w:sz w:val="20"/>
            <w:szCs w:val="20"/>
          </w:rPr>
          <w:instrText>PAGE   \* MERGEFORMAT</w:instrText>
        </w:r>
        <w:r w:rsidRPr="00E54477">
          <w:rPr>
            <w:sz w:val="20"/>
            <w:szCs w:val="20"/>
          </w:rPr>
          <w:fldChar w:fldCharType="separate"/>
        </w:r>
        <w:r w:rsidR="007514DE">
          <w:rPr>
            <w:noProof/>
            <w:sz w:val="20"/>
            <w:szCs w:val="20"/>
          </w:rPr>
          <w:t>35</w:t>
        </w:r>
        <w:r w:rsidRPr="00E54477">
          <w:rPr>
            <w:sz w:val="20"/>
            <w:szCs w:val="20"/>
          </w:rPr>
          <w:fldChar w:fldCharType="end"/>
        </w:r>
      </w:p>
    </w:sdtContent>
  </w:sdt>
  <w:p w:rsidR="00A14978" w:rsidRDefault="00A149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67A" w:rsidRDefault="00BF567A">
      <w:pPr>
        <w:spacing w:after="0" w:line="240" w:lineRule="auto"/>
      </w:pPr>
      <w:r>
        <w:separator/>
      </w:r>
    </w:p>
  </w:footnote>
  <w:footnote w:type="continuationSeparator" w:id="0">
    <w:p w:rsidR="00BF567A" w:rsidRDefault="00BF5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76C4A"/>
    <w:multiLevelType w:val="hybridMultilevel"/>
    <w:tmpl w:val="522CE26C"/>
    <w:lvl w:ilvl="0" w:tplc="041B0017">
      <w:start w:val="1"/>
      <w:numFmt w:val="lowerLetter"/>
      <w:lvlText w:val="%1)"/>
      <w:lvlJc w:val="left"/>
      <w:pPr>
        <w:ind w:left="1211" w:hanging="360"/>
      </w:pPr>
      <w:rPr>
        <w:rFonts w:cs="Times New Roman"/>
      </w:rPr>
    </w:lvl>
    <w:lvl w:ilvl="1" w:tplc="041B0019">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 w15:restartNumberingAfterBreak="0">
    <w:nsid w:val="64974224"/>
    <w:multiLevelType w:val="hybridMultilevel"/>
    <w:tmpl w:val="5EE2A18C"/>
    <w:lvl w:ilvl="0" w:tplc="041B0015">
      <w:start w:val="1"/>
      <w:numFmt w:val="upp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 w15:restartNumberingAfterBreak="0">
    <w:nsid w:val="6C6101B7"/>
    <w:multiLevelType w:val="hybridMultilevel"/>
    <w:tmpl w:val="9392C036"/>
    <w:lvl w:ilvl="0" w:tplc="FB628390">
      <w:start w:val="3"/>
      <w:numFmt w:val="bullet"/>
      <w:lvlText w:val="-"/>
      <w:lvlJc w:val="left"/>
      <w:pPr>
        <w:ind w:left="1074" w:hanging="360"/>
      </w:pPr>
      <w:rPr>
        <w:rFonts w:ascii="Times New Roman" w:eastAsia="Times New Roman" w:hAnsi="Times New Roman" w:hint="default"/>
      </w:rPr>
    </w:lvl>
    <w:lvl w:ilvl="1" w:tplc="041B0003" w:tentative="1">
      <w:start w:val="1"/>
      <w:numFmt w:val="bullet"/>
      <w:lvlText w:val="o"/>
      <w:lvlJc w:val="left"/>
      <w:pPr>
        <w:ind w:left="1794" w:hanging="360"/>
      </w:pPr>
      <w:rPr>
        <w:rFonts w:ascii="Courier New" w:hAnsi="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6E"/>
    <w:rsid w:val="00067E7A"/>
    <w:rsid w:val="00092000"/>
    <w:rsid w:val="000F43E0"/>
    <w:rsid w:val="00214E9F"/>
    <w:rsid w:val="00252992"/>
    <w:rsid w:val="00286570"/>
    <w:rsid w:val="003444D1"/>
    <w:rsid w:val="00375787"/>
    <w:rsid w:val="003E739F"/>
    <w:rsid w:val="00551A74"/>
    <w:rsid w:val="005C0A8C"/>
    <w:rsid w:val="005C2880"/>
    <w:rsid w:val="005D34CC"/>
    <w:rsid w:val="0064002C"/>
    <w:rsid w:val="006C3642"/>
    <w:rsid w:val="006E74BA"/>
    <w:rsid w:val="007514DE"/>
    <w:rsid w:val="00766A49"/>
    <w:rsid w:val="00794493"/>
    <w:rsid w:val="007945D3"/>
    <w:rsid w:val="007B1A6F"/>
    <w:rsid w:val="008308F4"/>
    <w:rsid w:val="00835459"/>
    <w:rsid w:val="00851AF5"/>
    <w:rsid w:val="008743F9"/>
    <w:rsid w:val="00891DAF"/>
    <w:rsid w:val="008B2C79"/>
    <w:rsid w:val="008C4534"/>
    <w:rsid w:val="008D2BB7"/>
    <w:rsid w:val="00914C18"/>
    <w:rsid w:val="0099182E"/>
    <w:rsid w:val="009A1C7C"/>
    <w:rsid w:val="009B2FAA"/>
    <w:rsid w:val="009E6383"/>
    <w:rsid w:val="00A07E8C"/>
    <w:rsid w:val="00A14978"/>
    <w:rsid w:val="00A67140"/>
    <w:rsid w:val="00A91D86"/>
    <w:rsid w:val="00AD5E00"/>
    <w:rsid w:val="00AF3D84"/>
    <w:rsid w:val="00AF4643"/>
    <w:rsid w:val="00B610D2"/>
    <w:rsid w:val="00BF1A70"/>
    <w:rsid w:val="00BF567A"/>
    <w:rsid w:val="00C5146E"/>
    <w:rsid w:val="00C6467E"/>
    <w:rsid w:val="00D11AA8"/>
    <w:rsid w:val="00DD2695"/>
    <w:rsid w:val="00DF6EA3"/>
    <w:rsid w:val="00E22536"/>
    <w:rsid w:val="00E933D4"/>
    <w:rsid w:val="00ED65B8"/>
    <w:rsid w:val="00EF229D"/>
    <w:rsid w:val="00FA5615"/>
    <w:rsid w:val="00FB24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9367"/>
  <w15:docId w15:val="{5C3F321B-0473-4B3D-887D-067986DA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578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35459"/>
    <w:pPr>
      <w:spacing w:after="0" w:line="240" w:lineRule="auto"/>
      <w:ind w:left="720" w:hanging="284"/>
      <w:contextualSpacing/>
      <w:jc w:val="both"/>
    </w:pPr>
    <w:rPr>
      <w:rFonts w:ascii="Calibri" w:eastAsia="Calibri" w:hAnsi="Calibri" w:cs="Times New Roman"/>
    </w:rPr>
  </w:style>
  <w:style w:type="paragraph" w:styleId="Bezriadkovania">
    <w:name w:val="No Spacing"/>
    <w:uiPriority w:val="1"/>
    <w:qFormat/>
    <w:rsid w:val="00835459"/>
    <w:pPr>
      <w:spacing w:after="0" w:line="240" w:lineRule="auto"/>
    </w:pPr>
  </w:style>
  <w:style w:type="paragraph" w:styleId="Zkladntext">
    <w:name w:val="Body Text"/>
    <w:basedOn w:val="Normlny"/>
    <w:link w:val="ZkladntextChar"/>
    <w:uiPriority w:val="99"/>
    <w:rsid w:val="00286570"/>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286570"/>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86570"/>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286570"/>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286570"/>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uiPriority w:val="99"/>
    <w:rsid w:val="00286570"/>
    <w:rPr>
      <w:rFonts w:ascii="Times New Roman" w:eastAsia="Times New Roman" w:hAnsi="Times New Roman" w:cs="Times New Roman"/>
      <w:sz w:val="24"/>
      <w:szCs w:val="24"/>
      <w:lang w:eastAsia="sk-SK"/>
    </w:rPr>
  </w:style>
  <w:style w:type="paragraph" w:styleId="Pta">
    <w:name w:val="footer"/>
    <w:basedOn w:val="Normlny"/>
    <w:link w:val="PtaChar"/>
    <w:uiPriority w:val="99"/>
    <w:rsid w:val="00286570"/>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286570"/>
    <w:rPr>
      <w:rFonts w:ascii="Times New Roman" w:eastAsia="Times New Roman" w:hAnsi="Times New Roman" w:cs="Times New Roman"/>
      <w:sz w:val="24"/>
      <w:szCs w:val="24"/>
      <w:lang w:eastAsia="sk-SK"/>
    </w:rPr>
  </w:style>
  <w:style w:type="paragraph" w:styleId="Normlnywebov">
    <w:name w:val="Normal (Web)"/>
    <w:basedOn w:val="Normlny"/>
    <w:uiPriority w:val="99"/>
    <w:rsid w:val="0028657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286570"/>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286570"/>
    <w:rPr>
      <w:rFonts w:ascii="Times New Roman" w:eastAsia="Times New Roman" w:hAnsi="Times New Roman" w:cs="Times New Roman"/>
      <w:sz w:val="20"/>
      <w:szCs w:val="20"/>
      <w:lang w:eastAsia="sk-SK"/>
    </w:rPr>
  </w:style>
  <w:style w:type="character" w:styleId="Zvraznenie">
    <w:name w:val="Emphasis"/>
    <w:uiPriority w:val="20"/>
    <w:qFormat/>
    <w:rsid w:val="00286570"/>
    <w:rPr>
      <w:i/>
      <w:iCs/>
    </w:rPr>
  </w:style>
  <w:style w:type="table" w:customStyle="1" w:styleId="Mriekatabuky3">
    <w:name w:val="Mriežka tabuľky3"/>
    <w:basedOn w:val="Normlnatabuka"/>
    <w:next w:val="Mriekatabuky"/>
    <w:uiPriority w:val="59"/>
    <w:rsid w:val="0028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286570"/>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86570"/>
    <w:pPr>
      <w:suppressAutoHyphens/>
      <w:autoSpaceDN w:val="0"/>
      <w:spacing w:after="0" w:line="240" w:lineRule="auto"/>
    </w:pPr>
    <w:rPr>
      <w:rFonts w:ascii="Liberation Serif" w:eastAsia="Times New Roman" w:hAnsi="Liberation Serif" w:cs="Lohit Devanagari"/>
      <w:kern w:val="3"/>
      <w:sz w:val="24"/>
      <w:szCs w:val="24"/>
      <w:lang w:eastAsia="zh-CN" w:bidi="hi-IN"/>
    </w:rPr>
  </w:style>
  <w:style w:type="paragraph" w:styleId="Textbubliny">
    <w:name w:val="Balloon Text"/>
    <w:basedOn w:val="Normlny"/>
    <w:link w:val="TextbublinyChar"/>
    <w:uiPriority w:val="99"/>
    <w:semiHidden/>
    <w:unhideWhenUsed/>
    <w:rsid w:val="00A1497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4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79082">
      <w:bodyDiv w:val="1"/>
      <w:marLeft w:val="0"/>
      <w:marRight w:val="0"/>
      <w:marTop w:val="0"/>
      <w:marBottom w:val="0"/>
      <w:divBdr>
        <w:top w:val="none" w:sz="0" w:space="0" w:color="auto"/>
        <w:left w:val="none" w:sz="0" w:space="0" w:color="auto"/>
        <w:bottom w:val="none" w:sz="0" w:space="0" w:color="auto"/>
        <w:right w:val="none" w:sz="0" w:space="0" w:color="auto"/>
      </w:divBdr>
    </w:div>
    <w:div w:id="11345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4._Dôvodová_správa_všeobecná_časť"/>
    <f:field ref="objsubject" par="" edit="true" text=""/>
    <f:field ref="objcreatedby" par="" text="Beník, Juraj, Mgr."/>
    <f:field ref="objcreatedat" par="" text="27.1.2022 13:48:56"/>
    <f:field ref="objchangedby" par="" text="Administrator, System"/>
    <f:field ref="objmodifiedat" par="" text="27.1.2022 13:48:5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5BC05DD-0A5E-4DC4-AD60-5773B3DD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35</Pages>
  <Words>11493</Words>
  <Characters>65516</Characters>
  <Application>Microsoft Office Word</Application>
  <DocSecurity>0</DocSecurity>
  <Lines>545</Lines>
  <Paragraphs>153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Nataša Wiedemannová</cp:lastModifiedBy>
  <cp:revision>34</cp:revision>
  <cp:lastPrinted>2022-04-07T06:37:00Z</cp:lastPrinted>
  <dcterms:created xsi:type="dcterms:W3CDTF">2022-03-29T16:49:00Z</dcterms:created>
  <dcterms:modified xsi:type="dcterms:W3CDTF">2022-04-08T06:46:00Z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SEKCIA LEGISLATÍVY A PRÁVNYCH SLUŽIEB MV SR</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SL -  SEKCIA LEGISLATÍVY a PRÁVNYCH SLUŽIEB MV SR</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BEZPEČNOSTNEJ LEGISLATÍVY</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plk. JUDr. Peter Kriška SL</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14. 1. 2022, 08:32</vt:lpwstr>
  </property>
  <property fmtid="{D5CDD505-2E9C-101B-9397-08002B2CF9AE}" pid="84" name="FSC#SKEDITIONREG@103.510:curruserrolegroup">
    <vt:lpwstr>ODBOR BEZPEČNOSTNEJ LEGISLATÍVY</vt:lpwstr>
  </property>
  <property fmtid="{D5CDD505-2E9C-101B-9397-08002B2CF9AE}" pid="85" name="FSC#SKEDITIONREG@103.510:currusersubst">
    <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SL -  SEKCIA LEGISLATÍVY a PRÁVNYCH SLUŽIEB MV SR</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10">
    <vt:lpwstr/>
  </property>
  <property fmtid="{D5CDD505-2E9C-101B-9397-08002B2CF9AE}" pid="152" name="FSC#SKEDITIONREG@103.510:zaznam_vnut_adresati_11">
    <vt:lpwstr/>
  </property>
  <property fmtid="{D5CDD505-2E9C-101B-9397-08002B2CF9AE}" pid="153" name="FSC#SKEDITIONREG@103.510:zaznam_vnut_adresati_12">
    <vt:lpwstr/>
  </property>
  <property fmtid="{D5CDD505-2E9C-101B-9397-08002B2CF9AE}" pid="154" name="FSC#SKEDITIONREG@103.510:zaznam_vnut_adresati_13">
    <vt:lpwstr/>
  </property>
  <property fmtid="{D5CDD505-2E9C-101B-9397-08002B2CF9AE}" pid="155" name="FSC#SKEDITIONREG@103.510:zaznam_vnut_adresati_14">
    <vt:lpwstr/>
  </property>
  <property fmtid="{D5CDD505-2E9C-101B-9397-08002B2CF9AE}" pid="156" name="FSC#SKEDITIONREG@103.510:zaznam_vnut_adresati_15">
    <vt:lpwstr/>
  </property>
  <property fmtid="{D5CDD505-2E9C-101B-9397-08002B2CF9AE}" pid="157" name="FSC#SKEDITIONREG@103.510:zaznam_vnut_adresati_16">
    <vt:lpwstr/>
  </property>
  <property fmtid="{D5CDD505-2E9C-101B-9397-08002B2CF9AE}" pid="158" name="FSC#SKEDITIONREG@103.510:zaznam_vnut_adresati_17">
    <vt:lpwstr/>
  </property>
  <property fmtid="{D5CDD505-2E9C-101B-9397-08002B2CF9AE}" pid="159" name="FSC#SKEDITIONREG@103.510:zaznam_vnut_adresati_18">
    <vt:lpwstr/>
  </property>
  <property fmtid="{D5CDD505-2E9C-101B-9397-08002B2CF9AE}" pid="160" name="FSC#SKEDITIONREG@103.510:zaznam_vnut_adresati_19">
    <vt:lpwstr/>
  </property>
  <property fmtid="{D5CDD505-2E9C-101B-9397-08002B2CF9AE}" pid="161" name="FSC#SKEDITIONREG@103.510:zaznam_vnut_adresati_2">
    <vt:lpwstr/>
  </property>
  <property fmtid="{D5CDD505-2E9C-101B-9397-08002B2CF9AE}" pid="162" name="FSC#SKEDITIONREG@103.510:zaznam_vnut_adresati_20">
    <vt:lpwstr/>
  </property>
  <property fmtid="{D5CDD505-2E9C-101B-9397-08002B2CF9AE}" pid="163" name="FSC#SKEDITIONREG@103.510:zaznam_vnut_adresati_21">
    <vt:lpwstr/>
  </property>
  <property fmtid="{D5CDD505-2E9C-101B-9397-08002B2CF9AE}" pid="164" name="FSC#SKEDITIONREG@103.510:zaznam_vnut_adresati_22">
    <vt:lpwstr/>
  </property>
  <property fmtid="{D5CDD505-2E9C-101B-9397-08002B2CF9AE}" pid="165" name="FSC#SKEDITIONREG@103.510:zaznam_vnut_adresati_23">
    <vt:lpwstr/>
  </property>
  <property fmtid="{D5CDD505-2E9C-101B-9397-08002B2CF9AE}" pid="166" name="FSC#SKEDITIONREG@103.510:zaznam_vnut_adresati_24">
    <vt:lpwstr/>
  </property>
  <property fmtid="{D5CDD505-2E9C-101B-9397-08002B2CF9AE}" pid="167" name="FSC#SKEDITIONREG@103.510:zaznam_vnut_adresati_25">
    <vt:lpwstr/>
  </property>
  <property fmtid="{D5CDD505-2E9C-101B-9397-08002B2CF9AE}" pid="168" name="FSC#SKEDITIONREG@103.510:zaznam_vnut_adresati_26">
    <vt:lpwstr/>
  </property>
  <property fmtid="{D5CDD505-2E9C-101B-9397-08002B2CF9AE}" pid="169" name="FSC#SKEDITIONREG@103.510:zaznam_vnut_adresati_27">
    <vt:lpwstr/>
  </property>
  <property fmtid="{D5CDD505-2E9C-101B-9397-08002B2CF9AE}" pid="170" name="FSC#SKEDITIONREG@103.510:zaznam_vnut_adresati_28">
    <vt:lpwstr/>
  </property>
  <property fmtid="{D5CDD505-2E9C-101B-9397-08002B2CF9AE}" pid="171" name="FSC#SKEDITIONREG@103.510:zaznam_vnut_adresati_29">
    <vt:lpwstr/>
  </property>
  <property fmtid="{D5CDD505-2E9C-101B-9397-08002B2CF9AE}" pid="172" name="FSC#SKEDITIONREG@103.510:zaznam_vnut_adresati_3">
    <vt:lpwstr/>
  </property>
  <property fmtid="{D5CDD505-2E9C-101B-9397-08002B2CF9AE}" pid="173" name="FSC#SKEDITIONREG@103.510:zaznam_vnut_adresati_30">
    <vt:lpwstr/>
  </property>
  <property fmtid="{D5CDD505-2E9C-101B-9397-08002B2CF9AE}" pid="174" name="FSC#SKEDITIONREG@103.510:zaznam_vnut_adresati_31">
    <vt:lpwstr/>
  </property>
  <property fmtid="{D5CDD505-2E9C-101B-9397-08002B2CF9AE}" pid="175" name="FSC#SKEDITIONREG@103.510:zaznam_vnut_adresati_32">
    <vt:lpwstr/>
  </property>
  <property fmtid="{D5CDD505-2E9C-101B-9397-08002B2CF9AE}" pid="176" name="FSC#SKEDITIONREG@103.510:zaznam_vnut_adresati_33">
    <vt:lpwstr/>
  </property>
  <property fmtid="{D5CDD505-2E9C-101B-9397-08002B2CF9AE}" pid="177" name="FSC#SKEDITIONREG@103.510:zaznam_vnut_adresati_34">
    <vt:lpwstr/>
  </property>
  <property fmtid="{D5CDD505-2E9C-101B-9397-08002B2CF9AE}" pid="178" name="FSC#SKEDITIONREG@103.510:zaznam_vnut_adresati_35">
    <vt:lpwstr/>
  </property>
  <property fmtid="{D5CDD505-2E9C-101B-9397-08002B2CF9AE}" pid="179" name="FSC#SKEDITIONREG@103.510:zaznam_vnut_adresati_36">
    <vt:lpwstr/>
  </property>
  <property fmtid="{D5CDD505-2E9C-101B-9397-08002B2CF9AE}" pid="180" name="FSC#SKEDITIONREG@103.510:zaznam_vnut_adresati_37">
    <vt:lpwstr/>
  </property>
  <property fmtid="{D5CDD505-2E9C-101B-9397-08002B2CF9AE}" pid="181" name="FSC#SKEDITIONREG@103.510:zaznam_vnut_adresati_38">
    <vt:lpwstr/>
  </property>
  <property fmtid="{D5CDD505-2E9C-101B-9397-08002B2CF9AE}" pid="182" name="FSC#SKEDITIONREG@103.510:zaznam_vnut_adresati_39">
    <vt:lpwstr/>
  </property>
  <property fmtid="{D5CDD505-2E9C-101B-9397-08002B2CF9AE}" pid="183" name="FSC#SKEDITIONREG@103.510:zaznam_vnut_adresati_4">
    <vt:lpwstr/>
  </property>
  <property fmtid="{D5CDD505-2E9C-101B-9397-08002B2CF9AE}" pid="184" name="FSC#SKEDITIONREG@103.510:zaznam_vnut_adresati_40">
    <vt:lpwstr/>
  </property>
  <property fmtid="{D5CDD505-2E9C-101B-9397-08002B2CF9AE}" pid="185" name="FSC#SKEDITIONREG@103.510:zaznam_vnut_adresati_41">
    <vt:lpwstr/>
  </property>
  <property fmtid="{D5CDD505-2E9C-101B-9397-08002B2CF9AE}" pid="186" name="FSC#SKEDITIONREG@103.510:zaznam_vnut_adresati_42">
    <vt:lpwstr/>
  </property>
  <property fmtid="{D5CDD505-2E9C-101B-9397-08002B2CF9AE}" pid="187" name="FSC#SKEDITIONREG@103.510:zaznam_vnut_adresati_43">
    <vt:lpwstr/>
  </property>
  <property fmtid="{D5CDD505-2E9C-101B-9397-08002B2CF9AE}" pid="188" name="FSC#SKEDITIONREG@103.510:zaznam_vnut_adresati_44">
    <vt:lpwstr/>
  </property>
  <property fmtid="{D5CDD505-2E9C-101B-9397-08002B2CF9AE}" pid="189" name="FSC#SKEDITIONREG@103.510:zaznam_vnut_adresati_45">
    <vt:lpwstr/>
  </property>
  <property fmtid="{D5CDD505-2E9C-101B-9397-08002B2CF9AE}" pid="190" name="FSC#SKEDITIONREG@103.510:zaznam_vnut_adresati_46">
    <vt:lpwstr/>
  </property>
  <property fmtid="{D5CDD505-2E9C-101B-9397-08002B2CF9AE}" pid="191" name="FSC#SKEDITIONREG@103.510:zaznam_vnut_adresati_47">
    <vt:lpwstr/>
  </property>
  <property fmtid="{D5CDD505-2E9C-101B-9397-08002B2CF9AE}" pid="192" name="FSC#SKEDITIONREG@103.510:zaznam_vnut_adresati_48">
    <vt:lpwstr/>
  </property>
  <property fmtid="{D5CDD505-2E9C-101B-9397-08002B2CF9AE}" pid="193" name="FSC#SKEDITIONREG@103.510:zaznam_vnut_adresati_49">
    <vt:lpwstr/>
  </property>
  <property fmtid="{D5CDD505-2E9C-101B-9397-08002B2CF9AE}" pid="194" name="FSC#SKEDITIONREG@103.510:zaznam_vnut_adresati_5">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
    <vt:lpwstr/>
  </property>
  <property fmtid="{D5CDD505-2E9C-101B-9397-08002B2CF9AE}" pid="206" name="FSC#SKEDITIONREG@103.510:zaznam_vnut_adresati_60">
    <vt:lpwstr/>
  </property>
  <property fmtid="{D5CDD505-2E9C-101B-9397-08002B2CF9AE}" pid="207" name="FSC#SKEDITIONREG@103.510:zaznam_vnut_adresati_61">
    <vt:lpwstr/>
  </property>
  <property fmtid="{D5CDD505-2E9C-101B-9397-08002B2CF9AE}" pid="208" name="FSC#SKEDITIONREG@103.510:zaznam_vnut_adresati_62">
    <vt:lpwstr/>
  </property>
  <property fmtid="{D5CDD505-2E9C-101B-9397-08002B2CF9AE}" pid="209" name="FSC#SKEDITIONREG@103.510:zaznam_vnut_adresati_63">
    <vt:lpwstr/>
  </property>
  <property fmtid="{D5CDD505-2E9C-101B-9397-08002B2CF9AE}" pid="210" name="FSC#SKEDITIONREG@103.510:zaznam_vnut_adresati_64">
    <vt:lpwstr/>
  </property>
  <property fmtid="{D5CDD505-2E9C-101B-9397-08002B2CF9AE}" pid="211" name="FSC#SKEDITIONREG@103.510:zaznam_vnut_adresati_65">
    <vt:lpwstr/>
  </property>
  <property fmtid="{D5CDD505-2E9C-101B-9397-08002B2CF9AE}" pid="212" name="FSC#SKEDITIONREG@103.510:zaznam_vnut_adresati_66">
    <vt:lpwstr/>
  </property>
  <property fmtid="{D5CDD505-2E9C-101B-9397-08002B2CF9AE}" pid="213" name="FSC#SKEDITIONREG@103.510:zaznam_vnut_adresati_67">
    <vt:lpwstr/>
  </property>
  <property fmtid="{D5CDD505-2E9C-101B-9397-08002B2CF9AE}" pid="214" name="FSC#SKEDITIONREG@103.510:zaznam_vnut_adresati_68">
    <vt:lpwstr/>
  </property>
  <property fmtid="{D5CDD505-2E9C-101B-9397-08002B2CF9AE}" pid="215" name="FSC#SKEDITIONREG@103.510:zaznam_vnut_adresati_69">
    <vt:lpwstr/>
  </property>
  <property fmtid="{D5CDD505-2E9C-101B-9397-08002B2CF9AE}" pid="216" name="FSC#SKEDITIONREG@103.510:zaznam_vnut_adresati_7">
    <vt:lpwstr/>
  </property>
  <property fmtid="{D5CDD505-2E9C-101B-9397-08002B2CF9AE}" pid="217" name="FSC#SKEDITIONREG@103.510:zaznam_vnut_adresati_70">
    <vt:lpwstr/>
  </property>
  <property fmtid="{D5CDD505-2E9C-101B-9397-08002B2CF9AE}" pid="218" name="FSC#SKEDITIONREG@103.510:zaznam_vnut_adresati_8">
    <vt:lpwstr/>
  </property>
  <property fmtid="{D5CDD505-2E9C-101B-9397-08002B2CF9AE}" pid="219" name="FSC#SKEDITIONREG@103.510:zaznam_vnut_adresati_9">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Kriška SL Peter, plk. JUDr.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SL (SEKCIA LEGISLATÍVY A PRÁVNYCH SLUŽIEB MV SR)</vt:lpwstr>
  </property>
  <property fmtid="{D5CDD505-2E9C-101B-9397-08002B2CF9AE}" pid="296" name="FSC#COOELAK@1.1001:CreatedAt">
    <vt:lpwstr>14.01.2022</vt:lpwstr>
  </property>
  <property fmtid="{D5CDD505-2E9C-101B-9397-08002B2CF9AE}" pid="297" name="FSC#COOELAK@1.1001:OU">
    <vt:lpwstr>SL-OBL (ODBOR BEZPEČNOSTNEJ LEGISLATÍVY)</vt:lpwstr>
  </property>
  <property fmtid="{D5CDD505-2E9C-101B-9397-08002B2CF9AE}" pid="298" name="FSC#COOELAK@1.1001:Priority">
    <vt:lpwstr> ()</vt:lpwstr>
  </property>
  <property fmtid="{D5CDD505-2E9C-101B-9397-08002B2CF9AE}" pid="299" name="FSC#COOELAK@1.1001:ObjBarCode">
    <vt:lpwstr>*COO.2176.360.2.1478093*</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3</vt:lpwstr>
  </property>
  <property fmtid="{D5CDD505-2E9C-101B-9397-08002B2CF9AE}" pid="316" name="FSC#COOELAK@1.1001:CurrentUserEmail">
    <vt:lpwstr>Juraj.Benik@minv.sk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SKCONV@103.510:docname">
    <vt:lpwstr/>
  </property>
  <property fmtid="{D5CDD505-2E9C-101B-9397-08002B2CF9AE}" pid="347" name="FSC#COOSYSTEM@1.1:Container">
    <vt:lpwstr>COO.2145.1000.3.4805547</vt:lpwstr>
  </property>
  <property fmtid="{D5CDD505-2E9C-101B-9397-08002B2CF9AE}" pid="348" name="FSC#FSCFOLIO@1.1001:docpropproject">
    <vt:lpwstr/>
  </property>
  <property fmtid="{D5CDD505-2E9C-101B-9397-08002B2CF9AE}" pid="349" name="FSC#SKEDITIONSLOVLEX@103.510:spravaucastverej">
    <vt:lpwstr>&lt;p style="text-align: justify;"&gt;Verejnosť bola o&amp;nbsp;príprave návrhu zákona, ktorým sa mení a dopĺňa zákon č.&amp;nbsp;473/2005&amp;nbsp;Z.&amp;nbsp;z. o poskytovaní služieb v oblasti súkromnej bezpečnosti a o zmene a doplnení niektorých zákonov (zákon o súkromnej b</vt:lpwstr>
  </property>
  <property fmtid="{D5CDD505-2E9C-101B-9397-08002B2CF9AE}" pid="350" name="FSC#SKEDITIONSLOVLEX@103.510:typpredpis">
    <vt:lpwstr>Zákon</vt:lpwstr>
  </property>
  <property fmtid="{D5CDD505-2E9C-101B-9397-08002B2CF9AE}" pid="351" name="FSC#SKEDITIONSLOVLEX@103.510:aktualnyrok">
    <vt:lpwstr>2022</vt:lpwstr>
  </property>
  <property fmtid="{D5CDD505-2E9C-101B-9397-08002B2CF9AE}" pid="352" name="FSC#SKEDITIONSLOVLEX@103.510:cisloparlamenttlac">
    <vt:lpwstr/>
  </property>
  <property fmtid="{D5CDD505-2E9C-101B-9397-08002B2CF9AE}" pid="353" name="FSC#SKEDITIONSLOVLEX@103.510:stavpredpis">
    <vt:lpwstr>Medzirezortné pripomienkové konanie</vt:lpwstr>
  </property>
  <property fmtid="{D5CDD505-2E9C-101B-9397-08002B2CF9AE}" pid="354" name="FSC#SKEDITIONSLOVLEX@103.510:povodpredpis">
    <vt:lpwstr>Slovlex (eLeg)</vt:lpwstr>
  </property>
  <property fmtid="{D5CDD505-2E9C-101B-9397-08002B2CF9AE}" pid="355" name="FSC#SKEDITIONSLOVLEX@103.510:legoblast">
    <vt:lpwstr>Správne právo</vt:lpwstr>
  </property>
  <property fmtid="{D5CDD505-2E9C-101B-9397-08002B2CF9AE}" pid="356" name="FSC#SKEDITIONSLOVLEX@103.510:uzemplat">
    <vt:lpwstr/>
  </property>
  <property fmtid="{D5CDD505-2E9C-101B-9397-08002B2CF9AE}" pid="357" name="FSC#SKEDITIONSLOVLEX@103.510:vztahypredpis">
    <vt:lpwstr/>
  </property>
  <property fmtid="{D5CDD505-2E9C-101B-9397-08002B2CF9AE}" pid="358" name="FSC#SKEDITIONSLOVLEX@103.510:predkladatel">
    <vt:lpwstr>Mgr. Juraj Beník</vt:lpwstr>
  </property>
  <property fmtid="{D5CDD505-2E9C-101B-9397-08002B2CF9AE}" pid="359" name="FSC#SKEDITIONSLOVLEX@103.510:zodppredkladatel">
    <vt:lpwstr>Ing. Roman Mikulec</vt:lpwstr>
  </property>
  <property fmtid="{D5CDD505-2E9C-101B-9397-08002B2CF9AE}" pid="360" name="FSC#SKEDITIONSLOVLEX@103.510:dalsipredkladatel">
    <vt:lpwstr/>
  </property>
  <property fmtid="{D5CDD505-2E9C-101B-9397-08002B2CF9AE}" pid="361" name="FSC#SKEDITIONSLOVLEX@103.510:nazovpredpis">
    <vt:lpwstr>, ktorým sa mení a dopĺňa zákon č. 473/2005 Z. z. o poskytovaní služieb v oblasti súkromnej bezpečnosti a o zmene a doplnení niektorých zákonov (zákon o súkromnej bezpečnosti) v znení neskorších predpisov</vt:lpwstr>
  </property>
  <property fmtid="{D5CDD505-2E9C-101B-9397-08002B2CF9AE}" pid="362" name="FSC#SKEDITIONSLOVLEX@103.510:nazovpredpis1">
    <vt:lpwstr/>
  </property>
  <property fmtid="{D5CDD505-2E9C-101B-9397-08002B2CF9AE}" pid="363" name="FSC#SKEDITIONSLOVLEX@103.510:nazovpredpis2">
    <vt:lpwstr/>
  </property>
  <property fmtid="{D5CDD505-2E9C-101B-9397-08002B2CF9AE}" pid="364" name="FSC#SKEDITIONSLOVLEX@103.510:nazovpredpis3">
    <vt:lpwstr/>
  </property>
  <property fmtid="{D5CDD505-2E9C-101B-9397-08002B2CF9AE}" pid="365" name="FSC#SKEDITIONSLOVLEX@103.510:cislopredpis">
    <vt:lpwstr/>
  </property>
  <property fmtid="{D5CDD505-2E9C-101B-9397-08002B2CF9AE}" pid="366" name="FSC#SKEDITIONSLOVLEX@103.510:zodpinstitucia">
    <vt:lpwstr>Ministerstvo vnútra Slovenskej republiky</vt:lpwstr>
  </property>
  <property fmtid="{D5CDD505-2E9C-101B-9397-08002B2CF9AE}" pid="367"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368" name="FSC#SKEDITIONSLOVLEX@103.510:autorpredpis">
    <vt:lpwstr/>
  </property>
  <property fmtid="{D5CDD505-2E9C-101B-9397-08002B2CF9AE}" pid="369" name="FSC#SKEDITIONSLOVLEX@103.510:podnetpredpis">
    <vt:lpwstr>Plán legislatívnych úloh vlády SR na mesiace jún až december 2021</vt:lpwstr>
  </property>
  <property fmtid="{D5CDD505-2E9C-101B-9397-08002B2CF9AE}" pid="370" name="FSC#SKEDITIONSLOVLEX@103.510:plnynazovpredpis">
    <vt:lpwstr> Zákon, ktorým sa mení a dopĺňa zákon č. 473/2005 Z. z. o poskytovaní služieb v oblasti súkromnej bezpečnosti a o zmene a doplnení niektorých zákonov (zákon o súkromnej bezpečnosti) v znení neskorších predpisov</vt:lpwstr>
  </property>
  <property fmtid="{D5CDD505-2E9C-101B-9397-08002B2CF9AE}" pid="371" name="FSC#SKEDITIONSLOVLEX@103.510:plnynazovpredpis1">
    <vt:lpwstr/>
  </property>
  <property fmtid="{D5CDD505-2E9C-101B-9397-08002B2CF9AE}" pid="372" name="FSC#SKEDITIONSLOVLEX@103.510:plnynazovpredpis2">
    <vt:lpwstr/>
  </property>
  <property fmtid="{D5CDD505-2E9C-101B-9397-08002B2CF9AE}" pid="373" name="FSC#SKEDITIONSLOVLEX@103.510:plnynazovpredpis3">
    <vt:lpwstr/>
  </property>
  <property fmtid="{D5CDD505-2E9C-101B-9397-08002B2CF9AE}" pid="374" name="FSC#SKEDITIONSLOVLEX@103.510:rezortcislopredpis">
    <vt:lpwstr>SL-OBL-2022/001933        </vt:lpwstr>
  </property>
  <property fmtid="{D5CDD505-2E9C-101B-9397-08002B2CF9AE}" pid="375" name="FSC#SKEDITIONSLOVLEX@103.510:citaciapredpis">
    <vt:lpwstr/>
  </property>
  <property fmtid="{D5CDD505-2E9C-101B-9397-08002B2CF9AE}" pid="376" name="FSC#SKEDITIONSLOVLEX@103.510:spiscislouv">
    <vt:lpwstr/>
  </property>
  <property fmtid="{D5CDD505-2E9C-101B-9397-08002B2CF9AE}" pid="377" name="FSC#SKEDITIONSLOVLEX@103.510:datumschvalpredpis">
    <vt:lpwstr/>
  </property>
  <property fmtid="{D5CDD505-2E9C-101B-9397-08002B2CF9AE}" pid="378" name="FSC#SKEDITIONSLOVLEX@103.510:platneod">
    <vt:lpwstr/>
  </property>
  <property fmtid="{D5CDD505-2E9C-101B-9397-08002B2CF9AE}" pid="379" name="FSC#SKEDITIONSLOVLEX@103.510:platnedo">
    <vt:lpwstr/>
  </property>
  <property fmtid="{D5CDD505-2E9C-101B-9397-08002B2CF9AE}" pid="380" name="FSC#SKEDITIONSLOVLEX@103.510:ucinnostod">
    <vt:lpwstr/>
  </property>
  <property fmtid="{D5CDD505-2E9C-101B-9397-08002B2CF9AE}" pid="381" name="FSC#SKEDITIONSLOVLEX@103.510:ucinnostdo">
    <vt:lpwstr/>
  </property>
  <property fmtid="{D5CDD505-2E9C-101B-9397-08002B2CF9AE}" pid="382" name="FSC#SKEDITIONSLOVLEX@103.510:datumplatnosti">
    <vt:lpwstr/>
  </property>
  <property fmtid="{D5CDD505-2E9C-101B-9397-08002B2CF9AE}" pid="383" name="FSC#SKEDITIONSLOVLEX@103.510:cislolp">
    <vt:lpwstr>LP/2022/45</vt:lpwstr>
  </property>
  <property fmtid="{D5CDD505-2E9C-101B-9397-08002B2CF9AE}" pid="384" name="FSC#SKEDITIONSLOVLEX@103.510:typsprievdok">
    <vt:lpwstr>Dôvodová správa</vt:lpwstr>
  </property>
  <property fmtid="{D5CDD505-2E9C-101B-9397-08002B2CF9AE}" pid="385" name="FSC#SKEDITIONSLOVLEX@103.510:cislopartlac">
    <vt:lpwstr/>
  </property>
  <property fmtid="{D5CDD505-2E9C-101B-9397-08002B2CF9AE}" pid="386" name="FSC#SKEDITIONSLOVLEX@103.510:AttrStrListDocPropUcelPredmetZmluvy">
    <vt:lpwstr/>
  </property>
  <property fmtid="{D5CDD505-2E9C-101B-9397-08002B2CF9AE}" pid="387" name="FSC#SKEDITIONSLOVLEX@103.510:AttrStrListDocPropUpravaPravFOPRO">
    <vt:lpwstr/>
  </property>
  <property fmtid="{D5CDD505-2E9C-101B-9397-08002B2CF9AE}" pid="388" name="FSC#SKEDITIONSLOVLEX@103.510:AttrStrListDocPropUpravaPredmetuZmluvy">
    <vt:lpwstr/>
  </property>
  <property fmtid="{D5CDD505-2E9C-101B-9397-08002B2CF9AE}" pid="389" name="FSC#SKEDITIONSLOVLEX@103.510:AttrStrListDocPropKategoriaZmluvy74">
    <vt:lpwstr/>
  </property>
  <property fmtid="{D5CDD505-2E9C-101B-9397-08002B2CF9AE}" pid="390" name="FSC#SKEDITIONSLOVLEX@103.510:AttrStrListDocPropKategoriaZmluvy75">
    <vt:lpwstr/>
  </property>
  <property fmtid="{D5CDD505-2E9C-101B-9397-08002B2CF9AE}" pid="391" name="FSC#SKEDITIONSLOVLEX@103.510:AttrStrListDocPropDopadyPrijatiaZmluvy">
    <vt:lpwstr/>
  </property>
  <property fmtid="{D5CDD505-2E9C-101B-9397-08002B2CF9AE}" pid="392" name="FSC#SKEDITIONSLOVLEX@103.510:AttrStrListDocPropProblematikaPPa">
    <vt:lpwstr>je upravený v práve Európskej únie</vt:lpwstr>
  </property>
  <property fmtid="{D5CDD505-2E9C-101B-9397-08002B2CF9AE}" pid="393" name="FSC#SKEDITIONSLOVLEX@103.510:AttrStrListDocPropPrimarnePravoEU">
    <vt:lpwstr>-	čl. 56 Zmluvy o fungovaní Európskej únie,</vt:lpwstr>
  </property>
  <property fmtid="{D5CDD505-2E9C-101B-9397-08002B2CF9AE}" pid="394" name="FSC#SKEDITIONSLOVLEX@103.510:AttrStrListDocPropSekundarneLegPravoPO">
    <vt:lpwstr/>
  </property>
  <property fmtid="{D5CDD505-2E9C-101B-9397-08002B2CF9AE}" pid="395" name="FSC#SKEDITIONSLOVLEX@103.510:AttrStrListDocPropSekundarneNelegPravoPO">
    <vt:lpwstr/>
  </property>
  <property fmtid="{D5CDD505-2E9C-101B-9397-08002B2CF9AE}" pid="396" name="FSC#SKEDITIONSLOVLEX@103.510:AttrStrListDocPropSekundarneLegPravoDO">
    <vt:lpwstr/>
  </property>
  <property fmtid="{D5CDD505-2E9C-101B-9397-08002B2CF9AE}" pid="397" name="FSC#SKEDITIONSLOVLEX@103.510:AttrStrListDocPropProblematikaPPb">
    <vt:lpwstr/>
  </property>
  <property fmtid="{D5CDD505-2E9C-101B-9397-08002B2CF9AE}" pid="398" name="FSC#SKEDITIONSLOVLEX@103.510:AttrStrListDocPropNazovPredpisuEU">
    <vt:lpwstr>– problematiky súkromných bezpečnostných služieb sa dotýka rozsudok Súdneho dvora zo 7. októbra 2004 vo veci C-189/03 ECLI:EU:C:2004:597, ktorým Súdny dvor rozhodol, že Holandsko nesplnilo povinnosti, ktoré mu vyplývajú z článku 49 ES, tým že v rámci záko</vt:lpwstr>
  </property>
  <property fmtid="{D5CDD505-2E9C-101B-9397-08002B2CF9AE}" pid="399" name="FSC#SKEDITIONSLOVLEX@103.510:AttrStrListDocPropLehotaPrebratieSmernice">
    <vt:lpwstr>– bezpredmetné;</vt:lpwstr>
  </property>
  <property fmtid="{D5CDD505-2E9C-101B-9397-08002B2CF9AE}" pid="400" name="FSC#SKEDITIONSLOVLEX@103.510:AttrStrListDocPropLehotaNaPredlozenie">
    <vt:lpwstr/>
  </property>
  <property fmtid="{D5CDD505-2E9C-101B-9397-08002B2CF9AE}" pid="401" name="FSC#SKEDITIONSLOVLEX@103.510:AttrStrListDocPropInfoZaciatokKonania">
    <vt:lpwstr>– bezpredmetné;</vt:lpwstr>
  </property>
  <property fmtid="{D5CDD505-2E9C-101B-9397-08002B2CF9AE}" pid="402" name="FSC#SKEDITIONSLOVLEX@103.510:AttrStrListDocPropInfoUzPreberanePP">
    <vt:lpwstr>– bezpredmetné;</vt:lpwstr>
  </property>
  <property fmtid="{D5CDD505-2E9C-101B-9397-08002B2CF9AE}" pid="403" name="FSC#SKEDITIONSLOVLEX@103.510:AttrStrListDocPropStupenZlucitelnostiPP">
    <vt:lpwstr>úplne</vt:lpwstr>
  </property>
  <property fmtid="{D5CDD505-2E9C-101B-9397-08002B2CF9AE}" pid="404" name="FSC#SKEDITIONSLOVLEX@103.510:AttrStrListDocPropGestorSpolupRezorty">
    <vt:lpwstr/>
  </property>
  <property fmtid="{D5CDD505-2E9C-101B-9397-08002B2CF9AE}" pid="405" name="FSC#SKEDITIONSLOVLEX@103.510:AttrDateDocPropZaciatokPKK">
    <vt:lpwstr>7. 12. 2021</vt:lpwstr>
  </property>
  <property fmtid="{D5CDD505-2E9C-101B-9397-08002B2CF9AE}" pid="406" name="FSC#SKEDITIONSLOVLEX@103.510:AttrDateDocPropUkonceniePKK">
    <vt:lpwstr>16. 12. 2021</vt:lpwstr>
  </property>
  <property fmtid="{D5CDD505-2E9C-101B-9397-08002B2CF9AE}" pid="407" name="FSC#SKEDITIONSLOVLEX@103.510:AttrStrDocPropVplyvRozpocetVS">
    <vt:lpwstr>Žiadne</vt:lpwstr>
  </property>
  <property fmtid="{D5CDD505-2E9C-101B-9397-08002B2CF9AE}" pid="408" name="FSC#SKEDITIONSLOVLEX@103.510:AttrStrDocPropVplyvPodnikatelskeProstr">
    <vt:lpwstr>Pozitívne_x000d_
Negatívne</vt:lpwstr>
  </property>
  <property fmtid="{D5CDD505-2E9C-101B-9397-08002B2CF9AE}" pid="409" name="FSC#SKEDITIONSLOVLEX@103.510:AttrStrDocPropVplyvSocialny">
    <vt:lpwstr>Žiadne</vt:lpwstr>
  </property>
  <property fmtid="{D5CDD505-2E9C-101B-9397-08002B2CF9AE}" pid="410" name="FSC#SKEDITIONSLOVLEX@103.510:AttrStrDocPropVplyvNaZivotProstr">
    <vt:lpwstr>Žiadne</vt:lpwstr>
  </property>
  <property fmtid="{D5CDD505-2E9C-101B-9397-08002B2CF9AE}" pid="411" name="FSC#SKEDITIONSLOVLEX@103.510:AttrStrDocPropVplyvNaInformatizaciu">
    <vt:lpwstr>Pozitívne</vt:lpwstr>
  </property>
  <property fmtid="{D5CDD505-2E9C-101B-9397-08002B2CF9AE}" pid="412" name="FSC#SKEDITIONSLOVLEX@103.510:AttrStrListDocPropPoznamkaVplyv">
    <vt:lpwstr>&lt;p style="text-align: justify;"&gt;Legislatívna zmena priebehu skúšky nebude vyžadovať navýšenie finančných prostriedkov v&amp;nbsp;rámci verejnej správy, nakoľko všetky náklady spojené s materiálnym a technickým zabezpečením informačného systému budú realizovan</vt:lpwstr>
  </property>
  <property fmtid="{D5CDD505-2E9C-101B-9397-08002B2CF9AE}" pid="413" name="FSC#SKEDITIONSLOVLEX@103.510:AttrStrListDocPropAltRiesenia">
    <vt:lpwstr>V prípade neschválenia predkladaného návrhu nebude zavedená nová forma skúšky odbornej spôsobilosti, ktorá bola primárnym cieľom tejto navrhovanej právnej úpravy, teda sa nezabezpečí zefektívnenie priebehu skúšky. Zároveň nebudú riešené identifikované apl</vt:lpwstr>
  </property>
  <property fmtid="{D5CDD505-2E9C-101B-9397-08002B2CF9AE}" pid="414" name="FSC#SKEDITIONSLOVLEX@103.510:AttrStrListDocPropStanoviskoGest">
    <vt:lpwstr/>
  </property>
  <property fmtid="{D5CDD505-2E9C-101B-9397-08002B2CF9AE}" pid="415" name="FSC#SKEDITIONSLOVLEX@103.510:AttrStrListDocPropTextKomunike">
    <vt:lpwstr/>
  </property>
  <property fmtid="{D5CDD505-2E9C-101B-9397-08002B2CF9AE}" pid="416" name="FSC#SKEDITIONSLOVLEX@103.510:AttrStrListDocPropUznesenieCastA">
    <vt:lpwstr/>
  </property>
  <property fmtid="{D5CDD505-2E9C-101B-9397-08002B2CF9AE}" pid="417" name="FSC#SKEDITIONSLOVLEX@103.510:AttrStrListDocPropUznesenieZodpovednyA1">
    <vt:lpwstr/>
  </property>
  <property fmtid="{D5CDD505-2E9C-101B-9397-08002B2CF9AE}" pid="418" name="FSC#SKEDITIONSLOVLEX@103.510:AttrStrListDocPropUznesenieTextA1">
    <vt:lpwstr/>
  </property>
  <property fmtid="{D5CDD505-2E9C-101B-9397-08002B2CF9AE}" pid="419" name="FSC#SKEDITIONSLOVLEX@103.510:AttrStrListDocPropUznesenieTerminA1">
    <vt:lpwstr/>
  </property>
  <property fmtid="{D5CDD505-2E9C-101B-9397-08002B2CF9AE}" pid="420" name="FSC#SKEDITIONSLOVLEX@103.510:AttrStrListDocPropUznesenieBODA1">
    <vt:lpwstr/>
  </property>
  <property fmtid="{D5CDD505-2E9C-101B-9397-08002B2CF9AE}" pid="421" name="FSC#SKEDITIONSLOVLEX@103.510:AttrStrListDocPropUznesenieZodpovednyA2">
    <vt:lpwstr/>
  </property>
  <property fmtid="{D5CDD505-2E9C-101B-9397-08002B2CF9AE}" pid="422" name="FSC#SKEDITIONSLOVLEX@103.510:AttrStrListDocPropUznesenieTextA2">
    <vt:lpwstr/>
  </property>
  <property fmtid="{D5CDD505-2E9C-101B-9397-08002B2CF9AE}" pid="423" name="FSC#SKEDITIONSLOVLEX@103.510:AttrStrListDocPropUznesenieTerminA2">
    <vt:lpwstr/>
  </property>
  <property fmtid="{D5CDD505-2E9C-101B-9397-08002B2CF9AE}" pid="424" name="FSC#SKEDITIONSLOVLEX@103.510:AttrStrListDocPropUznesenieBODA3">
    <vt:lpwstr/>
  </property>
  <property fmtid="{D5CDD505-2E9C-101B-9397-08002B2CF9AE}" pid="425" name="FSC#SKEDITIONSLOVLEX@103.510:AttrStrListDocPropUznesenieZodpovednyA3">
    <vt:lpwstr/>
  </property>
  <property fmtid="{D5CDD505-2E9C-101B-9397-08002B2CF9AE}" pid="426" name="FSC#SKEDITIONSLOVLEX@103.510:AttrStrListDocPropUznesenieTextA3">
    <vt:lpwstr/>
  </property>
  <property fmtid="{D5CDD505-2E9C-101B-9397-08002B2CF9AE}" pid="427" name="FSC#SKEDITIONSLOVLEX@103.510:AttrStrListDocPropUznesenieTerminA3">
    <vt:lpwstr/>
  </property>
  <property fmtid="{D5CDD505-2E9C-101B-9397-08002B2CF9AE}" pid="428" name="FSC#SKEDITIONSLOVLEX@103.510:AttrStrListDocPropUznesenieBODA4">
    <vt:lpwstr/>
  </property>
  <property fmtid="{D5CDD505-2E9C-101B-9397-08002B2CF9AE}" pid="429" name="FSC#SKEDITIONSLOVLEX@103.510:AttrStrListDocPropUznesenieZodpovednyA4">
    <vt:lpwstr/>
  </property>
  <property fmtid="{D5CDD505-2E9C-101B-9397-08002B2CF9AE}" pid="430" name="FSC#SKEDITIONSLOVLEX@103.510:AttrStrListDocPropUznesenieTextA4">
    <vt:lpwstr/>
  </property>
  <property fmtid="{D5CDD505-2E9C-101B-9397-08002B2CF9AE}" pid="431" name="FSC#SKEDITIONSLOVLEX@103.510:AttrStrListDocPropUznesenieTerminA4">
    <vt:lpwstr/>
  </property>
  <property fmtid="{D5CDD505-2E9C-101B-9397-08002B2CF9AE}" pid="432" name="FSC#SKEDITIONSLOVLEX@103.510:AttrStrListDocPropUznesenieCastB">
    <vt:lpwstr/>
  </property>
  <property fmtid="{D5CDD505-2E9C-101B-9397-08002B2CF9AE}" pid="433" name="FSC#SKEDITIONSLOVLEX@103.510:AttrStrListDocPropUznesenieBODB1">
    <vt:lpwstr/>
  </property>
  <property fmtid="{D5CDD505-2E9C-101B-9397-08002B2CF9AE}" pid="434" name="FSC#SKEDITIONSLOVLEX@103.510:AttrStrListDocPropUznesenieZodpovednyB1">
    <vt:lpwstr/>
  </property>
  <property fmtid="{D5CDD505-2E9C-101B-9397-08002B2CF9AE}" pid="435" name="FSC#SKEDITIONSLOVLEX@103.510:AttrStrListDocPropUznesenieTextB1">
    <vt:lpwstr/>
  </property>
  <property fmtid="{D5CDD505-2E9C-101B-9397-08002B2CF9AE}" pid="436" name="FSC#SKEDITIONSLOVLEX@103.510:AttrStrListDocPropUznesenieTerminB1">
    <vt:lpwstr/>
  </property>
  <property fmtid="{D5CDD505-2E9C-101B-9397-08002B2CF9AE}" pid="437" name="FSC#SKEDITIONSLOVLEX@103.510:AttrStrListDocPropUznesenieBODB2">
    <vt:lpwstr/>
  </property>
  <property fmtid="{D5CDD505-2E9C-101B-9397-08002B2CF9AE}" pid="438" name="FSC#SKEDITIONSLOVLEX@103.510:AttrStrListDocPropUznesenieZodpovednyB2">
    <vt:lpwstr/>
  </property>
  <property fmtid="{D5CDD505-2E9C-101B-9397-08002B2CF9AE}" pid="439" name="FSC#SKEDITIONSLOVLEX@103.510:AttrStrListDocPropUznesenieTextB2">
    <vt:lpwstr/>
  </property>
  <property fmtid="{D5CDD505-2E9C-101B-9397-08002B2CF9AE}" pid="440" name="FSC#SKEDITIONSLOVLEX@103.510:AttrStrListDocPropUznesenieTerminB2">
    <vt:lpwstr/>
  </property>
  <property fmtid="{D5CDD505-2E9C-101B-9397-08002B2CF9AE}" pid="441" name="FSC#SKEDITIONSLOVLEX@103.510:AttrStrListDocPropUznesenieBODB3">
    <vt:lpwstr/>
  </property>
  <property fmtid="{D5CDD505-2E9C-101B-9397-08002B2CF9AE}" pid="442" name="FSC#SKEDITIONSLOVLEX@103.510:AttrStrListDocPropUznesenieZodpovednyB3">
    <vt:lpwstr/>
  </property>
  <property fmtid="{D5CDD505-2E9C-101B-9397-08002B2CF9AE}" pid="443" name="FSC#SKEDITIONSLOVLEX@103.510:AttrStrListDocPropUznesenieTextB3">
    <vt:lpwstr/>
  </property>
  <property fmtid="{D5CDD505-2E9C-101B-9397-08002B2CF9AE}" pid="444" name="FSC#SKEDITIONSLOVLEX@103.510:AttrStrListDocPropUznesenieTerminB3">
    <vt:lpwstr/>
  </property>
  <property fmtid="{D5CDD505-2E9C-101B-9397-08002B2CF9AE}" pid="445" name="FSC#SKEDITIONSLOVLEX@103.510:AttrStrListDocPropUznesenieBODB4">
    <vt:lpwstr/>
  </property>
  <property fmtid="{D5CDD505-2E9C-101B-9397-08002B2CF9AE}" pid="446" name="FSC#SKEDITIONSLOVLEX@103.510:AttrStrListDocPropUznesenieZodpovednyB4">
    <vt:lpwstr/>
  </property>
  <property fmtid="{D5CDD505-2E9C-101B-9397-08002B2CF9AE}" pid="447" name="FSC#SKEDITIONSLOVLEX@103.510:AttrStrListDocPropUznesenieTextB4">
    <vt:lpwstr/>
  </property>
  <property fmtid="{D5CDD505-2E9C-101B-9397-08002B2CF9AE}" pid="448" name="FSC#SKEDITIONSLOVLEX@103.510:AttrStrListDocPropUznesenieTerminB4">
    <vt:lpwstr/>
  </property>
  <property fmtid="{D5CDD505-2E9C-101B-9397-08002B2CF9AE}" pid="449" name="FSC#SKEDITIONSLOVLEX@103.510:AttrStrListDocPropUznesenieCastC">
    <vt:lpwstr/>
  </property>
  <property fmtid="{D5CDD505-2E9C-101B-9397-08002B2CF9AE}" pid="450" name="FSC#SKEDITIONSLOVLEX@103.510:AttrStrListDocPropUznesenieBODC1">
    <vt:lpwstr/>
  </property>
  <property fmtid="{D5CDD505-2E9C-101B-9397-08002B2CF9AE}" pid="451" name="FSC#SKEDITIONSLOVLEX@103.510:AttrStrListDocPropUznesenieZodpovednyC1">
    <vt:lpwstr/>
  </property>
  <property fmtid="{D5CDD505-2E9C-101B-9397-08002B2CF9AE}" pid="452" name="FSC#SKEDITIONSLOVLEX@103.510:AttrStrListDocPropUznesenieTextC1">
    <vt:lpwstr/>
  </property>
  <property fmtid="{D5CDD505-2E9C-101B-9397-08002B2CF9AE}" pid="453" name="FSC#SKEDITIONSLOVLEX@103.510:AttrStrListDocPropUznesenieTerminC1">
    <vt:lpwstr/>
  </property>
  <property fmtid="{D5CDD505-2E9C-101B-9397-08002B2CF9AE}" pid="454" name="FSC#SKEDITIONSLOVLEX@103.510:AttrStrListDocPropUznesenieBODC2">
    <vt:lpwstr/>
  </property>
  <property fmtid="{D5CDD505-2E9C-101B-9397-08002B2CF9AE}" pid="455" name="FSC#SKEDITIONSLOVLEX@103.510:AttrStrListDocPropUznesenieZodpovednyC2">
    <vt:lpwstr/>
  </property>
  <property fmtid="{D5CDD505-2E9C-101B-9397-08002B2CF9AE}" pid="456" name="FSC#SKEDITIONSLOVLEX@103.510:AttrStrListDocPropUznesenieTextC2">
    <vt:lpwstr/>
  </property>
  <property fmtid="{D5CDD505-2E9C-101B-9397-08002B2CF9AE}" pid="457" name="FSC#SKEDITIONSLOVLEX@103.510:AttrStrListDocPropUznesenieTerminC2">
    <vt:lpwstr/>
  </property>
  <property fmtid="{D5CDD505-2E9C-101B-9397-08002B2CF9AE}" pid="458" name="FSC#SKEDITIONSLOVLEX@103.510:AttrStrListDocPropUznesenieBODC3">
    <vt:lpwstr/>
  </property>
  <property fmtid="{D5CDD505-2E9C-101B-9397-08002B2CF9AE}" pid="459" name="FSC#SKEDITIONSLOVLEX@103.510:AttrStrListDocPropUznesenieZodpovednyC3">
    <vt:lpwstr/>
  </property>
  <property fmtid="{D5CDD505-2E9C-101B-9397-08002B2CF9AE}" pid="460" name="FSC#SKEDITIONSLOVLEX@103.510:AttrStrListDocPropUznesenieTextC3">
    <vt:lpwstr/>
  </property>
  <property fmtid="{D5CDD505-2E9C-101B-9397-08002B2CF9AE}" pid="461" name="FSC#SKEDITIONSLOVLEX@103.510:AttrStrListDocPropUznesenieTerminC3">
    <vt:lpwstr/>
  </property>
  <property fmtid="{D5CDD505-2E9C-101B-9397-08002B2CF9AE}" pid="462" name="FSC#SKEDITIONSLOVLEX@103.510:AttrStrListDocPropUznesenieBODC4">
    <vt:lpwstr/>
  </property>
  <property fmtid="{D5CDD505-2E9C-101B-9397-08002B2CF9AE}" pid="463" name="FSC#SKEDITIONSLOVLEX@103.510:AttrStrListDocPropUznesenieZodpovednyC4">
    <vt:lpwstr/>
  </property>
  <property fmtid="{D5CDD505-2E9C-101B-9397-08002B2CF9AE}" pid="464" name="FSC#SKEDITIONSLOVLEX@103.510:AttrStrListDocPropUznesenieTextC4">
    <vt:lpwstr/>
  </property>
  <property fmtid="{D5CDD505-2E9C-101B-9397-08002B2CF9AE}" pid="465" name="FSC#SKEDITIONSLOVLEX@103.510:AttrStrListDocPropUznesenieTerminC4">
    <vt:lpwstr/>
  </property>
  <property fmtid="{D5CDD505-2E9C-101B-9397-08002B2CF9AE}" pid="466" name="FSC#SKEDITIONSLOVLEX@103.510:AttrStrListDocPropUznesenieCastD">
    <vt:lpwstr/>
  </property>
  <property fmtid="{D5CDD505-2E9C-101B-9397-08002B2CF9AE}" pid="467" name="FSC#SKEDITIONSLOVLEX@103.510:AttrStrListDocPropUznesenieBODD1">
    <vt:lpwstr/>
  </property>
  <property fmtid="{D5CDD505-2E9C-101B-9397-08002B2CF9AE}" pid="468" name="FSC#SKEDITIONSLOVLEX@103.510:AttrStrListDocPropUznesenieZodpovednyD1">
    <vt:lpwstr/>
  </property>
  <property fmtid="{D5CDD505-2E9C-101B-9397-08002B2CF9AE}" pid="469" name="FSC#SKEDITIONSLOVLEX@103.510:AttrStrListDocPropUznesenieTextD1">
    <vt:lpwstr/>
  </property>
  <property fmtid="{D5CDD505-2E9C-101B-9397-08002B2CF9AE}" pid="470" name="FSC#SKEDITIONSLOVLEX@103.510:AttrStrListDocPropUznesenieTerminD1">
    <vt:lpwstr/>
  </property>
  <property fmtid="{D5CDD505-2E9C-101B-9397-08002B2CF9AE}" pid="471" name="FSC#SKEDITIONSLOVLEX@103.510:AttrStrListDocPropUznesenieBODD2">
    <vt:lpwstr/>
  </property>
  <property fmtid="{D5CDD505-2E9C-101B-9397-08002B2CF9AE}" pid="472" name="FSC#SKEDITIONSLOVLEX@103.510:AttrStrListDocPropUznesenieZodpovednyD2">
    <vt:lpwstr/>
  </property>
  <property fmtid="{D5CDD505-2E9C-101B-9397-08002B2CF9AE}" pid="473" name="FSC#SKEDITIONSLOVLEX@103.510:AttrStrListDocPropUznesenieTextD2">
    <vt:lpwstr/>
  </property>
  <property fmtid="{D5CDD505-2E9C-101B-9397-08002B2CF9AE}" pid="474" name="FSC#SKEDITIONSLOVLEX@103.510:AttrStrListDocPropUznesenieTerminD2">
    <vt:lpwstr/>
  </property>
  <property fmtid="{D5CDD505-2E9C-101B-9397-08002B2CF9AE}" pid="475" name="FSC#SKEDITIONSLOVLEX@103.510:AttrStrListDocPropUznesenieBODD3">
    <vt:lpwstr/>
  </property>
  <property fmtid="{D5CDD505-2E9C-101B-9397-08002B2CF9AE}" pid="476" name="FSC#SKEDITIONSLOVLEX@103.510:AttrStrListDocPropUznesenieZodpovednyD3">
    <vt:lpwstr/>
  </property>
  <property fmtid="{D5CDD505-2E9C-101B-9397-08002B2CF9AE}" pid="477" name="FSC#SKEDITIONSLOVLEX@103.510:AttrStrListDocPropUznesenieTextD3">
    <vt:lpwstr/>
  </property>
  <property fmtid="{D5CDD505-2E9C-101B-9397-08002B2CF9AE}" pid="478" name="FSC#SKEDITIONSLOVLEX@103.510:AttrStrListDocPropUznesenieTerminD3">
    <vt:lpwstr/>
  </property>
  <property fmtid="{D5CDD505-2E9C-101B-9397-08002B2CF9AE}" pid="479" name="FSC#SKEDITIONSLOVLEX@103.510:AttrStrListDocPropUznesenieBODD4">
    <vt:lpwstr/>
  </property>
  <property fmtid="{D5CDD505-2E9C-101B-9397-08002B2CF9AE}" pid="480" name="FSC#SKEDITIONSLOVLEX@103.510:AttrStrListDocPropUznesenieZodpovednyD4">
    <vt:lpwstr/>
  </property>
  <property fmtid="{D5CDD505-2E9C-101B-9397-08002B2CF9AE}" pid="481" name="FSC#SKEDITIONSLOVLEX@103.510:AttrStrListDocPropUznesenieTextD4">
    <vt:lpwstr/>
  </property>
  <property fmtid="{D5CDD505-2E9C-101B-9397-08002B2CF9AE}" pid="482" name="FSC#SKEDITIONSLOVLEX@103.510:AttrStrListDocPropUznesenieTerminD4">
    <vt:lpwstr/>
  </property>
  <property fmtid="{D5CDD505-2E9C-101B-9397-08002B2CF9AE}" pid="483" name="FSC#SKEDITIONSLOVLEX@103.510:AttrStrListDocPropUznesenieVykonaju">
    <vt:lpwstr>predseda vlády Slovenskej republiky_x000d_
minister vnútra Slovenskej republiky</vt:lpwstr>
  </property>
  <property fmtid="{D5CDD505-2E9C-101B-9397-08002B2CF9AE}" pid="484" name="FSC#SKEDITIONSLOVLEX@103.510:AttrStrListDocPropUznesenieNaVedomie">
    <vt:lpwstr>predseda Národnej rady Slovenskej republiky</vt:lpwstr>
  </property>
  <property fmtid="{D5CDD505-2E9C-101B-9397-08002B2CF9AE}" pid="485" name="FSC#SKEDITIONSLOVLEX@103.510:funkciaPred">
    <vt:lpwstr/>
  </property>
  <property fmtid="{D5CDD505-2E9C-101B-9397-08002B2CF9AE}" pid="486" name="FSC#SKEDITIONSLOVLEX@103.510:funkciaPredAkuzativ">
    <vt:lpwstr/>
  </property>
  <property fmtid="{D5CDD505-2E9C-101B-9397-08002B2CF9AE}" pid="487" name="FSC#SKEDITIONSLOVLEX@103.510:funkciaPredDativ">
    <vt:lpwstr/>
  </property>
  <property fmtid="{D5CDD505-2E9C-101B-9397-08002B2CF9AE}" pid="488" name="FSC#SKEDITIONSLOVLEX@103.510:funkciaZodpPred">
    <vt:lpwstr>minister vnútra Slovenskej republiky</vt:lpwstr>
  </property>
  <property fmtid="{D5CDD505-2E9C-101B-9397-08002B2CF9AE}" pid="489" name="FSC#SKEDITIONSLOVLEX@103.510:funkciaZodpPredAkuzativ">
    <vt:lpwstr>Ministra vnútra Slovenskej republiky</vt:lpwstr>
  </property>
  <property fmtid="{D5CDD505-2E9C-101B-9397-08002B2CF9AE}" pid="490" name="FSC#SKEDITIONSLOVLEX@103.510:funkciaZodpPredDativ">
    <vt:lpwstr>Ministrovi vnútra Slovenskej republiky</vt:lpwstr>
  </property>
  <property fmtid="{D5CDD505-2E9C-101B-9397-08002B2CF9AE}" pid="491" name="FSC#SKEDITIONSLOVLEX@103.510:funkciaDalsiPred">
    <vt:lpwstr/>
  </property>
  <property fmtid="{D5CDD505-2E9C-101B-9397-08002B2CF9AE}" pid="492" name="FSC#SKEDITIONSLOVLEX@103.510:funkciaDalsiPredAkuzativ">
    <vt:lpwstr/>
  </property>
  <property fmtid="{D5CDD505-2E9C-101B-9397-08002B2CF9AE}" pid="493" name="FSC#SKEDITIONSLOVLEX@103.510:funkciaDalsiPredDativ">
    <vt:lpwstr/>
  </property>
  <property fmtid="{D5CDD505-2E9C-101B-9397-08002B2CF9AE}" pid="494" name="FSC#SKEDITIONSLOVLEX@103.510:predkladateliaObalSD">
    <vt:lpwstr>Ing. Roman Mikulec_x000d_
minister vnútra Slovenskej republiky</vt:lpwstr>
  </property>
  <property fmtid="{D5CDD505-2E9C-101B-9397-08002B2CF9AE}" pid="495" name="FSC#SKEDITIONSLOVLEX@103.510:AttrStrListDocPropTextVseobPrilohy">
    <vt:lpwstr/>
  </property>
  <property fmtid="{D5CDD505-2E9C-101B-9397-08002B2CF9AE}" pid="496" name="FSC#SKEDITIONSLOVLEX@103.510:AttrStrListDocPropTextPredklSpravy">
    <vt:lpwstr>&lt;p style="text-align: justify;"&gt;Návrh zákona, ktorým sa mení a&amp;nbsp;dopĺňa zákon č. 473/2005 Z. z. o&amp;nbsp;poskytovaní služieb v&amp;nbsp;oblasti súkromnej bezpečnosti a o zmene a doplnení niektorých zákonov (zákon o súkromnej bezpečnosti) v znení neskorších p</vt:lpwstr>
  </property>
  <property fmtid="{D5CDD505-2E9C-101B-9397-08002B2CF9AE}" pid="497" name="FSC#SKEDITIONSLOVLEX@103.510:vytvorenedna">
    <vt:lpwstr>27. 1. 2022</vt:lpwstr>
  </property>
</Properties>
</file>