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79"/>
        <w:gridCol w:w="3117"/>
        <w:gridCol w:w="6137"/>
      </w:tblGrid>
      <w:tr w:rsidR="002644DE" w:rsidRPr="00DF6C72" w:rsidTr="00081940">
        <w:trPr>
          <w:trHeight w:val="534"/>
          <w:jc w:val="center"/>
        </w:trPr>
        <w:tc>
          <w:tcPr>
            <w:tcW w:w="5000" w:type="pct"/>
            <w:gridSpan w:val="3"/>
            <w:tcBorders>
              <w:bottom w:val="single" w:sz="4" w:space="0" w:color="auto"/>
            </w:tcBorders>
            <w:shd w:val="clear" w:color="auto" w:fill="808080" w:themeFill="background1" w:themeFillShade="80"/>
          </w:tcPr>
          <w:p w:rsidR="002644DE" w:rsidRPr="00DF6C72"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DF6C72">
              <w:rPr>
                <w:rFonts w:ascii="Times New Roman" w:eastAsia="Calibri" w:hAnsi="Times New Roman" w:cs="Times New Roman"/>
                <w:b/>
                <w:sz w:val="28"/>
                <w:lang w:eastAsia="sk-SK"/>
              </w:rPr>
              <w:t>Analýza sociálnych vplyvov</w:t>
            </w:r>
          </w:p>
          <w:p w:rsidR="002644DE" w:rsidRPr="00DF6C72" w:rsidRDefault="002644DE" w:rsidP="002644DE">
            <w:pPr>
              <w:spacing w:after="0" w:line="240" w:lineRule="auto"/>
              <w:jc w:val="center"/>
              <w:rPr>
                <w:rFonts w:ascii="Times New Roman" w:eastAsia="Calibri" w:hAnsi="Times New Roman" w:cs="Times New Roman"/>
                <w:b/>
                <w:sz w:val="24"/>
                <w:lang w:eastAsia="sk-SK"/>
              </w:rPr>
            </w:pPr>
            <w:r w:rsidRPr="00DF6C72">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DF6C72" w:rsidRDefault="002644DE" w:rsidP="002644DE">
            <w:pPr>
              <w:spacing w:after="0" w:line="240" w:lineRule="auto"/>
              <w:jc w:val="both"/>
              <w:rPr>
                <w:rFonts w:ascii="Times New Roman" w:eastAsia="Calibri" w:hAnsi="Times New Roman" w:cs="Times New Roman"/>
                <w:b/>
                <w:lang w:eastAsia="sk-SK"/>
              </w:rPr>
            </w:pPr>
            <w:r w:rsidRPr="00DF6C72">
              <w:rPr>
                <w:rFonts w:ascii="Times New Roman" w:eastAsia="Calibri" w:hAnsi="Times New Roman" w:cs="Times New Roman"/>
                <w:b/>
                <w:sz w:val="18"/>
                <w:lang w:eastAsia="sk-SK"/>
              </w:rPr>
              <w:t>(</w:t>
            </w:r>
            <w:r w:rsidRPr="00DF6C72">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DF6C72" w:rsidTr="00081940">
        <w:trPr>
          <w:jc w:val="center"/>
        </w:trPr>
        <w:tc>
          <w:tcPr>
            <w:tcW w:w="5000" w:type="pct"/>
            <w:gridSpan w:val="3"/>
            <w:tcBorders>
              <w:bottom w:val="single" w:sz="4" w:space="0" w:color="auto"/>
            </w:tcBorders>
            <w:shd w:val="clear" w:color="auto" w:fill="A6A6A6" w:themeFill="background1" w:themeFillShade="A6"/>
          </w:tcPr>
          <w:p w:rsidR="002644DE" w:rsidRPr="00DF6C72" w:rsidRDefault="002644DE" w:rsidP="002644DE">
            <w:pPr>
              <w:spacing w:after="0" w:line="240" w:lineRule="auto"/>
              <w:rPr>
                <w:rFonts w:ascii="Times New Roman" w:eastAsia="Calibri" w:hAnsi="Times New Roman" w:cs="Times New Roman"/>
                <w:b/>
                <w:sz w:val="24"/>
                <w:lang w:eastAsia="sk-SK"/>
              </w:rPr>
            </w:pPr>
            <w:r w:rsidRPr="00DF6C72">
              <w:rPr>
                <w:rFonts w:ascii="Times New Roman" w:eastAsia="Calibri" w:hAnsi="Times New Roman" w:cs="Times New Roman"/>
                <w:b/>
                <w:lang w:eastAsia="sk-SK"/>
              </w:rPr>
              <w:t xml:space="preserve">4.1 </w:t>
            </w:r>
            <w:r w:rsidRPr="00DF6C72">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DF6C72" w:rsidTr="00081940">
        <w:trPr>
          <w:jc w:val="center"/>
        </w:trPr>
        <w:tc>
          <w:tcPr>
            <w:tcW w:w="5000" w:type="pct"/>
            <w:gridSpan w:val="3"/>
            <w:tcBorders>
              <w:bottom w:val="single" w:sz="4" w:space="0" w:color="auto"/>
            </w:tcBorders>
            <w:shd w:val="clear" w:color="auto" w:fill="F2F2F2"/>
          </w:tcPr>
          <w:p w:rsidR="002644DE" w:rsidRPr="00DF6C72" w:rsidRDefault="002644DE" w:rsidP="002644DE">
            <w:pPr>
              <w:spacing w:after="0" w:line="240" w:lineRule="auto"/>
              <w:rPr>
                <w:rFonts w:ascii="Times New Roman" w:eastAsia="Calibri" w:hAnsi="Times New Roman" w:cs="Times New Roman"/>
                <w:i/>
                <w:sz w:val="20"/>
                <w:lang w:eastAsia="sk-SK"/>
              </w:rPr>
            </w:pPr>
            <w:r w:rsidRPr="00DF6C72">
              <w:rPr>
                <w:rFonts w:ascii="Times New Roman" w:eastAsia="Calibri" w:hAnsi="Times New Roman" w:cs="Times New Roman"/>
                <w:i/>
                <w:sz w:val="20"/>
                <w:lang w:eastAsia="sk-SK"/>
              </w:rPr>
              <w:t xml:space="preserve">Vedie návrh k zvýšeniu alebo zníženiu príjmov alebo výdavkov domácností? </w:t>
            </w:r>
          </w:p>
          <w:p w:rsidR="002644DE" w:rsidRPr="00DF6C72" w:rsidRDefault="002644DE" w:rsidP="002644DE">
            <w:pPr>
              <w:spacing w:after="0" w:line="240" w:lineRule="auto"/>
              <w:rPr>
                <w:rFonts w:ascii="Times New Roman" w:eastAsia="Calibri" w:hAnsi="Times New Roman" w:cs="Times New Roman"/>
                <w:i/>
                <w:sz w:val="20"/>
                <w:lang w:eastAsia="sk-SK"/>
              </w:rPr>
            </w:pPr>
            <w:r w:rsidRPr="00DF6C72">
              <w:rPr>
                <w:rFonts w:ascii="Times New Roman" w:eastAsia="Calibri" w:hAnsi="Times New Roman" w:cs="Times New Roman"/>
                <w:i/>
                <w:sz w:val="20"/>
                <w:lang w:eastAsia="sk-SK"/>
              </w:rPr>
              <w:t xml:space="preserve">Ktoré skupiny domácností/obyvateľstva sú takto ovplyvnené a akým spôsobom? </w:t>
            </w:r>
          </w:p>
          <w:p w:rsidR="002644DE" w:rsidRPr="00DF6C72" w:rsidRDefault="002644DE" w:rsidP="002644DE">
            <w:pPr>
              <w:spacing w:after="0" w:line="240" w:lineRule="auto"/>
              <w:rPr>
                <w:rFonts w:ascii="Times New Roman" w:eastAsia="Calibri" w:hAnsi="Times New Roman" w:cs="Times New Roman"/>
                <w:i/>
                <w:sz w:val="20"/>
                <w:lang w:eastAsia="sk-SK"/>
              </w:rPr>
            </w:pPr>
            <w:r w:rsidRPr="00DF6C72">
              <w:rPr>
                <w:rFonts w:ascii="Times New Roman" w:eastAsia="Calibri" w:hAnsi="Times New Roman" w:cs="Times New Roman"/>
                <w:i/>
                <w:sz w:val="20"/>
                <w:lang w:eastAsia="sk-SK"/>
              </w:rPr>
              <w:t>Sú medzi potenciálne ovplyvnenými skupinami skupiny v riziku chudoby alebo sociálneho vylúčenia?</w:t>
            </w:r>
          </w:p>
          <w:p w:rsidR="002644DE" w:rsidRPr="00DF6C72" w:rsidRDefault="002644DE" w:rsidP="002644DE">
            <w:pPr>
              <w:spacing w:after="0" w:line="240" w:lineRule="auto"/>
              <w:rPr>
                <w:rFonts w:ascii="Times New Roman" w:eastAsia="Calibri" w:hAnsi="Times New Roman" w:cs="Times New Roman"/>
                <w:b/>
                <w:sz w:val="18"/>
                <w:lang w:eastAsia="sk-SK"/>
              </w:rPr>
            </w:pPr>
            <w:r w:rsidRPr="00DF6C72">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DF6C72" w:rsidTr="00B621A8">
        <w:trPr>
          <w:trHeight w:val="170"/>
          <w:jc w:val="center"/>
        </w:trPr>
        <w:tc>
          <w:tcPr>
            <w:tcW w:w="146" w:type="pct"/>
            <w:tcBorders>
              <w:top w:val="single" w:sz="4" w:space="0" w:color="auto"/>
              <w:bottom w:val="single" w:sz="4" w:space="0" w:color="auto"/>
            </w:tcBorders>
            <w:shd w:val="clear" w:color="auto" w:fill="DDDDDD"/>
            <w:vAlign w:val="center"/>
          </w:tcPr>
          <w:p w:rsidR="002644DE" w:rsidRPr="00DF6C72" w:rsidRDefault="002644DE" w:rsidP="002644D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a)</w:t>
            </w:r>
          </w:p>
        </w:tc>
        <w:tc>
          <w:tcPr>
            <w:tcW w:w="4854" w:type="pct"/>
            <w:gridSpan w:val="2"/>
            <w:tcBorders>
              <w:top w:val="single" w:sz="4" w:space="0" w:color="auto"/>
              <w:bottom w:val="single" w:sz="4" w:space="0" w:color="auto"/>
            </w:tcBorders>
            <w:shd w:val="clear" w:color="auto" w:fill="DDDDDD"/>
            <w:vAlign w:val="center"/>
          </w:tcPr>
          <w:p w:rsidR="002644DE" w:rsidRPr="00DF6C72" w:rsidRDefault="002644DE" w:rsidP="002644DE">
            <w:pPr>
              <w:spacing w:after="0" w:line="240" w:lineRule="auto"/>
              <w:jc w:val="center"/>
              <w:rPr>
                <w:rFonts w:ascii="Times New Roman" w:eastAsia="Calibri" w:hAnsi="Times New Roman" w:cs="Times New Roman"/>
                <w:b/>
                <w:sz w:val="20"/>
                <w:szCs w:val="20"/>
                <w:lang w:eastAsia="sk-SK"/>
              </w:rPr>
            </w:pPr>
            <w:r w:rsidRPr="00DF6C72">
              <w:rPr>
                <w:rFonts w:ascii="Times New Roman" w:eastAsia="Calibri" w:hAnsi="Times New Roman" w:cs="Times New Roman"/>
                <w:b/>
                <w:i/>
                <w:sz w:val="20"/>
                <w:szCs w:val="20"/>
                <w:lang w:eastAsia="sk-SK"/>
              </w:rPr>
              <w:t>4.1.1 Pozitívny vplyv</w:t>
            </w:r>
          </w:p>
        </w:tc>
      </w:tr>
      <w:tr w:rsidR="002644DE" w:rsidRPr="00DF6C72" w:rsidTr="00B621A8">
        <w:trPr>
          <w:trHeight w:val="759"/>
          <w:jc w:val="center"/>
        </w:trPr>
        <w:tc>
          <w:tcPr>
            <w:tcW w:w="146" w:type="pct"/>
            <w:tcBorders>
              <w:top w:val="single" w:sz="4" w:space="0" w:color="auto"/>
              <w:bottom w:val="single" w:sz="4" w:space="0" w:color="auto"/>
            </w:tcBorders>
            <w:shd w:val="clear" w:color="auto" w:fill="auto"/>
            <w:vAlign w:val="center"/>
          </w:tcPr>
          <w:p w:rsidR="002644DE" w:rsidRPr="00DF6C72"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b)</w:t>
            </w:r>
          </w:p>
        </w:tc>
        <w:tc>
          <w:tcPr>
            <w:tcW w:w="1635" w:type="pct"/>
            <w:tcBorders>
              <w:top w:val="single" w:sz="4" w:space="0" w:color="auto"/>
              <w:bottom w:val="single" w:sz="4" w:space="0" w:color="auto"/>
            </w:tcBorders>
            <w:shd w:val="clear" w:color="auto" w:fill="auto"/>
            <w:vAlign w:val="center"/>
          </w:tcPr>
          <w:p w:rsidR="002644DE" w:rsidRPr="00DF6C72" w:rsidRDefault="002644DE" w:rsidP="002644DE">
            <w:pPr>
              <w:spacing w:after="0" w:line="240" w:lineRule="auto"/>
              <w:jc w:val="both"/>
              <w:rPr>
                <w:rFonts w:ascii="Times New Roman" w:eastAsia="Calibri" w:hAnsi="Times New Roman" w:cs="Times New Roman"/>
                <w:i/>
                <w:sz w:val="20"/>
                <w:szCs w:val="20"/>
                <w:lang w:eastAsia="sk-SK"/>
              </w:rPr>
            </w:pPr>
            <w:r w:rsidRPr="00DF6C72">
              <w:rPr>
                <w:rFonts w:ascii="Times New Roman" w:eastAsia="Calibri" w:hAnsi="Times New Roman" w:cs="Times New Roman"/>
                <w:b/>
                <w:i/>
                <w:sz w:val="20"/>
                <w:szCs w:val="20"/>
                <w:lang w:eastAsia="sk-SK"/>
              </w:rPr>
              <w:t xml:space="preserve">Popíšte </w:t>
            </w:r>
            <w:r w:rsidRPr="00DF6C72">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19" w:type="pct"/>
            <w:tcBorders>
              <w:top w:val="single" w:sz="4" w:space="0" w:color="auto"/>
              <w:bottom w:val="single" w:sz="4" w:space="0" w:color="auto"/>
            </w:tcBorders>
            <w:shd w:val="clear" w:color="auto" w:fill="auto"/>
          </w:tcPr>
          <w:p w:rsidR="002644DE" w:rsidRPr="00DF6C72" w:rsidRDefault="00C552CA" w:rsidP="00CD40D0">
            <w:pPr>
              <w:spacing w:after="0" w:line="240" w:lineRule="auto"/>
              <w:contextualSpacing/>
              <w:jc w:val="both"/>
              <w:rPr>
                <w:rFonts w:ascii="Times New Roman" w:eastAsia="Calibri" w:hAnsi="Times New Roman" w:cs="Times New Roman"/>
                <w:sz w:val="20"/>
                <w:szCs w:val="20"/>
                <w:lang w:eastAsia="sk-SK"/>
              </w:rPr>
            </w:pPr>
            <w:r w:rsidRPr="00DF6C72">
              <w:rPr>
                <w:rFonts w:ascii="Times New Roman" w:hAnsi="Times New Roman" w:cs="Times New Roman"/>
                <w:sz w:val="20"/>
                <w:szCs w:val="20"/>
              </w:rPr>
              <w:t xml:space="preserve">Pozitívny vplyv na hospodárenie domácnosti dôchodcov zakladá </w:t>
            </w:r>
            <w:r w:rsidR="00CD40D0" w:rsidRPr="00DF6C72">
              <w:rPr>
                <w:rFonts w:ascii="Times New Roman" w:hAnsi="Times New Roman"/>
                <w:sz w:val="20"/>
                <w:szCs w:val="20"/>
              </w:rPr>
              <w:t>možnosť detí asignovať rodičom časť svojich odvodov</w:t>
            </w:r>
            <w:r w:rsidR="00F36445" w:rsidRPr="00DF6C72">
              <w:rPr>
                <w:rFonts w:ascii="Times New Roman" w:hAnsi="Times New Roman"/>
                <w:sz w:val="20"/>
                <w:szCs w:val="20"/>
              </w:rPr>
              <w:t xml:space="preserve"> - zavedenie</w:t>
            </w:r>
            <w:r w:rsidR="00CD40D0" w:rsidRPr="00DF6C72">
              <w:rPr>
                <w:rFonts w:ascii="Times New Roman" w:hAnsi="Times New Roman"/>
                <w:sz w:val="20"/>
                <w:szCs w:val="20"/>
              </w:rPr>
              <w:t xml:space="preserve"> rodičovsk</w:t>
            </w:r>
            <w:r w:rsidR="00F36445" w:rsidRPr="00DF6C72">
              <w:rPr>
                <w:rFonts w:ascii="Times New Roman" w:hAnsi="Times New Roman"/>
                <w:sz w:val="20"/>
                <w:szCs w:val="20"/>
              </w:rPr>
              <w:t>ého</w:t>
            </w:r>
            <w:r w:rsidR="00CD40D0" w:rsidRPr="00DF6C72">
              <w:rPr>
                <w:rFonts w:ascii="Times New Roman" w:hAnsi="Times New Roman"/>
                <w:sz w:val="20"/>
                <w:szCs w:val="20"/>
              </w:rPr>
              <w:t xml:space="preserve"> </w:t>
            </w:r>
            <w:r w:rsidR="00F36445" w:rsidRPr="00DF6C72">
              <w:rPr>
                <w:rFonts w:ascii="Times New Roman" w:hAnsi="Times New Roman"/>
                <w:sz w:val="20"/>
                <w:szCs w:val="20"/>
              </w:rPr>
              <w:t>dôchodku</w:t>
            </w:r>
            <w:r w:rsidR="00CD40D0" w:rsidRPr="00DF6C72">
              <w:rPr>
                <w:rFonts w:ascii="Times New Roman" w:hAnsi="Times New Roman"/>
                <w:sz w:val="20"/>
                <w:szCs w:val="20"/>
              </w:rPr>
              <w:t>.</w:t>
            </w:r>
          </w:p>
        </w:tc>
      </w:tr>
      <w:tr w:rsidR="002644DE" w:rsidRPr="00DF6C72" w:rsidTr="00B621A8">
        <w:trPr>
          <w:trHeight w:val="397"/>
          <w:jc w:val="center"/>
        </w:trPr>
        <w:tc>
          <w:tcPr>
            <w:tcW w:w="146" w:type="pct"/>
            <w:vMerge w:val="restart"/>
            <w:tcBorders>
              <w:top w:val="single" w:sz="4" w:space="0" w:color="auto"/>
            </w:tcBorders>
            <w:shd w:val="clear" w:color="auto" w:fill="auto"/>
            <w:vAlign w:val="center"/>
          </w:tcPr>
          <w:p w:rsidR="002644DE" w:rsidRPr="00DF6C72" w:rsidRDefault="002644DE" w:rsidP="002644D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c)</w:t>
            </w:r>
          </w:p>
        </w:tc>
        <w:tc>
          <w:tcPr>
            <w:tcW w:w="1635" w:type="pct"/>
            <w:tcBorders>
              <w:top w:val="single" w:sz="4" w:space="0" w:color="auto"/>
            </w:tcBorders>
            <w:shd w:val="clear" w:color="auto" w:fill="auto"/>
          </w:tcPr>
          <w:p w:rsidR="002644DE" w:rsidRPr="00DF6C72" w:rsidRDefault="002644DE" w:rsidP="002644D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b/>
                <w:i/>
                <w:sz w:val="20"/>
                <w:szCs w:val="20"/>
                <w:lang w:eastAsia="sk-SK"/>
              </w:rPr>
              <w:t xml:space="preserve">Špecifikujte </w:t>
            </w:r>
            <w:r w:rsidRPr="00DF6C72">
              <w:rPr>
                <w:rFonts w:ascii="Times New Roman" w:eastAsia="Calibri" w:hAnsi="Times New Roman" w:cs="Times New Roman"/>
                <w:i/>
                <w:sz w:val="20"/>
                <w:szCs w:val="20"/>
                <w:lang w:eastAsia="sk-SK"/>
              </w:rPr>
              <w:t>ovplyvnené skupiny:</w:t>
            </w:r>
          </w:p>
        </w:tc>
        <w:tc>
          <w:tcPr>
            <w:tcW w:w="3219" w:type="pct"/>
            <w:tcBorders>
              <w:top w:val="single" w:sz="4" w:space="0" w:color="auto"/>
            </w:tcBorders>
            <w:shd w:val="clear" w:color="auto" w:fill="auto"/>
          </w:tcPr>
          <w:p w:rsidR="002644DE" w:rsidRPr="00DF6C72" w:rsidRDefault="00C552CA" w:rsidP="00C552CA">
            <w:pPr>
              <w:spacing w:after="0" w:line="240" w:lineRule="auto"/>
              <w:contextualSpacing/>
              <w:jc w:val="both"/>
              <w:rPr>
                <w:rFonts w:ascii="Times New Roman" w:eastAsia="Calibri" w:hAnsi="Times New Roman" w:cs="Times New Roman"/>
                <w:i/>
                <w:sz w:val="20"/>
                <w:szCs w:val="20"/>
                <w:lang w:eastAsia="sk-SK"/>
              </w:rPr>
            </w:pPr>
            <w:r w:rsidRPr="00DF6C72">
              <w:rPr>
                <w:rFonts w:ascii="Times New Roman" w:hAnsi="Times New Roman"/>
                <w:sz w:val="20"/>
                <w:szCs w:val="20"/>
              </w:rPr>
              <w:t>Po</w:t>
            </w:r>
            <w:r w:rsidR="00920F46" w:rsidRPr="00DF6C72">
              <w:rPr>
                <w:rFonts w:ascii="Times New Roman" w:hAnsi="Times New Roman"/>
                <w:sz w:val="20"/>
                <w:szCs w:val="20"/>
              </w:rPr>
              <w:t>beratelia starobných dôchodkov (vrátane poberateľov</w:t>
            </w:r>
            <w:r w:rsidRPr="00DF6C72">
              <w:rPr>
                <w:rFonts w:ascii="Times New Roman" w:hAnsi="Times New Roman"/>
                <w:sz w:val="20"/>
                <w:szCs w:val="20"/>
              </w:rPr>
              <w:t xml:space="preserve"> invalidných dôchodkov po dovŕšení dôchodkového veku</w:t>
            </w:r>
            <w:r w:rsidR="00920F46" w:rsidRPr="00DF6C72">
              <w:rPr>
                <w:rFonts w:ascii="Times New Roman" w:hAnsi="Times New Roman"/>
                <w:sz w:val="20"/>
                <w:szCs w:val="20"/>
              </w:rPr>
              <w:t>)</w:t>
            </w:r>
            <w:r w:rsidRPr="00DF6C72">
              <w:rPr>
                <w:rFonts w:ascii="Times New Roman" w:hAnsi="Times New Roman"/>
                <w:sz w:val="20"/>
                <w:szCs w:val="20"/>
              </w:rPr>
              <w:t>.</w:t>
            </w:r>
          </w:p>
        </w:tc>
      </w:tr>
      <w:tr w:rsidR="002644DE" w:rsidRPr="00DF6C72" w:rsidTr="00B621A8">
        <w:trPr>
          <w:trHeight w:val="397"/>
          <w:jc w:val="center"/>
        </w:trPr>
        <w:tc>
          <w:tcPr>
            <w:tcW w:w="146" w:type="pct"/>
            <w:vMerge/>
            <w:shd w:val="clear" w:color="auto" w:fill="auto"/>
            <w:vAlign w:val="center"/>
          </w:tcPr>
          <w:p w:rsidR="002644DE" w:rsidRPr="00DF6C72" w:rsidRDefault="002644DE" w:rsidP="002644DE">
            <w:pPr>
              <w:spacing w:after="0" w:line="240" w:lineRule="auto"/>
              <w:jc w:val="center"/>
              <w:rPr>
                <w:rFonts w:ascii="Times New Roman" w:eastAsia="Calibri" w:hAnsi="Times New Roman" w:cs="Times New Roman"/>
                <w:i/>
                <w:sz w:val="18"/>
                <w:szCs w:val="18"/>
                <w:lang w:eastAsia="sk-SK"/>
              </w:rPr>
            </w:pPr>
          </w:p>
        </w:tc>
        <w:tc>
          <w:tcPr>
            <w:tcW w:w="1635" w:type="pct"/>
            <w:shd w:val="clear" w:color="auto" w:fill="auto"/>
          </w:tcPr>
          <w:p w:rsidR="002644DE" w:rsidRPr="00DF6C72" w:rsidRDefault="002644DE" w:rsidP="002644D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i/>
                <w:sz w:val="18"/>
                <w:szCs w:val="20"/>
                <w:lang w:eastAsia="sk-SK"/>
              </w:rPr>
              <w:t>Ovplyvnená skupina č. 1</w:t>
            </w:r>
          </w:p>
        </w:tc>
        <w:tc>
          <w:tcPr>
            <w:tcW w:w="3219" w:type="pct"/>
            <w:tcBorders>
              <w:top w:val="dotted" w:sz="4" w:space="0" w:color="auto"/>
            </w:tcBorders>
            <w:shd w:val="clear" w:color="auto" w:fill="auto"/>
          </w:tcPr>
          <w:p w:rsidR="002644DE" w:rsidRPr="00DF6C72" w:rsidRDefault="00C552CA" w:rsidP="00CA5539">
            <w:pPr>
              <w:spacing w:after="0" w:line="240" w:lineRule="auto"/>
              <w:jc w:val="both"/>
              <w:rPr>
                <w:rFonts w:ascii="Times New Roman" w:eastAsia="Calibri" w:hAnsi="Times New Roman" w:cs="Times New Roman"/>
                <w:sz w:val="20"/>
                <w:szCs w:val="20"/>
                <w:lang w:eastAsia="sk-SK"/>
              </w:rPr>
            </w:pPr>
            <w:r w:rsidRPr="00DF6C72">
              <w:rPr>
                <w:rFonts w:ascii="Times New Roman" w:eastAsia="Calibri" w:hAnsi="Times New Roman" w:cs="Times New Roman"/>
                <w:sz w:val="20"/>
                <w:szCs w:val="20"/>
                <w:lang w:eastAsia="sk-SK"/>
              </w:rPr>
              <w:t xml:space="preserve">Poberatelia starobných dôchodkov </w:t>
            </w:r>
            <w:r w:rsidR="00920F46" w:rsidRPr="00DF6C72">
              <w:rPr>
                <w:rFonts w:ascii="Times New Roman" w:eastAsia="Calibri" w:hAnsi="Times New Roman" w:cs="Times New Roman"/>
                <w:sz w:val="20"/>
                <w:szCs w:val="20"/>
                <w:lang w:eastAsia="sk-SK"/>
              </w:rPr>
              <w:t>(vrátane poberateľov invalidných dôchodkov po dovŕšení dôchodkového veku)</w:t>
            </w:r>
          </w:p>
        </w:tc>
      </w:tr>
      <w:tr w:rsidR="002644DE" w:rsidRPr="00DF6C72" w:rsidTr="00B621A8">
        <w:trPr>
          <w:trHeight w:val="454"/>
          <w:jc w:val="center"/>
        </w:trPr>
        <w:tc>
          <w:tcPr>
            <w:tcW w:w="146" w:type="pct"/>
            <w:tcBorders>
              <w:top w:val="dotted" w:sz="4" w:space="0" w:color="auto"/>
            </w:tcBorders>
            <w:shd w:val="clear" w:color="auto" w:fill="F2F2F2"/>
            <w:vAlign w:val="center"/>
          </w:tcPr>
          <w:p w:rsidR="002644DE" w:rsidRPr="00DF6C72" w:rsidRDefault="002644DE" w:rsidP="002644D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d)</w:t>
            </w:r>
          </w:p>
        </w:tc>
        <w:tc>
          <w:tcPr>
            <w:tcW w:w="4854" w:type="pct"/>
            <w:gridSpan w:val="2"/>
            <w:tcBorders>
              <w:top w:val="dotted"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sz w:val="20"/>
                <w:szCs w:val="20"/>
                <w:lang w:eastAsia="sk-SK"/>
              </w:rPr>
            </w:pPr>
            <w:r w:rsidRPr="00DF6C72">
              <w:rPr>
                <w:rFonts w:ascii="Times New Roman" w:eastAsia="Calibri" w:hAnsi="Times New Roman" w:cs="Times New Roman"/>
                <w:b/>
                <w:i/>
                <w:sz w:val="20"/>
                <w:szCs w:val="20"/>
                <w:lang w:eastAsia="sk-SK"/>
              </w:rPr>
              <w:t>Kvantifikujte</w:t>
            </w:r>
            <w:r w:rsidRPr="00DF6C72">
              <w:rPr>
                <w:rFonts w:ascii="Times New Roman" w:eastAsia="Calibri" w:hAnsi="Times New Roman" w:cs="Times New Roman"/>
                <w:i/>
                <w:sz w:val="20"/>
                <w:szCs w:val="20"/>
                <w:lang w:eastAsia="sk-SK"/>
              </w:rPr>
              <w:t xml:space="preserve"> rast príjmov alebo pokles výdavkov </w:t>
            </w:r>
            <w:r w:rsidRPr="00DF6C72">
              <w:rPr>
                <w:rFonts w:ascii="Times New Roman" w:eastAsia="Calibri" w:hAnsi="Times New Roman" w:cs="Times New Roman"/>
                <w:b/>
                <w:i/>
                <w:sz w:val="20"/>
                <w:szCs w:val="20"/>
                <w:lang w:eastAsia="sk-SK"/>
              </w:rPr>
              <w:t>za jednotlivé</w:t>
            </w:r>
            <w:r w:rsidRPr="00DF6C72">
              <w:rPr>
                <w:rFonts w:ascii="Times New Roman" w:eastAsia="Calibri" w:hAnsi="Times New Roman" w:cs="Times New Roman"/>
                <w:i/>
                <w:sz w:val="20"/>
                <w:szCs w:val="20"/>
                <w:lang w:eastAsia="sk-SK"/>
              </w:rPr>
              <w:t xml:space="preserve"> </w:t>
            </w:r>
            <w:r w:rsidRPr="00DF6C72">
              <w:rPr>
                <w:rFonts w:ascii="Times New Roman" w:eastAsia="Calibri" w:hAnsi="Times New Roman" w:cs="Times New Roman"/>
                <w:b/>
                <w:i/>
                <w:sz w:val="20"/>
                <w:szCs w:val="20"/>
                <w:lang w:eastAsia="sk-SK"/>
              </w:rPr>
              <w:t>ovplyvnené</w:t>
            </w:r>
            <w:r w:rsidRPr="00DF6C72">
              <w:rPr>
                <w:rFonts w:ascii="Times New Roman" w:eastAsia="Calibri" w:hAnsi="Times New Roman" w:cs="Times New Roman"/>
                <w:i/>
                <w:sz w:val="20"/>
                <w:szCs w:val="20"/>
                <w:lang w:eastAsia="sk-SK"/>
              </w:rPr>
              <w:t xml:space="preserve"> </w:t>
            </w:r>
            <w:r w:rsidRPr="00DF6C72">
              <w:rPr>
                <w:rFonts w:ascii="Times New Roman" w:eastAsia="Calibri" w:hAnsi="Times New Roman" w:cs="Times New Roman"/>
                <w:b/>
                <w:i/>
                <w:sz w:val="20"/>
                <w:szCs w:val="20"/>
                <w:lang w:eastAsia="sk-SK"/>
              </w:rPr>
              <w:t>skupiny</w:t>
            </w:r>
            <w:r w:rsidRPr="00DF6C7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DF6C72" w:rsidTr="00B621A8">
        <w:trPr>
          <w:trHeight w:val="680"/>
          <w:jc w:val="center"/>
        </w:trPr>
        <w:tc>
          <w:tcPr>
            <w:tcW w:w="146" w:type="pct"/>
            <w:vMerge w:val="restart"/>
            <w:tcBorders>
              <w:top w:val="dotted" w:sz="4" w:space="0" w:color="auto"/>
            </w:tcBorders>
            <w:shd w:val="clear" w:color="auto" w:fill="auto"/>
            <w:vAlign w:val="center"/>
          </w:tcPr>
          <w:p w:rsidR="002644DE" w:rsidRPr="00DF6C72" w:rsidRDefault="002644DE" w:rsidP="002644D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e)</w:t>
            </w:r>
          </w:p>
        </w:tc>
        <w:tc>
          <w:tcPr>
            <w:tcW w:w="1635" w:type="pct"/>
            <w:tcBorders>
              <w:top w:val="dotted" w:sz="4" w:space="0" w:color="auto"/>
            </w:tcBorders>
            <w:shd w:val="clear" w:color="auto" w:fill="auto"/>
          </w:tcPr>
          <w:p w:rsidR="002644DE" w:rsidRPr="00DF6C72"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DF6C72">
              <w:rPr>
                <w:rFonts w:ascii="Times New Roman" w:eastAsia="Calibri" w:hAnsi="Times New Roman" w:cs="Times New Roman"/>
                <w:i/>
                <w:sz w:val="18"/>
                <w:szCs w:val="20"/>
                <w:lang w:eastAsia="sk-SK"/>
              </w:rPr>
              <w:t>priemerný rast príjmov/ pokles výdavkov v skupine v eurách a/alebo v % / obdobie:</w:t>
            </w:r>
          </w:p>
          <w:p w:rsidR="002644DE" w:rsidRPr="00DF6C72"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DF6C72">
              <w:rPr>
                <w:rFonts w:ascii="Times New Roman" w:eastAsia="Calibri" w:hAnsi="Times New Roman" w:cs="Times New Roman"/>
                <w:i/>
                <w:sz w:val="18"/>
                <w:szCs w:val="20"/>
                <w:lang w:eastAsia="sk-SK"/>
              </w:rPr>
              <w:t>veľkosť skupiny (počet obyvateľov):</w:t>
            </w:r>
          </w:p>
        </w:tc>
        <w:tc>
          <w:tcPr>
            <w:tcW w:w="3219" w:type="pct"/>
            <w:tcBorders>
              <w:top w:val="dotted" w:sz="4" w:space="0" w:color="auto"/>
            </w:tcBorders>
            <w:shd w:val="clear" w:color="auto" w:fill="auto"/>
          </w:tcPr>
          <w:p w:rsidR="002644DE" w:rsidRPr="00DF6C72" w:rsidRDefault="00920F46" w:rsidP="00920F46">
            <w:pPr>
              <w:spacing w:after="0" w:line="240" w:lineRule="auto"/>
              <w:jc w:val="both"/>
              <w:rPr>
                <w:rFonts w:ascii="Times New Roman" w:eastAsia="Calibri" w:hAnsi="Times New Roman" w:cs="Times New Roman"/>
                <w:sz w:val="20"/>
                <w:szCs w:val="20"/>
                <w:lang w:eastAsia="sk-SK"/>
              </w:rPr>
            </w:pPr>
            <w:r w:rsidRPr="00DF6C72">
              <w:rPr>
                <w:rFonts w:ascii="Times New Roman" w:eastAsia="Calibri" w:hAnsi="Times New Roman" w:cs="Times New Roman"/>
                <w:sz w:val="20"/>
                <w:szCs w:val="20"/>
                <w:lang w:eastAsia="sk-SK"/>
              </w:rPr>
              <w:t>Priemerné mesačné zvýšenie dôc</w:t>
            </w:r>
            <w:r w:rsidR="00545ED7" w:rsidRPr="00DF6C72">
              <w:rPr>
                <w:rFonts w:ascii="Times New Roman" w:eastAsia="Calibri" w:hAnsi="Times New Roman" w:cs="Times New Roman"/>
                <w:sz w:val="20"/>
                <w:szCs w:val="20"/>
                <w:lang w:eastAsia="sk-SK"/>
              </w:rPr>
              <w:t>hodku formou rodičovského dôchodku</w:t>
            </w:r>
            <w:r w:rsidRPr="00DF6C72">
              <w:rPr>
                <w:rFonts w:ascii="Times New Roman" w:eastAsia="Calibri" w:hAnsi="Times New Roman" w:cs="Times New Roman"/>
                <w:sz w:val="20"/>
                <w:szCs w:val="20"/>
                <w:lang w:eastAsia="sk-SK"/>
              </w:rPr>
              <w:t xml:space="preserve"> odhadujeme v roku 2023 na úrovni </w:t>
            </w:r>
            <w:r w:rsidR="00DB7C0F">
              <w:rPr>
                <w:rFonts w:ascii="Times New Roman" w:eastAsia="Calibri" w:hAnsi="Times New Roman" w:cs="Times New Roman"/>
                <w:sz w:val="20"/>
                <w:szCs w:val="20"/>
                <w:lang w:eastAsia="sk-SK"/>
              </w:rPr>
              <w:t>25,4</w:t>
            </w:r>
            <w:r w:rsidRPr="00DF6C72">
              <w:rPr>
                <w:rFonts w:ascii="Times New Roman" w:eastAsia="Calibri" w:hAnsi="Times New Roman" w:cs="Times New Roman"/>
                <w:sz w:val="20"/>
                <w:szCs w:val="20"/>
                <w:lang w:eastAsia="sk-SK"/>
              </w:rPr>
              <w:t xml:space="preserve"> eura</w:t>
            </w:r>
            <w:r w:rsidR="00763928">
              <w:rPr>
                <w:rFonts w:ascii="Times New Roman" w:eastAsia="Calibri" w:hAnsi="Times New Roman" w:cs="Times New Roman"/>
                <w:sz w:val="20"/>
                <w:szCs w:val="20"/>
                <w:lang w:eastAsia="sk-SK"/>
              </w:rPr>
              <w:t xml:space="preserve">, </w:t>
            </w:r>
            <w:r w:rsidRPr="00DF6C72">
              <w:rPr>
                <w:rFonts w:ascii="Times New Roman" w:eastAsia="Calibri" w:hAnsi="Times New Roman" w:cs="Times New Roman"/>
                <w:sz w:val="20"/>
                <w:szCs w:val="20"/>
                <w:lang w:eastAsia="sk-SK"/>
              </w:rPr>
              <w:t xml:space="preserve">v roku 2024 na úrovni </w:t>
            </w:r>
            <w:r w:rsidR="00DB7C0F">
              <w:rPr>
                <w:rFonts w:ascii="Times New Roman" w:eastAsia="Calibri" w:hAnsi="Times New Roman" w:cs="Times New Roman"/>
                <w:sz w:val="20"/>
                <w:szCs w:val="20"/>
                <w:lang w:eastAsia="sk-SK"/>
              </w:rPr>
              <w:t>2</w:t>
            </w:r>
            <w:r w:rsidR="00763928">
              <w:rPr>
                <w:rFonts w:ascii="Times New Roman" w:eastAsia="Calibri" w:hAnsi="Times New Roman" w:cs="Times New Roman"/>
                <w:sz w:val="20"/>
                <w:szCs w:val="20"/>
                <w:lang w:eastAsia="sk-SK"/>
              </w:rPr>
              <w:t>7,3</w:t>
            </w:r>
            <w:r w:rsidRPr="00DF6C72">
              <w:rPr>
                <w:rFonts w:ascii="Times New Roman" w:eastAsia="Calibri" w:hAnsi="Times New Roman" w:cs="Times New Roman"/>
                <w:sz w:val="20"/>
                <w:szCs w:val="20"/>
                <w:lang w:eastAsia="sk-SK"/>
              </w:rPr>
              <w:t xml:space="preserve"> eura</w:t>
            </w:r>
            <w:r w:rsidR="00763928">
              <w:rPr>
                <w:rFonts w:ascii="Times New Roman" w:eastAsia="Calibri" w:hAnsi="Times New Roman" w:cs="Times New Roman"/>
                <w:sz w:val="20"/>
                <w:szCs w:val="20"/>
                <w:lang w:eastAsia="sk-SK"/>
              </w:rPr>
              <w:t xml:space="preserve"> a v roku 2025 na úrovni </w:t>
            </w:r>
            <w:r w:rsidR="00DB7C0F">
              <w:rPr>
                <w:rFonts w:ascii="Times New Roman" w:eastAsia="Calibri" w:hAnsi="Times New Roman" w:cs="Times New Roman"/>
                <w:sz w:val="20"/>
                <w:szCs w:val="20"/>
                <w:lang w:eastAsia="sk-SK"/>
              </w:rPr>
              <w:t>29,3</w:t>
            </w:r>
            <w:r w:rsidR="00763928">
              <w:rPr>
                <w:rFonts w:ascii="Times New Roman" w:eastAsia="Calibri" w:hAnsi="Times New Roman" w:cs="Times New Roman"/>
                <w:sz w:val="20"/>
                <w:szCs w:val="20"/>
                <w:lang w:eastAsia="sk-SK"/>
              </w:rPr>
              <w:t xml:space="preserve"> eura.</w:t>
            </w:r>
          </w:p>
          <w:p w:rsidR="00920F46" w:rsidRPr="00DF6C72" w:rsidRDefault="00920F46" w:rsidP="00920F46">
            <w:pPr>
              <w:spacing w:after="0" w:line="240" w:lineRule="auto"/>
              <w:jc w:val="both"/>
              <w:rPr>
                <w:rFonts w:ascii="Times New Roman" w:eastAsia="Calibri" w:hAnsi="Times New Roman" w:cs="Times New Roman"/>
                <w:sz w:val="20"/>
                <w:szCs w:val="20"/>
                <w:lang w:eastAsia="sk-SK"/>
              </w:rPr>
            </w:pPr>
            <w:r w:rsidRPr="00DF6C72">
              <w:rPr>
                <w:rFonts w:ascii="Times New Roman" w:eastAsia="Calibri" w:hAnsi="Times New Roman" w:cs="Times New Roman"/>
                <w:sz w:val="20"/>
                <w:szCs w:val="20"/>
                <w:lang w:eastAsia="sk-SK"/>
              </w:rPr>
              <w:t>Počet dotknutých poberateľov starobných dôchodkov (vrátane invalidných dôchodcov po dovŕšení dôchodkového veku</w:t>
            </w:r>
            <w:r w:rsidR="00F36445" w:rsidRPr="00DF6C72">
              <w:rPr>
                <w:rFonts w:ascii="Times New Roman" w:eastAsia="Calibri" w:hAnsi="Times New Roman" w:cs="Times New Roman"/>
                <w:sz w:val="20"/>
                <w:szCs w:val="20"/>
                <w:lang w:eastAsia="sk-SK"/>
              </w:rPr>
              <w:t>)</w:t>
            </w:r>
            <w:r w:rsidRPr="00DF6C72">
              <w:rPr>
                <w:rFonts w:ascii="Times New Roman" w:eastAsia="Calibri" w:hAnsi="Times New Roman" w:cs="Times New Roman"/>
                <w:sz w:val="20"/>
                <w:szCs w:val="20"/>
                <w:lang w:eastAsia="sk-SK"/>
              </w:rPr>
              <w:t xml:space="preserve"> odhadujeme v roku 2023 na úrovni približne 828 tis.</w:t>
            </w:r>
            <w:r w:rsidR="00763928">
              <w:rPr>
                <w:rFonts w:ascii="Times New Roman" w:eastAsia="Calibri" w:hAnsi="Times New Roman" w:cs="Times New Roman"/>
                <w:sz w:val="20"/>
                <w:szCs w:val="20"/>
                <w:lang w:eastAsia="sk-SK"/>
              </w:rPr>
              <w:t xml:space="preserve"> osôb, </w:t>
            </w:r>
            <w:r w:rsidRPr="00DF6C72">
              <w:rPr>
                <w:rFonts w:ascii="Times New Roman" w:eastAsia="Calibri" w:hAnsi="Times New Roman" w:cs="Times New Roman"/>
                <w:sz w:val="20"/>
                <w:szCs w:val="20"/>
                <w:lang w:eastAsia="sk-SK"/>
              </w:rPr>
              <w:t>v roku 2024 na úrovni približne 836 tis. osôb</w:t>
            </w:r>
            <w:r w:rsidR="00763928">
              <w:rPr>
                <w:rFonts w:ascii="Times New Roman" w:eastAsia="Calibri" w:hAnsi="Times New Roman" w:cs="Times New Roman"/>
                <w:sz w:val="20"/>
                <w:szCs w:val="20"/>
                <w:lang w:eastAsia="sk-SK"/>
              </w:rPr>
              <w:t xml:space="preserve"> a v roku 2025 na úrovni 842,5 tis. osôb.</w:t>
            </w:r>
          </w:p>
        </w:tc>
      </w:tr>
      <w:tr w:rsidR="002644DE" w:rsidRPr="00DF6C72" w:rsidTr="00B621A8">
        <w:trPr>
          <w:trHeight w:val="680"/>
          <w:jc w:val="center"/>
        </w:trPr>
        <w:tc>
          <w:tcPr>
            <w:tcW w:w="146" w:type="pct"/>
            <w:vMerge/>
            <w:shd w:val="clear" w:color="auto" w:fill="auto"/>
            <w:vAlign w:val="center"/>
          </w:tcPr>
          <w:p w:rsidR="002644DE" w:rsidRPr="00DF6C72" w:rsidRDefault="002644DE" w:rsidP="002644DE">
            <w:pPr>
              <w:spacing w:after="0" w:line="240" w:lineRule="auto"/>
              <w:jc w:val="center"/>
              <w:rPr>
                <w:rFonts w:ascii="Times New Roman" w:eastAsia="Calibri" w:hAnsi="Times New Roman" w:cs="Times New Roman"/>
                <w:i/>
                <w:sz w:val="18"/>
                <w:szCs w:val="18"/>
                <w:lang w:eastAsia="sk-SK"/>
              </w:rPr>
            </w:pPr>
          </w:p>
        </w:tc>
        <w:tc>
          <w:tcPr>
            <w:tcW w:w="1635" w:type="pct"/>
            <w:shd w:val="clear" w:color="auto" w:fill="auto"/>
          </w:tcPr>
          <w:p w:rsidR="002644DE" w:rsidRPr="00DF6C72" w:rsidRDefault="002644DE" w:rsidP="002644D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i/>
                <w:sz w:val="18"/>
                <w:szCs w:val="20"/>
                <w:lang w:eastAsia="sk-SK"/>
              </w:rPr>
              <w:t>Ovplyvnená skupina č. 1</w:t>
            </w:r>
          </w:p>
        </w:tc>
        <w:tc>
          <w:tcPr>
            <w:tcW w:w="3219" w:type="pct"/>
            <w:tcBorders>
              <w:top w:val="dotted" w:sz="4" w:space="0" w:color="auto"/>
            </w:tcBorders>
            <w:shd w:val="clear" w:color="auto" w:fill="auto"/>
          </w:tcPr>
          <w:p w:rsidR="002644DE" w:rsidRPr="00DF6C72" w:rsidRDefault="005A405C" w:rsidP="00CA5539">
            <w:pPr>
              <w:spacing w:after="0" w:line="240" w:lineRule="auto"/>
              <w:jc w:val="both"/>
              <w:rPr>
                <w:rFonts w:ascii="Times New Roman" w:eastAsia="Calibri" w:hAnsi="Times New Roman" w:cs="Times New Roman"/>
                <w:sz w:val="20"/>
                <w:szCs w:val="20"/>
                <w:lang w:eastAsia="sk-SK"/>
              </w:rPr>
            </w:pPr>
            <w:r w:rsidRPr="00DF6C72">
              <w:rPr>
                <w:rFonts w:ascii="Times New Roman" w:eastAsia="Calibri" w:hAnsi="Times New Roman" w:cs="Times New Roman"/>
                <w:sz w:val="20"/>
                <w:szCs w:val="20"/>
                <w:lang w:eastAsia="sk-SK"/>
              </w:rPr>
              <w:t>Poberatelia starobných dôchodkov (vrátane poberateľov invalidných dôchodkov po dovŕšení dôchodkového veku)</w:t>
            </w:r>
            <w:r w:rsidR="00CA5539" w:rsidRPr="00DF6C72">
              <w:rPr>
                <w:rFonts w:ascii="Times New Roman" w:eastAsia="Calibri" w:hAnsi="Times New Roman" w:cs="Times New Roman"/>
                <w:sz w:val="20"/>
                <w:szCs w:val="20"/>
                <w:lang w:eastAsia="sk-SK"/>
              </w:rPr>
              <w:t>.</w:t>
            </w:r>
          </w:p>
        </w:tc>
      </w:tr>
      <w:tr w:rsidR="002644DE" w:rsidRPr="00DF6C72" w:rsidTr="00B621A8">
        <w:trPr>
          <w:trHeight w:val="397"/>
          <w:jc w:val="center"/>
        </w:trPr>
        <w:tc>
          <w:tcPr>
            <w:tcW w:w="146" w:type="pct"/>
            <w:tcBorders>
              <w:top w:val="dotted" w:sz="4" w:space="0" w:color="auto"/>
            </w:tcBorders>
            <w:shd w:val="clear" w:color="auto" w:fill="auto"/>
            <w:vAlign w:val="center"/>
          </w:tcPr>
          <w:p w:rsidR="002644DE" w:rsidRPr="00DF6C72" w:rsidRDefault="002644DE" w:rsidP="002644D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f)</w:t>
            </w:r>
          </w:p>
        </w:tc>
        <w:tc>
          <w:tcPr>
            <w:tcW w:w="1635" w:type="pct"/>
            <w:tcBorders>
              <w:top w:val="dotted" w:sz="4" w:space="0" w:color="auto"/>
            </w:tcBorders>
            <w:shd w:val="clear" w:color="auto" w:fill="auto"/>
          </w:tcPr>
          <w:p w:rsidR="002644DE" w:rsidRPr="00DF6C72" w:rsidRDefault="002644DE" w:rsidP="002644D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i/>
                <w:sz w:val="20"/>
                <w:szCs w:val="20"/>
                <w:lang w:eastAsia="sk-SK"/>
              </w:rPr>
              <w:t>Dôvod chýbajúcej kvantifikácie:</w:t>
            </w:r>
          </w:p>
        </w:tc>
        <w:tc>
          <w:tcPr>
            <w:tcW w:w="3219" w:type="pct"/>
            <w:tcBorders>
              <w:top w:val="dotted" w:sz="4" w:space="0" w:color="auto"/>
            </w:tcBorders>
            <w:shd w:val="clear" w:color="auto" w:fill="auto"/>
          </w:tcPr>
          <w:p w:rsidR="002644DE" w:rsidRPr="00DF6C72" w:rsidRDefault="002644DE" w:rsidP="002644DE">
            <w:pPr>
              <w:spacing w:after="0" w:line="240" w:lineRule="auto"/>
              <w:rPr>
                <w:rFonts w:ascii="Times New Roman" w:eastAsia="Calibri" w:hAnsi="Times New Roman" w:cs="Times New Roman"/>
                <w:sz w:val="20"/>
                <w:szCs w:val="20"/>
                <w:lang w:eastAsia="sk-SK"/>
              </w:rPr>
            </w:pPr>
          </w:p>
        </w:tc>
      </w:tr>
      <w:tr w:rsidR="001B6057" w:rsidRPr="00DF6C72" w:rsidTr="00D4788A">
        <w:trPr>
          <w:trHeight w:val="170"/>
          <w:jc w:val="center"/>
        </w:trPr>
        <w:tc>
          <w:tcPr>
            <w:tcW w:w="146" w:type="pct"/>
            <w:tcBorders>
              <w:top w:val="single" w:sz="4" w:space="0" w:color="auto"/>
              <w:bottom w:val="single" w:sz="4" w:space="0" w:color="auto"/>
            </w:tcBorders>
            <w:shd w:val="clear" w:color="auto" w:fill="DDDDDD"/>
            <w:vAlign w:val="center"/>
          </w:tcPr>
          <w:p w:rsidR="001B6057" w:rsidRPr="00DF6C72" w:rsidRDefault="001B6057" w:rsidP="00D4788A">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a)</w:t>
            </w:r>
          </w:p>
        </w:tc>
        <w:tc>
          <w:tcPr>
            <w:tcW w:w="4854" w:type="pct"/>
            <w:gridSpan w:val="2"/>
            <w:tcBorders>
              <w:top w:val="single" w:sz="4" w:space="0" w:color="auto"/>
              <w:bottom w:val="single" w:sz="4" w:space="0" w:color="auto"/>
            </w:tcBorders>
            <w:shd w:val="clear" w:color="auto" w:fill="DDDDDD"/>
            <w:vAlign w:val="center"/>
          </w:tcPr>
          <w:p w:rsidR="001B6057" w:rsidRPr="00DF6C72" w:rsidRDefault="001B6057" w:rsidP="00D4788A">
            <w:pPr>
              <w:spacing w:after="0" w:line="240" w:lineRule="auto"/>
              <w:jc w:val="center"/>
              <w:rPr>
                <w:rFonts w:ascii="Times New Roman" w:eastAsia="Calibri" w:hAnsi="Times New Roman" w:cs="Times New Roman"/>
                <w:b/>
                <w:sz w:val="20"/>
                <w:szCs w:val="20"/>
                <w:lang w:eastAsia="sk-SK"/>
              </w:rPr>
            </w:pPr>
            <w:r w:rsidRPr="00DF6C72">
              <w:rPr>
                <w:rFonts w:ascii="Times New Roman" w:eastAsia="Calibri" w:hAnsi="Times New Roman" w:cs="Times New Roman"/>
                <w:b/>
                <w:i/>
                <w:sz w:val="20"/>
                <w:szCs w:val="20"/>
                <w:lang w:eastAsia="sk-SK"/>
              </w:rPr>
              <w:t>4.1.1 Pozitívny vplyv</w:t>
            </w:r>
          </w:p>
        </w:tc>
      </w:tr>
      <w:tr w:rsidR="001B6057" w:rsidRPr="00DF6C72" w:rsidTr="00D4788A">
        <w:trPr>
          <w:trHeight w:val="759"/>
          <w:jc w:val="center"/>
        </w:trPr>
        <w:tc>
          <w:tcPr>
            <w:tcW w:w="146" w:type="pct"/>
            <w:tcBorders>
              <w:top w:val="single" w:sz="4" w:space="0" w:color="auto"/>
              <w:bottom w:val="single" w:sz="4" w:space="0" w:color="auto"/>
            </w:tcBorders>
            <w:shd w:val="clear" w:color="auto" w:fill="auto"/>
            <w:vAlign w:val="center"/>
          </w:tcPr>
          <w:p w:rsidR="001B6057" w:rsidRPr="00DF6C72" w:rsidRDefault="001B6057" w:rsidP="00D4788A">
            <w:pPr>
              <w:spacing w:after="0" w:line="240" w:lineRule="auto"/>
              <w:contextualSpacing/>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b)</w:t>
            </w:r>
          </w:p>
        </w:tc>
        <w:tc>
          <w:tcPr>
            <w:tcW w:w="1635" w:type="pct"/>
            <w:tcBorders>
              <w:top w:val="single" w:sz="4" w:space="0" w:color="auto"/>
              <w:bottom w:val="single" w:sz="4" w:space="0" w:color="auto"/>
            </w:tcBorders>
            <w:shd w:val="clear" w:color="auto" w:fill="auto"/>
            <w:vAlign w:val="center"/>
          </w:tcPr>
          <w:p w:rsidR="001B6057" w:rsidRPr="00DF6C72" w:rsidRDefault="001B6057" w:rsidP="00D4788A">
            <w:pPr>
              <w:spacing w:after="0" w:line="240" w:lineRule="auto"/>
              <w:jc w:val="both"/>
              <w:rPr>
                <w:rFonts w:ascii="Times New Roman" w:eastAsia="Calibri" w:hAnsi="Times New Roman" w:cs="Times New Roman"/>
                <w:i/>
                <w:sz w:val="20"/>
                <w:szCs w:val="20"/>
                <w:lang w:eastAsia="sk-SK"/>
              </w:rPr>
            </w:pPr>
            <w:r w:rsidRPr="00DF6C72">
              <w:rPr>
                <w:rFonts w:ascii="Times New Roman" w:eastAsia="Calibri" w:hAnsi="Times New Roman" w:cs="Times New Roman"/>
                <w:b/>
                <w:i/>
                <w:sz w:val="20"/>
                <w:szCs w:val="20"/>
                <w:lang w:eastAsia="sk-SK"/>
              </w:rPr>
              <w:t xml:space="preserve">Popíšte </w:t>
            </w:r>
            <w:r w:rsidRPr="00DF6C72">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19" w:type="pct"/>
            <w:tcBorders>
              <w:top w:val="single" w:sz="4" w:space="0" w:color="auto"/>
              <w:bottom w:val="single" w:sz="4" w:space="0" w:color="auto"/>
            </w:tcBorders>
            <w:shd w:val="clear" w:color="auto" w:fill="auto"/>
          </w:tcPr>
          <w:p w:rsidR="001B6057" w:rsidRPr="00DF6C72" w:rsidRDefault="001B6057" w:rsidP="001577FF">
            <w:pPr>
              <w:spacing w:after="0" w:line="240" w:lineRule="auto"/>
              <w:contextualSpacing/>
              <w:jc w:val="both"/>
              <w:rPr>
                <w:rFonts w:ascii="Times New Roman" w:eastAsia="Calibri" w:hAnsi="Times New Roman" w:cs="Times New Roman"/>
                <w:sz w:val="20"/>
                <w:szCs w:val="20"/>
                <w:lang w:eastAsia="sk-SK"/>
              </w:rPr>
            </w:pPr>
            <w:r w:rsidRPr="00DF6C72">
              <w:rPr>
                <w:rFonts w:ascii="Times New Roman" w:hAnsi="Times New Roman" w:cs="Times New Roman"/>
                <w:sz w:val="20"/>
                <w:szCs w:val="20"/>
              </w:rPr>
              <w:t>Pozitívny vplyv na hospodárenie domácnosti dôchodcov</w:t>
            </w:r>
            <w:r w:rsidRPr="001B6057">
              <w:rPr>
                <w:rFonts w:ascii="Times New Roman" w:hAnsi="Times New Roman" w:cs="Times New Roman"/>
                <w:sz w:val="20"/>
                <w:szCs w:val="20"/>
              </w:rPr>
              <w:t>, ktorí splnili podmienku 40 odpracovaných rokov</w:t>
            </w:r>
            <w:r w:rsidR="00740049">
              <w:rPr>
                <w:rFonts w:ascii="Times New Roman" w:hAnsi="Times New Roman" w:cs="Times New Roman"/>
                <w:sz w:val="20"/>
                <w:szCs w:val="20"/>
              </w:rPr>
              <w:t xml:space="preserve"> z dôvodu</w:t>
            </w:r>
            <w:r w:rsidRPr="001B6057">
              <w:rPr>
                <w:rFonts w:ascii="Times New Roman" w:hAnsi="Times New Roman" w:cs="Times New Roman"/>
                <w:sz w:val="20"/>
                <w:szCs w:val="20"/>
              </w:rPr>
              <w:t xml:space="preserve"> postupné</w:t>
            </w:r>
            <w:r w:rsidR="00740049">
              <w:rPr>
                <w:rFonts w:ascii="Times New Roman" w:hAnsi="Times New Roman" w:cs="Times New Roman"/>
                <w:sz w:val="20"/>
                <w:szCs w:val="20"/>
              </w:rPr>
              <w:t>ho</w:t>
            </w:r>
            <w:r w:rsidRPr="001B6057">
              <w:rPr>
                <w:rFonts w:ascii="Times New Roman" w:hAnsi="Times New Roman" w:cs="Times New Roman"/>
                <w:sz w:val="20"/>
                <w:szCs w:val="20"/>
              </w:rPr>
              <w:t xml:space="preserve"> prepočítani</w:t>
            </w:r>
            <w:r w:rsidR="00740049">
              <w:rPr>
                <w:rFonts w:ascii="Times New Roman" w:hAnsi="Times New Roman" w:cs="Times New Roman"/>
                <w:sz w:val="20"/>
                <w:szCs w:val="20"/>
              </w:rPr>
              <w:t>a</w:t>
            </w:r>
            <w:r w:rsidR="00F10E67">
              <w:rPr>
                <w:rFonts w:ascii="Times New Roman" w:hAnsi="Times New Roman" w:cs="Times New Roman"/>
                <w:sz w:val="20"/>
                <w:szCs w:val="20"/>
              </w:rPr>
              <w:t xml:space="preserve"> </w:t>
            </w:r>
            <w:r w:rsidRPr="001B6057">
              <w:rPr>
                <w:rFonts w:ascii="Times New Roman" w:hAnsi="Times New Roman" w:cs="Times New Roman"/>
                <w:sz w:val="20"/>
                <w:szCs w:val="20"/>
              </w:rPr>
              <w:t xml:space="preserve"> ich vyplácaných </w:t>
            </w:r>
            <w:r w:rsidR="0053198A">
              <w:rPr>
                <w:rFonts w:ascii="Times New Roman" w:hAnsi="Times New Roman" w:cs="Times New Roman"/>
                <w:sz w:val="20"/>
                <w:szCs w:val="20"/>
              </w:rPr>
              <w:t xml:space="preserve">predčasných </w:t>
            </w:r>
            <w:r w:rsidRPr="001B6057">
              <w:rPr>
                <w:rFonts w:ascii="Times New Roman" w:hAnsi="Times New Roman" w:cs="Times New Roman"/>
                <w:sz w:val="20"/>
                <w:szCs w:val="20"/>
              </w:rPr>
              <w:t>starobných dôchodkov</w:t>
            </w:r>
            <w:r w:rsidR="0053198A">
              <w:rPr>
                <w:rFonts w:ascii="Times New Roman" w:hAnsi="Times New Roman" w:cs="Times New Roman"/>
                <w:sz w:val="20"/>
                <w:szCs w:val="20"/>
              </w:rPr>
              <w:t>, resp. starobných dôchodkov</w:t>
            </w:r>
            <w:r w:rsidRPr="001B6057">
              <w:rPr>
                <w:rFonts w:ascii="Times New Roman" w:hAnsi="Times New Roman" w:cs="Times New Roman"/>
                <w:sz w:val="20"/>
                <w:szCs w:val="20"/>
              </w:rPr>
              <w:t xml:space="preserve"> s </w:t>
            </w:r>
            <w:proofErr w:type="spellStart"/>
            <w:r w:rsidRPr="001B6057">
              <w:rPr>
                <w:rFonts w:ascii="Times New Roman" w:hAnsi="Times New Roman" w:cs="Times New Roman"/>
                <w:sz w:val="20"/>
                <w:szCs w:val="20"/>
              </w:rPr>
              <w:t>aktuárne</w:t>
            </w:r>
            <w:proofErr w:type="spellEnd"/>
            <w:r w:rsidRPr="001B6057">
              <w:rPr>
                <w:rFonts w:ascii="Times New Roman" w:hAnsi="Times New Roman" w:cs="Times New Roman"/>
                <w:sz w:val="20"/>
                <w:szCs w:val="20"/>
              </w:rPr>
              <w:t xml:space="preserve"> neutrálnym krátením o 0,3 % za každých začatých 30 dní skoršieho poberania dôchodku </w:t>
            </w:r>
            <w:r w:rsidR="001577FF">
              <w:rPr>
                <w:rFonts w:ascii="Times New Roman" w:hAnsi="Times New Roman" w:cs="Times New Roman"/>
                <w:sz w:val="20"/>
                <w:szCs w:val="20"/>
              </w:rPr>
              <w:t xml:space="preserve">(t. j. zmena koeficientu krátenia zo súčasných 0,5 % na navrhovaných na 0,3 %) </w:t>
            </w:r>
            <w:r w:rsidRPr="001B6057">
              <w:rPr>
                <w:rFonts w:ascii="Times New Roman" w:hAnsi="Times New Roman" w:cs="Times New Roman"/>
                <w:sz w:val="20"/>
                <w:szCs w:val="20"/>
              </w:rPr>
              <w:t>za predpokladu, že tieto dôchodky boli pôvodne priznané ako predčasné starobné dôchodky</w:t>
            </w:r>
            <w:r w:rsidR="0053198A">
              <w:rPr>
                <w:rFonts w:ascii="Times New Roman" w:hAnsi="Times New Roman" w:cs="Times New Roman"/>
                <w:sz w:val="20"/>
                <w:szCs w:val="20"/>
              </w:rPr>
              <w:t>.</w:t>
            </w:r>
          </w:p>
        </w:tc>
      </w:tr>
      <w:tr w:rsidR="001B6057" w:rsidRPr="00DF6C72" w:rsidTr="00D4788A">
        <w:trPr>
          <w:trHeight w:val="397"/>
          <w:jc w:val="center"/>
        </w:trPr>
        <w:tc>
          <w:tcPr>
            <w:tcW w:w="146" w:type="pct"/>
            <w:vMerge w:val="restart"/>
            <w:tcBorders>
              <w:top w:val="single" w:sz="4" w:space="0" w:color="auto"/>
            </w:tcBorders>
            <w:shd w:val="clear" w:color="auto" w:fill="auto"/>
            <w:vAlign w:val="center"/>
          </w:tcPr>
          <w:p w:rsidR="001B6057" w:rsidRPr="00DF6C72" w:rsidRDefault="001B6057" w:rsidP="00D4788A">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c)</w:t>
            </w:r>
          </w:p>
        </w:tc>
        <w:tc>
          <w:tcPr>
            <w:tcW w:w="1635" w:type="pct"/>
            <w:tcBorders>
              <w:top w:val="single" w:sz="4" w:space="0" w:color="auto"/>
            </w:tcBorders>
            <w:shd w:val="clear" w:color="auto" w:fill="auto"/>
          </w:tcPr>
          <w:p w:rsidR="001B6057" w:rsidRPr="00DF6C72" w:rsidRDefault="001B6057" w:rsidP="00D4788A">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b/>
                <w:i/>
                <w:sz w:val="20"/>
                <w:szCs w:val="20"/>
                <w:lang w:eastAsia="sk-SK"/>
              </w:rPr>
              <w:t xml:space="preserve">Špecifikujte </w:t>
            </w:r>
            <w:r w:rsidRPr="00DF6C72">
              <w:rPr>
                <w:rFonts w:ascii="Times New Roman" w:eastAsia="Calibri" w:hAnsi="Times New Roman" w:cs="Times New Roman"/>
                <w:i/>
                <w:sz w:val="20"/>
                <w:szCs w:val="20"/>
                <w:lang w:eastAsia="sk-SK"/>
              </w:rPr>
              <w:t>ovplyvnené skupiny:</w:t>
            </w:r>
          </w:p>
        </w:tc>
        <w:tc>
          <w:tcPr>
            <w:tcW w:w="3219" w:type="pct"/>
            <w:tcBorders>
              <w:top w:val="single" w:sz="4" w:space="0" w:color="auto"/>
            </w:tcBorders>
            <w:shd w:val="clear" w:color="auto" w:fill="auto"/>
          </w:tcPr>
          <w:p w:rsidR="001B6057" w:rsidRPr="00DF6C72" w:rsidRDefault="001B6057" w:rsidP="00972011">
            <w:pPr>
              <w:spacing w:after="0" w:line="240" w:lineRule="auto"/>
              <w:contextualSpacing/>
              <w:jc w:val="both"/>
              <w:rPr>
                <w:rFonts w:ascii="Times New Roman" w:eastAsia="Calibri" w:hAnsi="Times New Roman" w:cs="Times New Roman"/>
                <w:i/>
                <w:sz w:val="20"/>
                <w:szCs w:val="20"/>
                <w:lang w:eastAsia="sk-SK"/>
              </w:rPr>
            </w:pPr>
            <w:r w:rsidRPr="00DF6C72">
              <w:rPr>
                <w:rFonts w:ascii="Times New Roman" w:hAnsi="Times New Roman"/>
                <w:sz w:val="20"/>
                <w:szCs w:val="20"/>
              </w:rPr>
              <w:t>Po</w:t>
            </w:r>
            <w:r>
              <w:rPr>
                <w:rFonts w:ascii="Times New Roman" w:hAnsi="Times New Roman"/>
                <w:sz w:val="20"/>
                <w:szCs w:val="20"/>
              </w:rPr>
              <w:t>beratelia starobných dôchodkov, ktoré boli pôvodne priznané ako predčasné starobné dôchodky</w:t>
            </w:r>
            <w:r w:rsidR="00F56ABE">
              <w:rPr>
                <w:rFonts w:ascii="Times New Roman" w:hAnsi="Times New Roman"/>
                <w:sz w:val="20"/>
                <w:szCs w:val="20"/>
              </w:rPr>
              <w:t xml:space="preserve">, ktorí splnia podmienku 40 odpracovaných rokov </w:t>
            </w:r>
            <w:r>
              <w:rPr>
                <w:rFonts w:ascii="Times New Roman" w:hAnsi="Times New Roman"/>
                <w:sz w:val="20"/>
                <w:szCs w:val="20"/>
              </w:rPr>
              <w:t>a predčasných starobných dôchodkov, ktorí splnia podmienku 40 odpracovaných rokov.</w:t>
            </w:r>
          </w:p>
        </w:tc>
      </w:tr>
      <w:tr w:rsidR="00F56ABE" w:rsidRPr="00DF6C72" w:rsidTr="00D4788A">
        <w:trPr>
          <w:trHeight w:val="397"/>
          <w:jc w:val="center"/>
        </w:trPr>
        <w:tc>
          <w:tcPr>
            <w:tcW w:w="146" w:type="pct"/>
            <w:vMerge/>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p>
        </w:tc>
        <w:tc>
          <w:tcPr>
            <w:tcW w:w="1635" w:type="pct"/>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sidRPr="00DF6C72">
              <w:rPr>
                <w:rFonts w:ascii="Times New Roman" w:hAnsi="Times New Roman"/>
                <w:sz w:val="20"/>
                <w:szCs w:val="20"/>
              </w:rPr>
              <w:t>Po</w:t>
            </w:r>
            <w:r>
              <w:rPr>
                <w:rFonts w:ascii="Times New Roman" w:hAnsi="Times New Roman"/>
                <w:sz w:val="20"/>
                <w:szCs w:val="20"/>
              </w:rPr>
              <w:t>beratelia starobných dôchodkov, ktoré boli pôvodne priznané ako predčasné starobné dôchodky, ktorí splnia podmienku 40 odpracovaných rokov a predčasných starobných dôchodkov, ktorí splnia podmienku 40 odpracovaných rokov.</w:t>
            </w:r>
          </w:p>
        </w:tc>
      </w:tr>
      <w:tr w:rsidR="00F56ABE" w:rsidRPr="00DF6C72" w:rsidTr="00D4788A">
        <w:trPr>
          <w:trHeight w:val="454"/>
          <w:jc w:val="center"/>
        </w:trPr>
        <w:tc>
          <w:tcPr>
            <w:tcW w:w="146" w:type="pct"/>
            <w:tcBorders>
              <w:top w:val="dotted" w:sz="4" w:space="0" w:color="auto"/>
            </w:tcBorders>
            <w:shd w:val="clear" w:color="auto" w:fill="F2F2F2"/>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d)</w:t>
            </w:r>
          </w:p>
        </w:tc>
        <w:tc>
          <w:tcPr>
            <w:tcW w:w="4854" w:type="pct"/>
            <w:gridSpan w:val="2"/>
            <w:tcBorders>
              <w:top w:val="dotted" w:sz="4" w:space="0" w:color="auto"/>
            </w:tcBorders>
            <w:shd w:val="clear" w:color="auto" w:fill="F2F2F2"/>
            <w:vAlign w:val="center"/>
          </w:tcPr>
          <w:p w:rsidR="00F56ABE" w:rsidRPr="00DF6C72" w:rsidRDefault="00F56ABE" w:rsidP="00F56ABE">
            <w:pPr>
              <w:spacing w:after="0" w:line="240" w:lineRule="auto"/>
              <w:rPr>
                <w:rFonts w:ascii="Times New Roman" w:eastAsia="Calibri" w:hAnsi="Times New Roman" w:cs="Times New Roman"/>
                <w:sz w:val="20"/>
                <w:szCs w:val="20"/>
                <w:lang w:eastAsia="sk-SK"/>
              </w:rPr>
            </w:pPr>
            <w:r w:rsidRPr="00DF6C72">
              <w:rPr>
                <w:rFonts w:ascii="Times New Roman" w:eastAsia="Calibri" w:hAnsi="Times New Roman" w:cs="Times New Roman"/>
                <w:b/>
                <w:i/>
                <w:sz w:val="20"/>
                <w:szCs w:val="20"/>
                <w:lang w:eastAsia="sk-SK"/>
              </w:rPr>
              <w:t>Kvantifikujte</w:t>
            </w:r>
            <w:r w:rsidRPr="00DF6C72">
              <w:rPr>
                <w:rFonts w:ascii="Times New Roman" w:eastAsia="Calibri" w:hAnsi="Times New Roman" w:cs="Times New Roman"/>
                <w:i/>
                <w:sz w:val="20"/>
                <w:szCs w:val="20"/>
                <w:lang w:eastAsia="sk-SK"/>
              </w:rPr>
              <w:t xml:space="preserve"> rast príjmov alebo pokles výdavkov </w:t>
            </w:r>
            <w:r w:rsidRPr="00DF6C72">
              <w:rPr>
                <w:rFonts w:ascii="Times New Roman" w:eastAsia="Calibri" w:hAnsi="Times New Roman" w:cs="Times New Roman"/>
                <w:b/>
                <w:i/>
                <w:sz w:val="20"/>
                <w:szCs w:val="20"/>
                <w:lang w:eastAsia="sk-SK"/>
              </w:rPr>
              <w:t>za jednotlivé</w:t>
            </w:r>
            <w:r w:rsidRPr="00DF6C72">
              <w:rPr>
                <w:rFonts w:ascii="Times New Roman" w:eastAsia="Calibri" w:hAnsi="Times New Roman" w:cs="Times New Roman"/>
                <w:i/>
                <w:sz w:val="20"/>
                <w:szCs w:val="20"/>
                <w:lang w:eastAsia="sk-SK"/>
              </w:rPr>
              <w:t xml:space="preserve"> </w:t>
            </w:r>
            <w:r w:rsidRPr="00DF6C72">
              <w:rPr>
                <w:rFonts w:ascii="Times New Roman" w:eastAsia="Calibri" w:hAnsi="Times New Roman" w:cs="Times New Roman"/>
                <w:b/>
                <w:i/>
                <w:sz w:val="20"/>
                <w:szCs w:val="20"/>
                <w:lang w:eastAsia="sk-SK"/>
              </w:rPr>
              <w:t>ovplyvnené</w:t>
            </w:r>
            <w:r w:rsidRPr="00DF6C72">
              <w:rPr>
                <w:rFonts w:ascii="Times New Roman" w:eastAsia="Calibri" w:hAnsi="Times New Roman" w:cs="Times New Roman"/>
                <w:i/>
                <w:sz w:val="20"/>
                <w:szCs w:val="20"/>
                <w:lang w:eastAsia="sk-SK"/>
              </w:rPr>
              <w:t xml:space="preserve"> </w:t>
            </w:r>
            <w:r w:rsidRPr="00DF6C72">
              <w:rPr>
                <w:rFonts w:ascii="Times New Roman" w:eastAsia="Calibri" w:hAnsi="Times New Roman" w:cs="Times New Roman"/>
                <w:b/>
                <w:i/>
                <w:sz w:val="20"/>
                <w:szCs w:val="20"/>
                <w:lang w:eastAsia="sk-SK"/>
              </w:rPr>
              <w:t>skupiny</w:t>
            </w:r>
            <w:r w:rsidRPr="00DF6C7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56ABE" w:rsidRPr="00DF6C72" w:rsidTr="00D4788A">
        <w:trPr>
          <w:trHeight w:val="680"/>
          <w:jc w:val="center"/>
        </w:trPr>
        <w:tc>
          <w:tcPr>
            <w:tcW w:w="146" w:type="pct"/>
            <w:vMerge w:val="restar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e)</w:t>
            </w:r>
          </w:p>
        </w:tc>
        <w:tc>
          <w:tcPr>
            <w:tcW w:w="1635" w:type="pct"/>
            <w:tcBorders>
              <w:top w:val="dotted" w:sz="4" w:space="0" w:color="auto"/>
            </w:tcBorders>
            <w:shd w:val="clear" w:color="auto" w:fill="auto"/>
          </w:tcPr>
          <w:p w:rsidR="00F56ABE" w:rsidRPr="00DF6C72" w:rsidRDefault="00F56ABE" w:rsidP="00F56AB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DF6C72">
              <w:rPr>
                <w:rFonts w:ascii="Times New Roman" w:eastAsia="Calibri" w:hAnsi="Times New Roman" w:cs="Times New Roman"/>
                <w:i/>
                <w:sz w:val="18"/>
                <w:szCs w:val="20"/>
                <w:lang w:eastAsia="sk-SK"/>
              </w:rPr>
              <w:t>priemerný rast príjmov/ pokles výdavkov v skupine v eurách a/alebo v % / obdobie:</w:t>
            </w:r>
          </w:p>
          <w:p w:rsidR="00F56ABE" w:rsidRPr="00DF6C72" w:rsidRDefault="00F56ABE" w:rsidP="00F56AB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DF6C72">
              <w:rPr>
                <w:rFonts w:ascii="Times New Roman" w:eastAsia="Calibri" w:hAnsi="Times New Roman" w:cs="Times New Roman"/>
                <w:i/>
                <w:sz w:val="18"/>
                <w:szCs w:val="20"/>
                <w:lang w:eastAsia="sk-SK"/>
              </w:rPr>
              <w:t>veľkosť skupiny (počet obyvateľov):</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sidRPr="00DF6C72">
              <w:rPr>
                <w:rFonts w:ascii="Times New Roman" w:eastAsia="Calibri" w:hAnsi="Times New Roman" w:cs="Times New Roman"/>
                <w:sz w:val="20"/>
                <w:szCs w:val="20"/>
                <w:lang w:eastAsia="sk-SK"/>
              </w:rPr>
              <w:t>Priemerné mesačné zvýšenie dôchodku od</w:t>
            </w:r>
            <w:r>
              <w:rPr>
                <w:rFonts w:ascii="Times New Roman" w:eastAsia="Calibri" w:hAnsi="Times New Roman" w:cs="Times New Roman"/>
                <w:sz w:val="20"/>
                <w:szCs w:val="20"/>
                <w:lang w:eastAsia="sk-SK"/>
              </w:rPr>
              <w:t xml:space="preserve">hadujeme v roku 2023 na úrovni 26 eur, </w:t>
            </w:r>
            <w:r w:rsidRPr="00DF6C72">
              <w:rPr>
                <w:rFonts w:ascii="Times New Roman" w:eastAsia="Calibri" w:hAnsi="Times New Roman" w:cs="Times New Roman"/>
                <w:sz w:val="20"/>
                <w:szCs w:val="20"/>
                <w:lang w:eastAsia="sk-SK"/>
              </w:rPr>
              <w:t xml:space="preserve">v roku 2024 na úrovni </w:t>
            </w:r>
            <w:r>
              <w:rPr>
                <w:rFonts w:ascii="Times New Roman" w:eastAsia="Calibri" w:hAnsi="Times New Roman" w:cs="Times New Roman"/>
                <w:sz w:val="20"/>
                <w:szCs w:val="20"/>
                <w:lang w:eastAsia="sk-SK"/>
              </w:rPr>
              <w:t>27 eur a v roku 2025 na úrovni 29 eur.</w:t>
            </w:r>
          </w:p>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Počet dotknutých osôb odhadujeme na úrovni 105 tis. osôb.</w:t>
            </w:r>
          </w:p>
        </w:tc>
      </w:tr>
      <w:tr w:rsidR="00F56ABE" w:rsidRPr="00DF6C72" w:rsidTr="00D4788A">
        <w:trPr>
          <w:trHeight w:val="680"/>
          <w:jc w:val="center"/>
        </w:trPr>
        <w:tc>
          <w:tcPr>
            <w:tcW w:w="146" w:type="pct"/>
            <w:vMerge/>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p>
        </w:tc>
        <w:tc>
          <w:tcPr>
            <w:tcW w:w="1635" w:type="pct"/>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2</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sidRPr="00DF6C72">
              <w:rPr>
                <w:rFonts w:ascii="Times New Roman" w:hAnsi="Times New Roman"/>
                <w:sz w:val="20"/>
                <w:szCs w:val="20"/>
              </w:rPr>
              <w:t>Po</w:t>
            </w:r>
            <w:r>
              <w:rPr>
                <w:rFonts w:ascii="Times New Roman" w:hAnsi="Times New Roman"/>
                <w:sz w:val="20"/>
                <w:szCs w:val="20"/>
              </w:rPr>
              <w:t>beratelia starobných dôchodkov, ktoré boli pôvodne priznané ako predčasné starobné dôchodky, ktorí splnia podmienku 40 odpracovaných rokov a predčasných starobných dôchodkov, ktorí splnia podmienku 40 odpracovaných rokov.</w:t>
            </w:r>
          </w:p>
        </w:tc>
      </w:tr>
      <w:tr w:rsidR="00F56ABE" w:rsidRPr="00DF6C72" w:rsidTr="00D4788A">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lastRenderedPageBreak/>
              <w:t>f)</w:t>
            </w:r>
          </w:p>
        </w:tc>
        <w:tc>
          <w:tcPr>
            <w:tcW w:w="1635"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i/>
                <w:sz w:val="20"/>
                <w:szCs w:val="20"/>
                <w:lang w:eastAsia="sk-SK"/>
              </w:rPr>
              <w:t>Dôvod chýbajúcej kvantifikácie:</w:t>
            </w:r>
          </w:p>
        </w:tc>
        <w:tc>
          <w:tcPr>
            <w:tcW w:w="3219"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sz w:val="20"/>
                <w:szCs w:val="20"/>
                <w:lang w:eastAsia="sk-SK"/>
              </w:rPr>
            </w:pPr>
          </w:p>
        </w:tc>
      </w:tr>
      <w:tr w:rsidR="00F56ABE" w:rsidRPr="00DF6C72" w:rsidTr="000C795E">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a)</w:t>
            </w:r>
          </w:p>
        </w:tc>
        <w:tc>
          <w:tcPr>
            <w:tcW w:w="4854" w:type="pct"/>
            <w:gridSpan w:val="2"/>
            <w:tcBorders>
              <w:top w:val="dotted" w:sz="4" w:space="0" w:color="auto"/>
            </w:tcBorders>
            <w:shd w:val="clear" w:color="auto" w:fill="auto"/>
            <w:vAlign w:val="center"/>
          </w:tcPr>
          <w:p w:rsidR="00F56ABE" w:rsidRPr="000C795E" w:rsidRDefault="00F56ABE" w:rsidP="00F56ABE">
            <w:pPr>
              <w:spacing w:after="0" w:line="240" w:lineRule="auto"/>
              <w:rPr>
                <w:rFonts w:ascii="Times New Roman" w:eastAsia="Calibri" w:hAnsi="Times New Roman" w:cs="Times New Roman"/>
                <w:i/>
                <w:sz w:val="18"/>
                <w:szCs w:val="18"/>
                <w:lang w:eastAsia="sk-SK"/>
              </w:rPr>
            </w:pPr>
            <w:r w:rsidRPr="00DF6C72">
              <w:rPr>
                <w:rFonts w:ascii="Times New Roman" w:eastAsia="Calibri" w:hAnsi="Times New Roman" w:cs="Times New Roman"/>
                <w:b/>
                <w:i/>
                <w:sz w:val="20"/>
                <w:szCs w:val="20"/>
                <w:lang w:eastAsia="sk-SK"/>
              </w:rPr>
              <w:t>4.1.1 Pozitívny vplyv</w:t>
            </w:r>
          </w:p>
        </w:tc>
      </w:tr>
      <w:tr w:rsidR="00F56ABE" w:rsidRPr="00D4788A" w:rsidTr="00D4788A">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a)</w:t>
            </w:r>
          </w:p>
        </w:tc>
        <w:tc>
          <w:tcPr>
            <w:tcW w:w="4854" w:type="pct"/>
            <w:gridSpan w:val="2"/>
            <w:tcBorders>
              <w:top w:val="dotted" w:sz="4" w:space="0" w:color="auto"/>
            </w:tcBorders>
            <w:shd w:val="clear" w:color="auto" w:fill="auto"/>
            <w:vAlign w:val="center"/>
          </w:tcPr>
          <w:p w:rsidR="00F56ABE" w:rsidRPr="00D4788A" w:rsidRDefault="00F56ABE" w:rsidP="00F56ABE">
            <w:pPr>
              <w:spacing w:after="0" w:line="240" w:lineRule="auto"/>
              <w:jc w:val="center"/>
              <w:rPr>
                <w:rFonts w:ascii="Times New Roman" w:eastAsia="Calibri" w:hAnsi="Times New Roman" w:cs="Times New Roman"/>
                <w:b/>
                <w:i/>
                <w:sz w:val="20"/>
                <w:szCs w:val="20"/>
                <w:lang w:eastAsia="sk-SK"/>
              </w:rPr>
            </w:pPr>
            <w:r w:rsidRPr="00DF6C72">
              <w:rPr>
                <w:rFonts w:ascii="Times New Roman" w:eastAsia="Calibri" w:hAnsi="Times New Roman" w:cs="Times New Roman"/>
                <w:b/>
                <w:i/>
                <w:sz w:val="20"/>
                <w:szCs w:val="20"/>
                <w:lang w:eastAsia="sk-SK"/>
              </w:rPr>
              <w:t>4.1.2 Negatívn</w:t>
            </w:r>
            <w:r>
              <w:rPr>
                <w:rFonts w:ascii="Times New Roman" w:eastAsia="Calibri" w:hAnsi="Times New Roman" w:cs="Times New Roman"/>
                <w:b/>
                <w:i/>
                <w:sz w:val="20"/>
                <w:szCs w:val="20"/>
                <w:lang w:eastAsia="sk-SK"/>
              </w:rPr>
              <w:t>y</w:t>
            </w:r>
            <w:r w:rsidRPr="00DF6C72">
              <w:rPr>
                <w:rFonts w:ascii="Times New Roman" w:eastAsia="Calibri" w:hAnsi="Times New Roman" w:cs="Times New Roman"/>
                <w:b/>
                <w:i/>
                <w:sz w:val="20"/>
                <w:szCs w:val="20"/>
                <w:lang w:eastAsia="sk-SK"/>
              </w:rPr>
              <w:t xml:space="preserve"> vplyv</w:t>
            </w:r>
          </w:p>
        </w:tc>
      </w:tr>
      <w:tr w:rsidR="00F56ABE" w:rsidRPr="00DF6C72" w:rsidTr="00D4788A">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both"/>
              <w:rPr>
                <w:rFonts w:ascii="Times New Roman" w:eastAsia="Calibri" w:hAnsi="Times New Roman" w:cs="Times New Roman"/>
                <w:i/>
                <w:sz w:val="20"/>
                <w:szCs w:val="20"/>
                <w:lang w:eastAsia="sk-SK"/>
              </w:rPr>
            </w:pPr>
            <w:r w:rsidRPr="00DF6C72">
              <w:rPr>
                <w:rFonts w:ascii="Times New Roman" w:eastAsia="Calibri" w:hAnsi="Times New Roman" w:cs="Times New Roman"/>
                <w:i/>
                <w:sz w:val="20"/>
                <w:szCs w:val="20"/>
                <w:lang w:eastAsia="sk-SK"/>
              </w:rPr>
              <w:t>b)</w:t>
            </w:r>
          </w:p>
          <w:p w:rsidR="00F56ABE" w:rsidRPr="00DF6C72" w:rsidRDefault="00F56ABE" w:rsidP="00F56ABE">
            <w:pPr>
              <w:spacing w:after="0" w:line="240" w:lineRule="auto"/>
              <w:jc w:val="both"/>
              <w:rPr>
                <w:rFonts w:ascii="Times New Roman" w:eastAsia="Calibri" w:hAnsi="Times New Roman" w:cs="Times New Roman"/>
                <w:i/>
                <w:sz w:val="20"/>
                <w:szCs w:val="20"/>
                <w:lang w:eastAsia="sk-SK"/>
              </w:rPr>
            </w:pPr>
          </w:p>
        </w:tc>
        <w:tc>
          <w:tcPr>
            <w:tcW w:w="1635" w:type="pct"/>
            <w:tcBorders>
              <w:top w:val="dotted" w:sz="4" w:space="0" w:color="auto"/>
            </w:tcBorders>
            <w:shd w:val="clear" w:color="auto" w:fill="auto"/>
            <w:vAlign w:val="center"/>
          </w:tcPr>
          <w:p w:rsidR="00F56ABE" w:rsidRPr="00DF6C72" w:rsidRDefault="00F56ABE" w:rsidP="00F56ABE">
            <w:pPr>
              <w:spacing w:after="0" w:line="240" w:lineRule="auto"/>
              <w:jc w:val="both"/>
              <w:rPr>
                <w:rFonts w:ascii="Times New Roman" w:eastAsia="Calibri" w:hAnsi="Times New Roman" w:cs="Times New Roman"/>
                <w:i/>
                <w:sz w:val="20"/>
                <w:szCs w:val="20"/>
                <w:lang w:eastAsia="sk-SK"/>
              </w:rPr>
            </w:pPr>
            <w:r w:rsidRPr="00DF6C72">
              <w:rPr>
                <w:rFonts w:ascii="Times New Roman" w:eastAsia="Calibri" w:hAnsi="Times New Roman" w:cs="Times New Roman"/>
                <w:i/>
                <w:sz w:val="20"/>
                <w:szCs w:val="20"/>
                <w:lang w:eastAsia="sk-SK"/>
              </w:rPr>
              <w:t>Popíšte opatrenie a jeho vplyv na hospodárenie domácností s uvedením, či ide o zníženie príjmov alebo zvýšenie výdavkov:</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i/>
                <w:sz w:val="20"/>
                <w:szCs w:val="20"/>
                <w:lang w:eastAsia="sk-SK"/>
              </w:rPr>
            </w:pPr>
            <w:r w:rsidRPr="00F56ABE">
              <w:rPr>
                <w:rFonts w:ascii="Times New Roman" w:hAnsi="Times New Roman" w:cs="Times New Roman"/>
                <w:sz w:val="20"/>
              </w:rPr>
              <w:t>V záujme predchádzania zvyšovania predčasného starobného dôchodku po dovŕšení dôchodkového veku na sumu minimálneho dôchodku sa navrhuje, aby nárok na predčasný starobný dôchodok vznikol iba tomu poistencovi, ktorého suma predčasného starobného dôchodku bola ku dňu, od ktorého si žiada o jeho priznanie minimálne na úrovni sumy minimálneho dôchodku, ktorá poistencovi patrí za dĺžku kvalifikovaného obdobia dôchodkového poistenia. Ak takýto poistenec nezískal 30 rokov kvalifikovaného obdobia dôchodkového poistenia, potom je nárok na predčasný starobný dôchodok podmienený sumou minimálneho dôchodku, ktorá patrí za 30 kvalifikovaných rokov dôchodkového poistenia.</w:t>
            </w:r>
          </w:p>
        </w:tc>
      </w:tr>
      <w:tr w:rsidR="00F56ABE" w:rsidRPr="00DF6C72" w:rsidTr="00D4788A">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c)</w:t>
            </w:r>
          </w:p>
        </w:tc>
        <w:tc>
          <w:tcPr>
            <w:tcW w:w="1635"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b/>
                <w:i/>
                <w:sz w:val="20"/>
                <w:szCs w:val="20"/>
                <w:lang w:eastAsia="sk-SK"/>
              </w:rPr>
              <w:t>Špecifikujte</w:t>
            </w:r>
            <w:r w:rsidRPr="00DF6C72">
              <w:rPr>
                <w:rFonts w:ascii="Times New Roman" w:eastAsia="Calibri" w:hAnsi="Times New Roman" w:cs="Times New Roman"/>
                <w:i/>
                <w:sz w:val="20"/>
                <w:szCs w:val="20"/>
                <w:lang w:eastAsia="sk-SK"/>
              </w:rPr>
              <w:t xml:space="preserve"> ovplyvnené skupiny:</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sidRPr="00DF6C72">
              <w:rPr>
                <w:rFonts w:ascii="Times New Roman" w:hAnsi="Times New Roman" w:cs="Times New Roman"/>
                <w:bCs/>
                <w:sz w:val="20"/>
                <w:szCs w:val="20"/>
              </w:rPr>
              <w:t>Poi</w:t>
            </w:r>
            <w:r>
              <w:rPr>
                <w:rFonts w:ascii="Times New Roman" w:hAnsi="Times New Roman" w:cs="Times New Roman"/>
                <w:bCs/>
                <w:sz w:val="20"/>
                <w:szCs w:val="20"/>
              </w:rPr>
              <w:t>stenci s nízkymi sumami predčasných starobných dôchodkov.</w:t>
            </w:r>
          </w:p>
        </w:tc>
      </w:tr>
      <w:tr w:rsidR="00F56ABE" w:rsidRPr="00DF6C72" w:rsidTr="00D4788A">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p>
        </w:tc>
        <w:tc>
          <w:tcPr>
            <w:tcW w:w="1635"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sidRPr="00DF6C72">
              <w:rPr>
                <w:rFonts w:ascii="Times New Roman" w:hAnsi="Times New Roman" w:cs="Times New Roman"/>
                <w:bCs/>
                <w:sz w:val="20"/>
                <w:szCs w:val="20"/>
              </w:rPr>
              <w:t>Poi</w:t>
            </w:r>
            <w:r>
              <w:rPr>
                <w:rFonts w:ascii="Times New Roman" w:hAnsi="Times New Roman" w:cs="Times New Roman"/>
                <w:bCs/>
                <w:sz w:val="20"/>
                <w:szCs w:val="20"/>
              </w:rPr>
              <w:t>stenci s nízkymi sumami predčasných starobných dôchodkov.</w:t>
            </w:r>
          </w:p>
        </w:tc>
      </w:tr>
      <w:tr w:rsidR="00F56ABE" w:rsidRPr="00DF6C72" w:rsidTr="00D4788A">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d)</w:t>
            </w:r>
          </w:p>
        </w:tc>
        <w:tc>
          <w:tcPr>
            <w:tcW w:w="4854" w:type="pct"/>
            <w:gridSpan w:val="2"/>
            <w:tcBorders>
              <w:top w:val="dotted" w:sz="4" w:space="0" w:color="auto"/>
            </w:tcBorders>
            <w:shd w:val="clear" w:color="auto" w:fill="auto"/>
            <w:vAlign w:val="center"/>
          </w:tcPr>
          <w:p w:rsidR="00F56ABE" w:rsidRPr="00DF6C72" w:rsidRDefault="00F56ABE" w:rsidP="00F56ABE">
            <w:pPr>
              <w:spacing w:after="0" w:line="240" w:lineRule="auto"/>
              <w:rPr>
                <w:rFonts w:ascii="Times New Roman" w:eastAsia="Calibri" w:hAnsi="Times New Roman" w:cs="Times New Roman"/>
                <w:sz w:val="20"/>
                <w:szCs w:val="20"/>
                <w:lang w:eastAsia="sk-SK"/>
              </w:rPr>
            </w:pPr>
            <w:r w:rsidRPr="00DF6C72">
              <w:rPr>
                <w:rFonts w:ascii="Times New Roman" w:eastAsia="Calibri" w:hAnsi="Times New Roman" w:cs="Times New Roman"/>
                <w:b/>
                <w:i/>
                <w:sz w:val="20"/>
                <w:szCs w:val="20"/>
                <w:lang w:eastAsia="sk-SK"/>
              </w:rPr>
              <w:t>Kvantifikujte</w:t>
            </w:r>
            <w:r w:rsidRPr="00DF6C72">
              <w:rPr>
                <w:rFonts w:ascii="Times New Roman" w:eastAsia="Calibri" w:hAnsi="Times New Roman" w:cs="Times New Roman"/>
                <w:i/>
                <w:sz w:val="20"/>
                <w:szCs w:val="20"/>
                <w:lang w:eastAsia="sk-SK"/>
              </w:rPr>
              <w:t xml:space="preserve"> pokles príjmov alebo rast výdavkov </w:t>
            </w:r>
            <w:r w:rsidRPr="00DF6C72">
              <w:rPr>
                <w:rFonts w:ascii="Times New Roman" w:eastAsia="Calibri" w:hAnsi="Times New Roman" w:cs="Times New Roman"/>
                <w:b/>
                <w:i/>
                <w:sz w:val="20"/>
                <w:szCs w:val="20"/>
                <w:lang w:eastAsia="sk-SK"/>
              </w:rPr>
              <w:t>za jednotlivé</w:t>
            </w:r>
            <w:r w:rsidRPr="00DF6C72">
              <w:rPr>
                <w:rFonts w:ascii="Times New Roman" w:eastAsia="Calibri" w:hAnsi="Times New Roman" w:cs="Times New Roman"/>
                <w:i/>
                <w:sz w:val="20"/>
                <w:szCs w:val="20"/>
                <w:lang w:eastAsia="sk-SK"/>
              </w:rPr>
              <w:t xml:space="preserve"> </w:t>
            </w:r>
            <w:r w:rsidRPr="00DF6C72">
              <w:rPr>
                <w:rFonts w:ascii="Times New Roman" w:eastAsia="Calibri" w:hAnsi="Times New Roman" w:cs="Times New Roman"/>
                <w:b/>
                <w:i/>
                <w:sz w:val="20"/>
                <w:szCs w:val="20"/>
                <w:lang w:eastAsia="sk-SK"/>
              </w:rPr>
              <w:t>ovplyvnené</w:t>
            </w:r>
            <w:r w:rsidRPr="00DF6C72">
              <w:rPr>
                <w:rFonts w:ascii="Times New Roman" w:eastAsia="Calibri" w:hAnsi="Times New Roman" w:cs="Times New Roman"/>
                <w:i/>
                <w:sz w:val="20"/>
                <w:szCs w:val="20"/>
                <w:lang w:eastAsia="sk-SK"/>
              </w:rPr>
              <w:t xml:space="preserve"> </w:t>
            </w:r>
            <w:r w:rsidRPr="00DF6C72">
              <w:rPr>
                <w:rFonts w:ascii="Times New Roman" w:eastAsia="Calibri" w:hAnsi="Times New Roman" w:cs="Times New Roman"/>
                <w:b/>
                <w:i/>
                <w:sz w:val="20"/>
                <w:szCs w:val="20"/>
                <w:lang w:eastAsia="sk-SK"/>
              </w:rPr>
              <w:t>skupiny</w:t>
            </w:r>
            <w:r w:rsidRPr="00DF6C7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56ABE" w:rsidRPr="00DF6C72" w:rsidTr="00D4788A">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e)</w:t>
            </w:r>
          </w:p>
        </w:tc>
        <w:tc>
          <w:tcPr>
            <w:tcW w:w="1635" w:type="pct"/>
            <w:tcBorders>
              <w:top w:val="dotted" w:sz="4" w:space="0" w:color="auto"/>
            </w:tcBorders>
            <w:shd w:val="clear" w:color="auto" w:fill="auto"/>
          </w:tcPr>
          <w:p w:rsidR="00F56ABE" w:rsidRPr="00DF6C72" w:rsidRDefault="00F56ABE" w:rsidP="00F56AB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DF6C72">
              <w:rPr>
                <w:rFonts w:ascii="Times New Roman" w:eastAsia="Calibri" w:hAnsi="Times New Roman" w:cs="Times New Roman"/>
                <w:i/>
                <w:sz w:val="18"/>
                <w:szCs w:val="20"/>
                <w:lang w:eastAsia="sk-SK"/>
              </w:rPr>
              <w:t>priemerný pokles príjmov/ rast výdavkov v skupine v eurách a/alebo v % / obdobie:</w:t>
            </w:r>
          </w:p>
          <w:p w:rsidR="00F56ABE" w:rsidRPr="00DF6C72" w:rsidRDefault="00F56ABE" w:rsidP="00F56AB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DF6C72">
              <w:rPr>
                <w:rFonts w:ascii="Times New Roman" w:eastAsia="Calibri" w:hAnsi="Times New Roman" w:cs="Times New Roman"/>
                <w:i/>
                <w:sz w:val="18"/>
                <w:szCs w:val="20"/>
                <w:lang w:eastAsia="sk-SK"/>
              </w:rPr>
              <w:t>veľkosť skupiny (počet obyvateľov):</w:t>
            </w:r>
          </w:p>
        </w:tc>
        <w:tc>
          <w:tcPr>
            <w:tcW w:w="3219" w:type="pct"/>
            <w:tcBorders>
              <w:top w:val="dotted" w:sz="4" w:space="0" w:color="auto"/>
            </w:tcBorders>
            <w:shd w:val="clear" w:color="auto" w:fill="auto"/>
          </w:tcPr>
          <w:p w:rsidR="00F56ABE" w:rsidRPr="00DF6C72" w:rsidRDefault="00F56ABE" w:rsidP="00972011">
            <w:pPr>
              <w:spacing w:after="0" w:line="240" w:lineRule="auto"/>
              <w:jc w:val="both"/>
              <w:rPr>
                <w:rFonts w:ascii="Times New Roman" w:hAnsi="Times New Roman"/>
                <w:color w:val="000000"/>
                <w:sz w:val="20"/>
                <w:szCs w:val="20"/>
              </w:rPr>
            </w:pPr>
            <w:r>
              <w:rPr>
                <w:rFonts w:ascii="Times New Roman" w:hAnsi="Times New Roman" w:cs="Times New Roman"/>
                <w:bCs/>
                <w:sz w:val="20"/>
                <w:szCs w:val="20"/>
              </w:rPr>
              <w:t>Priemerný mesačný</w:t>
            </w:r>
            <w:r w:rsidRPr="00DF6C72">
              <w:rPr>
                <w:rFonts w:ascii="Times New Roman" w:hAnsi="Times New Roman" w:cs="Times New Roman"/>
                <w:bCs/>
                <w:sz w:val="20"/>
                <w:szCs w:val="20"/>
              </w:rPr>
              <w:t xml:space="preserve"> pokles </w:t>
            </w:r>
            <w:r w:rsidR="00972011">
              <w:rPr>
                <w:rFonts w:ascii="Times New Roman" w:hAnsi="Times New Roman" w:cs="Times New Roman"/>
                <w:bCs/>
                <w:sz w:val="20"/>
                <w:szCs w:val="20"/>
              </w:rPr>
              <w:t xml:space="preserve">dôchodkových </w:t>
            </w:r>
            <w:r w:rsidRPr="00DF6C72">
              <w:rPr>
                <w:rFonts w:ascii="Times New Roman" w:hAnsi="Times New Roman" w:cs="Times New Roman"/>
                <w:bCs/>
                <w:sz w:val="20"/>
                <w:szCs w:val="20"/>
              </w:rPr>
              <w:t xml:space="preserve">príjmov na </w:t>
            </w:r>
            <w:r>
              <w:rPr>
                <w:rFonts w:ascii="Times New Roman" w:hAnsi="Times New Roman" w:cs="Times New Roman"/>
                <w:bCs/>
                <w:sz w:val="20"/>
                <w:szCs w:val="20"/>
              </w:rPr>
              <w:t>jedného poistenca</w:t>
            </w:r>
            <w:r w:rsidR="00AD4155">
              <w:rPr>
                <w:rFonts w:ascii="Times New Roman" w:hAnsi="Times New Roman" w:cs="Times New Roman"/>
                <w:bCs/>
                <w:sz w:val="20"/>
                <w:szCs w:val="20"/>
              </w:rPr>
              <w:t xml:space="preserve"> z dôvodu nesplnenia podmienok nároku na predčasný starobný dôchodok</w:t>
            </w:r>
            <w:r>
              <w:rPr>
                <w:rFonts w:ascii="Times New Roman" w:hAnsi="Times New Roman" w:cs="Times New Roman"/>
                <w:bCs/>
                <w:sz w:val="20"/>
                <w:szCs w:val="20"/>
              </w:rPr>
              <w:t xml:space="preserve"> sa v roku 2022</w:t>
            </w:r>
            <w:r w:rsidRPr="00DF6C72">
              <w:rPr>
                <w:rFonts w:ascii="Times New Roman" w:hAnsi="Times New Roman" w:cs="Times New Roman"/>
                <w:bCs/>
                <w:sz w:val="20"/>
                <w:szCs w:val="20"/>
              </w:rPr>
              <w:t xml:space="preserve"> </w:t>
            </w:r>
            <w:r>
              <w:rPr>
                <w:rFonts w:ascii="Times New Roman" w:hAnsi="Times New Roman" w:cs="Times New Roman"/>
                <w:bCs/>
                <w:sz w:val="20"/>
                <w:szCs w:val="20"/>
              </w:rPr>
              <w:t xml:space="preserve">odhaduje na úrovni približne </w:t>
            </w:r>
            <w:r w:rsidRPr="00DF6C72">
              <w:rPr>
                <w:rFonts w:ascii="Times New Roman" w:hAnsi="Times New Roman" w:cs="Times New Roman"/>
                <w:bCs/>
                <w:sz w:val="20"/>
                <w:szCs w:val="20"/>
              </w:rPr>
              <w:t xml:space="preserve"> </w:t>
            </w:r>
            <w:r w:rsidR="00972011">
              <w:rPr>
                <w:rFonts w:ascii="Times New Roman" w:hAnsi="Times New Roman" w:cs="Times New Roman"/>
                <w:bCs/>
                <w:sz w:val="20"/>
                <w:szCs w:val="20"/>
              </w:rPr>
              <w:t xml:space="preserve">342 </w:t>
            </w:r>
            <w:r w:rsidRPr="00DF6C72">
              <w:rPr>
                <w:rFonts w:ascii="Times New Roman" w:hAnsi="Times New Roman" w:cs="Times New Roman"/>
                <w:bCs/>
                <w:sz w:val="20"/>
                <w:szCs w:val="20"/>
              </w:rPr>
              <w:t>eur</w:t>
            </w:r>
            <w:r>
              <w:rPr>
                <w:rFonts w:ascii="Times New Roman" w:hAnsi="Times New Roman" w:cs="Times New Roman"/>
                <w:bCs/>
                <w:sz w:val="20"/>
                <w:szCs w:val="20"/>
              </w:rPr>
              <w:t xml:space="preserve">, </w:t>
            </w:r>
            <w:r w:rsidRPr="00DF6C72">
              <w:rPr>
                <w:rFonts w:ascii="Times New Roman" w:hAnsi="Times New Roman" w:cs="Times New Roman"/>
                <w:bCs/>
                <w:sz w:val="20"/>
                <w:szCs w:val="20"/>
              </w:rPr>
              <w:t>v r</w:t>
            </w:r>
            <w:r w:rsidR="00972011">
              <w:rPr>
                <w:rFonts w:ascii="Times New Roman" w:hAnsi="Times New Roman" w:cs="Times New Roman"/>
                <w:bCs/>
                <w:sz w:val="20"/>
                <w:szCs w:val="20"/>
              </w:rPr>
              <w:t>oku 2023 na úrovni približne 351</w:t>
            </w:r>
            <w:r w:rsidRPr="00DF6C72">
              <w:rPr>
                <w:rFonts w:ascii="Times New Roman" w:hAnsi="Times New Roman" w:cs="Times New Roman"/>
                <w:bCs/>
                <w:sz w:val="20"/>
                <w:szCs w:val="20"/>
              </w:rPr>
              <w:t xml:space="preserve"> eur</w:t>
            </w:r>
            <w:r>
              <w:rPr>
                <w:rFonts w:ascii="Times New Roman" w:hAnsi="Times New Roman" w:cs="Times New Roman"/>
                <w:bCs/>
                <w:sz w:val="20"/>
                <w:szCs w:val="20"/>
              </w:rPr>
              <w:t xml:space="preserve"> a v</w:t>
            </w:r>
            <w:r w:rsidR="00972011">
              <w:rPr>
                <w:rFonts w:ascii="Times New Roman" w:hAnsi="Times New Roman" w:cs="Times New Roman"/>
                <w:bCs/>
                <w:sz w:val="20"/>
                <w:szCs w:val="20"/>
              </w:rPr>
              <w:t xml:space="preserve"> rokoch 2024 a </w:t>
            </w:r>
            <w:r>
              <w:rPr>
                <w:rFonts w:ascii="Times New Roman" w:hAnsi="Times New Roman" w:cs="Times New Roman"/>
                <w:bCs/>
                <w:sz w:val="20"/>
                <w:szCs w:val="20"/>
              </w:rPr>
              <w:t xml:space="preserve">2025 na úrovni </w:t>
            </w:r>
            <w:r w:rsidR="00972011">
              <w:rPr>
                <w:rFonts w:ascii="Times New Roman" w:hAnsi="Times New Roman" w:cs="Times New Roman"/>
                <w:bCs/>
                <w:sz w:val="20"/>
                <w:szCs w:val="20"/>
              </w:rPr>
              <w:t>356 eur</w:t>
            </w:r>
            <w:r w:rsidRPr="00DF6C72">
              <w:rPr>
                <w:rFonts w:ascii="Times New Roman" w:hAnsi="Times New Roman" w:cs="Times New Roman"/>
                <w:bCs/>
                <w:sz w:val="20"/>
                <w:szCs w:val="20"/>
              </w:rPr>
              <w:t xml:space="preserve">. </w:t>
            </w:r>
            <w:r>
              <w:rPr>
                <w:rFonts w:ascii="Times New Roman" w:hAnsi="Times New Roman" w:cs="Times New Roman"/>
                <w:bCs/>
                <w:sz w:val="20"/>
                <w:szCs w:val="20"/>
              </w:rPr>
              <w:t>P</w:t>
            </w:r>
            <w:r w:rsidRPr="00F56ABE">
              <w:rPr>
                <w:rFonts w:ascii="Times New Roman" w:hAnsi="Times New Roman" w:cs="Times New Roman"/>
                <w:bCs/>
                <w:sz w:val="20"/>
                <w:szCs w:val="20"/>
              </w:rPr>
              <w:t>očet dotknutých osôb (osôb, ktorým po sprísnení podmienok nevznikne nárok na predčasný starobný dôchodok)</w:t>
            </w:r>
            <w:r>
              <w:rPr>
                <w:rFonts w:ascii="Times New Roman" w:hAnsi="Times New Roman" w:cs="Times New Roman"/>
                <w:bCs/>
                <w:sz w:val="20"/>
                <w:szCs w:val="20"/>
              </w:rPr>
              <w:t xml:space="preserve"> odhadujeme</w:t>
            </w:r>
            <w:r w:rsidRPr="00F56ABE">
              <w:rPr>
                <w:rFonts w:ascii="Times New Roman" w:hAnsi="Times New Roman" w:cs="Times New Roman"/>
                <w:bCs/>
                <w:sz w:val="20"/>
                <w:szCs w:val="20"/>
              </w:rPr>
              <w:t xml:space="preserve"> na úrovni 1 200 osôb  v roku 2022 (zohľadnenie navrhovanej účinnosti od 1. augusta 2022), na úrovni 2 200 osôb v roku 2023, na úrovni 1 700 osôb v roku 2024 a na úrovni 1 300 osôb v roku 2025.</w:t>
            </w:r>
          </w:p>
        </w:tc>
      </w:tr>
      <w:tr w:rsidR="00F56ABE" w:rsidRPr="00DF6C72" w:rsidTr="00D4788A">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p>
        </w:tc>
        <w:tc>
          <w:tcPr>
            <w:tcW w:w="1635"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i/>
                <w:sz w:val="18"/>
                <w:szCs w:val="20"/>
                <w:lang w:eastAsia="sk-SK"/>
              </w:rPr>
              <w:t xml:space="preserve">Ovplyvnená </w:t>
            </w:r>
            <w:r>
              <w:rPr>
                <w:rFonts w:ascii="Times New Roman" w:eastAsia="Calibri" w:hAnsi="Times New Roman" w:cs="Times New Roman"/>
                <w:i/>
                <w:sz w:val="18"/>
                <w:szCs w:val="20"/>
                <w:lang w:eastAsia="sk-SK"/>
              </w:rPr>
              <w:t>skupina č. 3</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sidRPr="00DF6C72">
              <w:rPr>
                <w:rFonts w:ascii="Times New Roman" w:hAnsi="Times New Roman" w:cs="Times New Roman"/>
                <w:bCs/>
                <w:sz w:val="20"/>
                <w:szCs w:val="20"/>
              </w:rPr>
              <w:t>Poi</w:t>
            </w:r>
            <w:r>
              <w:rPr>
                <w:rFonts w:ascii="Times New Roman" w:hAnsi="Times New Roman" w:cs="Times New Roman"/>
                <w:bCs/>
                <w:sz w:val="20"/>
                <w:szCs w:val="20"/>
              </w:rPr>
              <w:t>stenci s nízkymi sumami predčasných starobných dôchodkov.</w:t>
            </w:r>
          </w:p>
        </w:tc>
      </w:tr>
      <w:tr w:rsidR="00F56ABE" w:rsidRPr="00DF6C72" w:rsidTr="00B621A8">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a)</w:t>
            </w:r>
          </w:p>
        </w:tc>
        <w:tc>
          <w:tcPr>
            <w:tcW w:w="4854" w:type="pct"/>
            <w:gridSpan w:val="2"/>
            <w:tcBorders>
              <w:top w:val="dotted" w:sz="4" w:space="0" w:color="auto"/>
            </w:tcBorders>
            <w:shd w:val="clear" w:color="auto" w:fill="auto"/>
            <w:vAlign w:val="center"/>
          </w:tcPr>
          <w:p w:rsidR="00F56ABE" w:rsidRPr="000C795E" w:rsidRDefault="00F56ABE" w:rsidP="00F56ABE">
            <w:pPr>
              <w:spacing w:after="0" w:line="240" w:lineRule="auto"/>
              <w:jc w:val="center"/>
              <w:rPr>
                <w:rFonts w:ascii="Times New Roman" w:eastAsia="Calibri" w:hAnsi="Times New Roman" w:cs="Times New Roman"/>
                <w:b/>
                <w:i/>
                <w:sz w:val="20"/>
                <w:szCs w:val="20"/>
                <w:lang w:eastAsia="sk-SK"/>
              </w:rPr>
            </w:pPr>
            <w:r w:rsidRPr="00DF6C72">
              <w:rPr>
                <w:rFonts w:ascii="Times New Roman" w:eastAsia="Calibri" w:hAnsi="Times New Roman" w:cs="Times New Roman"/>
                <w:b/>
                <w:i/>
                <w:sz w:val="20"/>
                <w:szCs w:val="20"/>
                <w:lang w:eastAsia="sk-SK"/>
              </w:rPr>
              <w:t>4.1.2 Negatívn</w:t>
            </w:r>
            <w:r>
              <w:rPr>
                <w:rFonts w:ascii="Times New Roman" w:eastAsia="Calibri" w:hAnsi="Times New Roman" w:cs="Times New Roman"/>
                <w:b/>
                <w:i/>
                <w:sz w:val="20"/>
                <w:szCs w:val="20"/>
                <w:lang w:eastAsia="sk-SK"/>
              </w:rPr>
              <w:t>y</w:t>
            </w:r>
            <w:r w:rsidRPr="00DF6C72">
              <w:rPr>
                <w:rFonts w:ascii="Times New Roman" w:eastAsia="Calibri" w:hAnsi="Times New Roman" w:cs="Times New Roman"/>
                <w:b/>
                <w:i/>
                <w:sz w:val="20"/>
                <w:szCs w:val="20"/>
                <w:lang w:eastAsia="sk-SK"/>
              </w:rPr>
              <w:t xml:space="preserve"> vplyv</w:t>
            </w:r>
          </w:p>
        </w:tc>
      </w:tr>
      <w:tr w:rsidR="00F56ABE" w:rsidRPr="00DF6C72" w:rsidTr="00B621A8">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both"/>
              <w:rPr>
                <w:rFonts w:ascii="Times New Roman" w:eastAsia="Calibri" w:hAnsi="Times New Roman" w:cs="Times New Roman"/>
                <w:i/>
                <w:sz w:val="20"/>
                <w:szCs w:val="20"/>
                <w:lang w:eastAsia="sk-SK"/>
              </w:rPr>
            </w:pPr>
            <w:r w:rsidRPr="00DF6C72">
              <w:rPr>
                <w:rFonts w:ascii="Times New Roman" w:eastAsia="Calibri" w:hAnsi="Times New Roman" w:cs="Times New Roman"/>
                <w:i/>
                <w:sz w:val="20"/>
                <w:szCs w:val="20"/>
                <w:lang w:eastAsia="sk-SK"/>
              </w:rPr>
              <w:t>b)</w:t>
            </w:r>
          </w:p>
          <w:p w:rsidR="00F56ABE" w:rsidRPr="00DF6C72" w:rsidRDefault="00F56ABE" w:rsidP="00F56ABE">
            <w:pPr>
              <w:spacing w:after="0" w:line="240" w:lineRule="auto"/>
              <w:jc w:val="both"/>
              <w:rPr>
                <w:rFonts w:ascii="Times New Roman" w:eastAsia="Calibri" w:hAnsi="Times New Roman" w:cs="Times New Roman"/>
                <w:i/>
                <w:sz w:val="20"/>
                <w:szCs w:val="20"/>
                <w:lang w:eastAsia="sk-SK"/>
              </w:rPr>
            </w:pPr>
          </w:p>
        </w:tc>
        <w:tc>
          <w:tcPr>
            <w:tcW w:w="1635" w:type="pct"/>
            <w:tcBorders>
              <w:top w:val="dotted" w:sz="4" w:space="0" w:color="auto"/>
            </w:tcBorders>
            <w:shd w:val="clear" w:color="auto" w:fill="auto"/>
            <w:vAlign w:val="center"/>
          </w:tcPr>
          <w:p w:rsidR="00F56ABE" w:rsidRPr="00DF6C72" w:rsidRDefault="00F56ABE" w:rsidP="00F56ABE">
            <w:pPr>
              <w:spacing w:after="0" w:line="240" w:lineRule="auto"/>
              <w:jc w:val="both"/>
              <w:rPr>
                <w:rFonts w:ascii="Times New Roman" w:eastAsia="Calibri" w:hAnsi="Times New Roman" w:cs="Times New Roman"/>
                <w:i/>
                <w:sz w:val="20"/>
                <w:szCs w:val="20"/>
                <w:lang w:eastAsia="sk-SK"/>
              </w:rPr>
            </w:pPr>
            <w:r w:rsidRPr="00DF6C72">
              <w:rPr>
                <w:rFonts w:ascii="Times New Roman" w:eastAsia="Calibri" w:hAnsi="Times New Roman" w:cs="Times New Roman"/>
                <w:i/>
                <w:sz w:val="20"/>
                <w:szCs w:val="20"/>
                <w:lang w:eastAsia="sk-SK"/>
              </w:rPr>
              <w:t>Popíšte opatrenie a jeho vplyv na hospodárenie domácností s uvedením, či ide o zníženie príjmov alebo zvýšenie výdavkov:</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i/>
                <w:sz w:val="20"/>
                <w:szCs w:val="20"/>
                <w:lang w:eastAsia="sk-SK"/>
              </w:rPr>
            </w:pPr>
            <w:r w:rsidRPr="00DF6C72">
              <w:rPr>
                <w:rFonts w:ascii="Times New Roman" w:hAnsi="Times New Roman" w:cs="Times New Roman"/>
                <w:sz w:val="20"/>
              </w:rPr>
              <w:t xml:space="preserve">V nadväznosti </w:t>
            </w:r>
            <w:r w:rsidR="000C795E">
              <w:rPr>
                <w:rFonts w:ascii="Times New Roman" w:hAnsi="Times New Roman" w:cs="Times New Roman"/>
                <w:sz w:val="20"/>
              </w:rPr>
              <w:t xml:space="preserve">na snahu </w:t>
            </w:r>
            <w:r w:rsidRPr="00DF6C72">
              <w:rPr>
                <w:rFonts w:ascii="Times New Roman" w:hAnsi="Times New Roman" w:cs="Times New Roman"/>
                <w:sz w:val="20"/>
              </w:rPr>
              <w:t>zabezpečiť dlhodobú udržateľnosť verejných financií, a to najmä systému zdravotnej starostlivosti a dôchodkového systému sa navrhuje korekcia mechanizmu medziročnej úpravy aktuálnej dôchodkovej hodnoty.</w:t>
            </w:r>
          </w:p>
        </w:tc>
      </w:tr>
      <w:tr w:rsidR="00F56ABE" w:rsidRPr="00DF6C72" w:rsidTr="00B621A8">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c)</w:t>
            </w:r>
          </w:p>
        </w:tc>
        <w:tc>
          <w:tcPr>
            <w:tcW w:w="1635"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b/>
                <w:i/>
                <w:sz w:val="20"/>
                <w:szCs w:val="20"/>
                <w:lang w:eastAsia="sk-SK"/>
              </w:rPr>
              <w:t>Špecifikujte</w:t>
            </w:r>
            <w:r w:rsidRPr="00DF6C72">
              <w:rPr>
                <w:rFonts w:ascii="Times New Roman" w:eastAsia="Calibri" w:hAnsi="Times New Roman" w:cs="Times New Roman"/>
                <w:i/>
                <w:sz w:val="20"/>
                <w:szCs w:val="20"/>
                <w:lang w:eastAsia="sk-SK"/>
              </w:rPr>
              <w:t xml:space="preserve"> ovplyvnené skupiny:</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sidRPr="00DF6C72">
              <w:rPr>
                <w:rFonts w:ascii="Times New Roman" w:hAnsi="Times New Roman" w:cs="Times New Roman"/>
                <w:bCs/>
                <w:sz w:val="20"/>
                <w:szCs w:val="20"/>
              </w:rPr>
              <w:t>Poistenci, ktorým bude určená suma dôchodku od roku 2023.</w:t>
            </w:r>
          </w:p>
        </w:tc>
      </w:tr>
      <w:tr w:rsidR="00F56ABE" w:rsidRPr="00DF6C72" w:rsidTr="00B621A8">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p>
        </w:tc>
        <w:tc>
          <w:tcPr>
            <w:tcW w:w="1635"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i/>
                <w:sz w:val="18"/>
                <w:szCs w:val="20"/>
                <w:lang w:eastAsia="sk-SK"/>
              </w:rPr>
              <w:t>Ovplyvnená skupina č. 8</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sidRPr="00DF6C72">
              <w:rPr>
                <w:rFonts w:ascii="Times New Roman" w:hAnsi="Times New Roman" w:cs="Times New Roman"/>
                <w:bCs/>
                <w:sz w:val="20"/>
                <w:szCs w:val="20"/>
              </w:rPr>
              <w:t>Poistenci, ktorým bude určená suma dôchodku od roku 2023.</w:t>
            </w:r>
          </w:p>
        </w:tc>
      </w:tr>
      <w:tr w:rsidR="00F56ABE" w:rsidRPr="00DF6C72" w:rsidTr="00B621A8">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d)</w:t>
            </w:r>
          </w:p>
        </w:tc>
        <w:tc>
          <w:tcPr>
            <w:tcW w:w="4854" w:type="pct"/>
            <w:gridSpan w:val="2"/>
            <w:tcBorders>
              <w:top w:val="dotted" w:sz="4" w:space="0" w:color="auto"/>
            </w:tcBorders>
            <w:shd w:val="clear" w:color="auto" w:fill="auto"/>
            <w:vAlign w:val="center"/>
          </w:tcPr>
          <w:p w:rsidR="00F56ABE" w:rsidRPr="00DF6C72" w:rsidRDefault="00F56ABE" w:rsidP="00F56ABE">
            <w:pPr>
              <w:spacing w:after="0" w:line="240" w:lineRule="auto"/>
              <w:rPr>
                <w:rFonts w:ascii="Times New Roman" w:eastAsia="Calibri" w:hAnsi="Times New Roman" w:cs="Times New Roman"/>
                <w:sz w:val="20"/>
                <w:szCs w:val="20"/>
                <w:lang w:eastAsia="sk-SK"/>
              </w:rPr>
            </w:pPr>
            <w:r w:rsidRPr="00DF6C72">
              <w:rPr>
                <w:rFonts w:ascii="Times New Roman" w:eastAsia="Calibri" w:hAnsi="Times New Roman" w:cs="Times New Roman"/>
                <w:b/>
                <w:i/>
                <w:sz w:val="20"/>
                <w:szCs w:val="20"/>
                <w:lang w:eastAsia="sk-SK"/>
              </w:rPr>
              <w:t>Kvantifikujte</w:t>
            </w:r>
            <w:r w:rsidRPr="00DF6C72">
              <w:rPr>
                <w:rFonts w:ascii="Times New Roman" w:eastAsia="Calibri" w:hAnsi="Times New Roman" w:cs="Times New Roman"/>
                <w:i/>
                <w:sz w:val="20"/>
                <w:szCs w:val="20"/>
                <w:lang w:eastAsia="sk-SK"/>
              </w:rPr>
              <w:t xml:space="preserve"> pokles príjmov alebo rast výdavkov </w:t>
            </w:r>
            <w:r w:rsidRPr="00DF6C72">
              <w:rPr>
                <w:rFonts w:ascii="Times New Roman" w:eastAsia="Calibri" w:hAnsi="Times New Roman" w:cs="Times New Roman"/>
                <w:b/>
                <w:i/>
                <w:sz w:val="20"/>
                <w:szCs w:val="20"/>
                <w:lang w:eastAsia="sk-SK"/>
              </w:rPr>
              <w:t>za jednotlivé</w:t>
            </w:r>
            <w:r w:rsidRPr="00DF6C72">
              <w:rPr>
                <w:rFonts w:ascii="Times New Roman" w:eastAsia="Calibri" w:hAnsi="Times New Roman" w:cs="Times New Roman"/>
                <w:i/>
                <w:sz w:val="20"/>
                <w:szCs w:val="20"/>
                <w:lang w:eastAsia="sk-SK"/>
              </w:rPr>
              <w:t xml:space="preserve"> </w:t>
            </w:r>
            <w:r w:rsidRPr="00DF6C72">
              <w:rPr>
                <w:rFonts w:ascii="Times New Roman" w:eastAsia="Calibri" w:hAnsi="Times New Roman" w:cs="Times New Roman"/>
                <w:b/>
                <w:i/>
                <w:sz w:val="20"/>
                <w:szCs w:val="20"/>
                <w:lang w:eastAsia="sk-SK"/>
              </w:rPr>
              <w:t>ovplyvnené</w:t>
            </w:r>
            <w:r w:rsidRPr="00DF6C72">
              <w:rPr>
                <w:rFonts w:ascii="Times New Roman" w:eastAsia="Calibri" w:hAnsi="Times New Roman" w:cs="Times New Roman"/>
                <w:i/>
                <w:sz w:val="20"/>
                <w:szCs w:val="20"/>
                <w:lang w:eastAsia="sk-SK"/>
              </w:rPr>
              <w:t xml:space="preserve"> </w:t>
            </w:r>
            <w:r w:rsidRPr="00DF6C72">
              <w:rPr>
                <w:rFonts w:ascii="Times New Roman" w:eastAsia="Calibri" w:hAnsi="Times New Roman" w:cs="Times New Roman"/>
                <w:b/>
                <w:i/>
                <w:sz w:val="20"/>
                <w:szCs w:val="20"/>
                <w:lang w:eastAsia="sk-SK"/>
              </w:rPr>
              <w:t>skupiny</w:t>
            </w:r>
            <w:r w:rsidRPr="00DF6C7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56ABE" w:rsidRPr="00DF6C72" w:rsidTr="00B621A8">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e)</w:t>
            </w:r>
          </w:p>
        </w:tc>
        <w:tc>
          <w:tcPr>
            <w:tcW w:w="1635" w:type="pct"/>
            <w:tcBorders>
              <w:top w:val="dotted" w:sz="4" w:space="0" w:color="auto"/>
            </w:tcBorders>
            <w:shd w:val="clear" w:color="auto" w:fill="auto"/>
          </w:tcPr>
          <w:p w:rsidR="00F56ABE" w:rsidRPr="00DF6C72" w:rsidRDefault="00F56ABE" w:rsidP="00F56AB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DF6C72">
              <w:rPr>
                <w:rFonts w:ascii="Times New Roman" w:eastAsia="Calibri" w:hAnsi="Times New Roman" w:cs="Times New Roman"/>
                <w:i/>
                <w:sz w:val="18"/>
                <w:szCs w:val="20"/>
                <w:lang w:eastAsia="sk-SK"/>
              </w:rPr>
              <w:t>priemerný pokles príjmov/ rast výdavkov v skupine v eurách a/alebo v % / obdobie:</w:t>
            </w:r>
          </w:p>
          <w:p w:rsidR="00F56ABE" w:rsidRPr="00DF6C72" w:rsidRDefault="00F56ABE" w:rsidP="00F56AB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DF6C72">
              <w:rPr>
                <w:rFonts w:ascii="Times New Roman" w:eastAsia="Calibri" w:hAnsi="Times New Roman" w:cs="Times New Roman"/>
                <w:i/>
                <w:sz w:val="18"/>
                <w:szCs w:val="20"/>
                <w:lang w:eastAsia="sk-SK"/>
              </w:rPr>
              <w:t>veľkosť skupiny (počet obyvateľov):</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hAnsi="Times New Roman"/>
                <w:color w:val="000000"/>
                <w:sz w:val="20"/>
                <w:szCs w:val="20"/>
              </w:rPr>
            </w:pPr>
            <w:r w:rsidRPr="00DF6C72">
              <w:rPr>
                <w:rFonts w:ascii="Times New Roman" w:hAnsi="Times New Roman" w:cs="Times New Roman"/>
                <w:bCs/>
                <w:sz w:val="20"/>
                <w:szCs w:val="20"/>
              </w:rPr>
              <w:t xml:space="preserve">Priemerný ročný pokles príjmov na jedného poistenca sa v roku 2023 odhaduje na úrovni približne </w:t>
            </w:r>
            <w:r>
              <w:rPr>
                <w:rFonts w:ascii="Times New Roman" w:hAnsi="Times New Roman" w:cs="Times New Roman"/>
                <w:bCs/>
                <w:sz w:val="20"/>
                <w:szCs w:val="20"/>
              </w:rPr>
              <w:t>14,6</w:t>
            </w:r>
            <w:r w:rsidRPr="00DF6C72">
              <w:rPr>
                <w:rFonts w:ascii="Times New Roman" w:hAnsi="Times New Roman" w:cs="Times New Roman"/>
                <w:bCs/>
                <w:sz w:val="20"/>
                <w:szCs w:val="20"/>
              </w:rPr>
              <w:t xml:space="preserve"> eur</w:t>
            </w:r>
            <w:r>
              <w:rPr>
                <w:rFonts w:ascii="Times New Roman" w:hAnsi="Times New Roman" w:cs="Times New Roman"/>
                <w:bCs/>
                <w:sz w:val="20"/>
                <w:szCs w:val="20"/>
              </w:rPr>
              <w:t xml:space="preserve">, </w:t>
            </w:r>
            <w:r w:rsidRPr="00DF6C72">
              <w:rPr>
                <w:rFonts w:ascii="Times New Roman" w:hAnsi="Times New Roman" w:cs="Times New Roman"/>
                <w:bCs/>
                <w:sz w:val="20"/>
                <w:szCs w:val="20"/>
              </w:rPr>
              <w:t>v roku 2024 na úrovni približne 22</w:t>
            </w:r>
            <w:r>
              <w:rPr>
                <w:rFonts w:ascii="Times New Roman" w:hAnsi="Times New Roman" w:cs="Times New Roman"/>
                <w:bCs/>
                <w:sz w:val="20"/>
                <w:szCs w:val="20"/>
              </w:rPr>
              <w:t>,1</w:t>
            </w:r>
            <w:r w:rsidRPr="00DF6C72">
              <w:rPr>
                <w:rFonts w:ascii="Times New Roman" w:hAnsi="Times New Roman" w:cs="Times New Roman"/>
                <w:bCs/>
                <w:sz w:val="20"/>
                <w:szCs w:val="20"/>
              </w:rPr>
              <w:t xml:space="preserve"> eur</w:t>
            </w:r>
            <w:r>
              <w:rPr>
                <w:rFonts w:ascii="Times New Roman" w:hAnsi="Times New Roman" w:cs="Times New Roman"/>
                <w:bCs/>
                <w:sz w:val="20"/>
                <w:szCs w:val="20"/>
              </w:rPr>
              <w:t>a a v roku 2025 na úrovni 26,1 eura</w:t>
            </w:r>
            <w:r w:rsidRPr="00DF6C72">
              <w:rPr>
                <w:rFonts w:ascii="Times New Roman" w:hAnsi="Times New Roman" w:cs="Times New Roman"/>
                <w:bCs/>
                <w:sz w:val="20"/>
                <w:szCs w:val="20"/>
              </w:rPr>
              <w:t>. Počet dotknutých poistencov odhadujeme v roku 2023 a</w:t>
            </w:r>
            <w:r>
              <w:rPr>
                <w:rFonts w:ascii="Times New Roman" w:hAnsi="Times New Roman" w:cs="Times New Roman"/>
                <w:bCs/>
                <w:sz w:val="20"/>
                <w:szCs w:val="20"/>
              </w:rPr>
              <w:t>ž</w:t>
            </w:r>
            <w:r w:rsidRPr="00DF6C72">
              <w:rPr>
                <w:rFonts w:ascii="Times New Roman" w:hAnsi="Times New Roman" w:cs="Times New Roman"/>
                <w:bCs/>
                <w:sz w:val="20"/>
                <w:szCs w:val="20"/>
              </w:rPr>
              <w:t> 202</w:t>
            </w:r>
            <w:r>
              <w:rPr>
                <w:rFonts w:ascii="Times New Roman" w:hAnsi="Times New Roman" w:cs="Times New Roman"/>
                <w:bCs/>
                <w:sz w:val="20"/>
                <w:szCs w:val="20"/>
              </w:rPr>
              <w:t>5</w:t>
            </w:r>
            <w:r w:rsidRPr="00DF6C72">
              <w:rPr>
                <w:rFonts w:ascii="Times New Roman" w:hAnsi="Times New Roman" w:cs="Times New Roman"/>
                <w:bCs/>
                <w:sz w:val="20"/>
                <w:szCs w:val="20"/>
              </w:rPr>
              <w:t xml:space="preserve"> na úrovni približne 100 tis. ročne.</w:t>
            </w:r>
          </w:p>
        </w:tc>
      </w:tr>
      <w:tr w:rsidR="00F56ABE" w:rsidRPr="00DF6C72" w:rsidTr="00B621A8">
        <w:trPr>
          <w:trHeight w:val="397"/>
          <w:jc w:val="center"/>
        </w:trPr>
        <w:tc>
          <w:tcPr>
            <w:tcW w:w="146" w:type="pc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p>
        </w:tc>
        <w:tc>
          <w:tcPr>
            <w:tcW w:w="1635"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i/>
                <w:sz w:val="18"/>
                <w:szCs w:val="20"/>
                <w:lang w:eastAsia="sk-SK"/>
              </w:rPr>
              <w:t>Ovplyvnená skupina č. 8</w:t>
            </w:r>
          </w:p>
        </w:tc>
        <w:tc>
          <w:tcPr>
            <w:tcW w:w="3219" w:type="pct"/>
            <w:tcBorders>
              <w:top w:val="dotted"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sidRPr="00DF6C72">
              <w:rPr>
                <w:rFonts w:ascii="Times New Roman" w:hAnsi="Times New Roman" w:cs="Times New Roman"/>
                <w:bCs/>
                <w:sz w:val="20"/>
                <w:szCs w:val="20"/>
              </w:rPr>
              <w:t>Poistenci, ktorým bude určená suma dôchodku od roku 2023.</w:t>
            </w:r>
          </w:p>
        </w:tc>
      </w:tr>
      <w:tr w:rsidR="00F56ABE" w:rsidRPr="00DF6C72" w:rsidTr="00B621A8">
        <w:trPr>
          <w:trHeight w:val="227"/>
          <w:jc w:val="center"/>
        </w:trPr>
        <w:tc>
          <w:tcPr>
            <w:tcW w:w="146" w:type="pct"/>
            <w:tcBorders>
              <w:top w:val="nil"/>
              <w:bottom w:val="single" w:sz="4" w:space="0" w:color="auto"/>
            </w:tcBorders>
            <w:shd w:val="clear" w:color="auto" w:fill="F2F2F2"/>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g)</w:t>
            </w:r>
          </w:p>
        </w:tc>
        <w:tc>
          <w:tcPr>
            <w:tcW w:w="4854" w:type="pct"/>
            <w:gridSpan w:val="2"/>
            <w:tcBorders>
              <w:top w:val="nil"/>
              <w:bottom w:val="single" w:sz="4" w:space="0" w:color="auto"/>
            </w:tcBorders>
            <w:shd w:val="clear" w:color="auto" w:fill="F2F2F2"/>
          </w:tcPr>
          <w:p w:rsidR="00F56ABE" w:rsidRPr="00DF6C72" w:rsidRDefault="00F56ABE" w:rsidP="00F56AB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b/>
                <w:i/>
                <w:sz w:val="20"/>
                <w:szCs w:val="20"/>
                <w:lang w:eastAsia="sk-SK"/>
              </w:rPr>
              <w:t>4.1.2.1</w:t>
            </w:r>
            <w:r w:rsidRPr="00DF6C72">
              <w:rPr>
                <w:rFonts w:ascii="Times New Roman" w:eastAsia="Calibri" w:hAnsi="Times New Roman" w:cs="Times New Roman"/>
                <w:i/>
                <w:sz w:val="20"/>
                <w:szCs w:val="20"/>
                <w:lang w:eastAsia="sk-SK"/>
              </w:rPr>
              <w:t xml:space="preserve"> </w:t>
            </w:r>
            <w:r w:rsidRPr="00DF6C72">
              <w:rPr>
                <w:rFonts w:ascii="Times New Roman" w:eastAsia="Calibri" w:hAnsi="Times New Roman" w:cs="Times New Roman"/>
                <w:b/>
                <w:i/>
                <w:sz w:val="20"/>
                <w:szCs w:val="20"/>
                <w:lang w:eastAsia="sk-SK"/>
              </w:rPr>
              <w:t>Z toho negatívny vplyv na skupiny v riziku chudoby alebo sociálneho vylúčenia</w:t>
            </w:r>
          </w:p>
          <w:p w:rsidR="00F56ABE" w:rsidRPr="00DF6C72" w:rsidRDefault="00F56ABE" w:rsidP="00F56ABE">
            <w:pPr>
              <w:spacing w:after="0" w:line="240" w:lineRule="auto"/>
              <w:rPr>
                <w:rFonts w:ascii="Times New Roman" w:eastAsia="Calibri" w:hAnsi="Times New Roman" w:cs="Times New Roman"/>
                <w:b/>
                <w:sz w:val="20"/>
                <w:szCs w:val="20"/>
                <w:lang w:eastAsia="sk-SK"/>
              </w:rPr>
            </w:pPr>
            <w:r w:rsidRPr="00DF6C72">
              <w:rPr>
                <w:rFonts w:ascii="Times New Roman" w:eastAsia="Calibri" w:hAnsi="Times New Roman" w:cs="Times New Roman"/>
                <w:i/>
                <w:sz w:val="20"/>
                <w:szCs w:val="20"/>
                <w:lang w:eastAsia="sk-SK"/>
              </w:rPr>
              <w:t>(</w:t>
            </w:r>
            <w:r w:rsidRPr="00DF6C72">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DF6C72">
              <w:rPr>
                <w:rFonts w:ascii="Times New Roman" w:eastAsia="Calibri" w:hAnsi="Times New Roman" w:cs="Times New Roman"/>
                <w:i/>
                <w:sz w:val="20"/>
                <w:szCs w:val="20"/>
                <w:lang w:eastAsia="sk-SK"/>
              </w:rPr>
              <w:t>)</w:t>
            </w:r>
          </w:p>
        </w:tc>
      </w:tr>
      <w:tr w:rsidR="00F56ABE" w:rsidRPr="00DF6C72" w:rsidTr="00B621A8">
        <w:trPr>
          <w:trHeight w:val="759"/>
          <w:jc w:val="center"/>
        </w:trPr>
        <w:tc>
          <w:tcPr>
            <w:tcW w:w="146" w:type="pct"/>
            <w:tcBorders>
              <w:top w:val="single" w:sz="4" w:space="0" w:color="auto"/>
              <w:bottom w:val="single"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h)</w:t>
            </w:r>
          </w:p>
        </w:tc>
        <w:tc>
          <w:tcPr>
            <w:tcW w:w="1635" w:type="pct"/>
            <w:tcBorders>
              <w:top w:val="single" w:sz="4" w:space="0" w:color="auto"/>
              <w:bottom w:val="single"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i/>
                <w:sz w:val="20"/>
                <w:szCs w:val="20"/>
                <w:lang w:eastAsia="sk-SK"/>
              </w:rPr>
            </w:pPr>
            <w:r w:rsidRPr="00DF6C72">
              <w:rPr>
                <w:rFonts w:ascii="Times New Roman" w:eastAsia="Calibri" w:hAnsi="Times New Roman" w:cs="Times New Roman"/>
                <w:b/>
                <w:i/>
                <w:sz w:val="20"/>
                <w:szCs w:val="20"/>
                <w:lang w:eastAsia="sk-SK"/>
              </w:rPr>
              <w:t>Popíšte</w:t>
            </w:r>
            <w:r w:rsidRPr="00DF6C72">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19" w:type="pct"/>
            <w:tcBorders>
              <w:top w:val="single" w:sz="4" w:space="0" w:color="auto"/>
              <w:bottom w:val="single" w:sz="4" w:space="0" w:color="auto"/>
            </w:tcBorders>
            <w:shd w:val="clear" w:color="auto" w:fill="auto"/>
          </w:tcPr>
          <w:p w:rsidR="00F56ABE" w:rsidRPr="00DF6C72" w:rsidRDefault="00F56ABE" w:rsidP="00F56ABE">
            <w:pPr>
              <w:spacing w:after="0" w:line="240" w:lineRule="auto"/>
              <w:jc w:val="both"/>
              <w:rPr>
                <w:rFonts w:ascii="Times New Roman" w:eastAsia="Calibri" w:hAnsi="Times New Roman" w:cs="Times New Roman"/>
                <w:sz w:val="20"/>
                <w:szCs w:val="20"/>
                <w:lang w:eastAsia="sk-SK"/>
              </w:rPr>
            </w:pPr>
            <w:r w:rsidRPr="00DF6C72">
              <w:rPr>
                <w:rFonts w:ascii="Times New Roman" w:eastAsia="Calibri" w:hAnsi="Times New Roman" w:cs="Times New Roman"/>
                <w:sz w:val="20"/>
                <w:szCs w:val="20"/>
                <w:lang w:eastAsia="sk-SK"/>
              </w:rPr>
              <w:t>Navrhovaná právna úprava nezakladá signifikantný negatívny vplyv na skupiny osôb v riziku chudoby alebo sociálneho vylúčenia.</w:t>
            </w:r>
          </w:p>
        </w:tc>
      </w:tr>
      <w:tr w:rsidR="00F56ABE" w:rsidRPr="00DF6C72" w:rsidTr="00B621A8">
        <w:trPr>
          <w:trHeight w:val="397"/>
          <w:jc w:val="center"/>
        </w:trPr>
        <w:tc>
          <w:tcPr>
            <w:tcW w:w="146" w:type="pct"/>
            <w:vMerge w:val="restart"/>
            <w:tcBorders>
              <w:top w:val="single"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i)</w:t>
            </w:r>
          </w:p>
        </w:tc>
        <w:tc>
          <w:tcPr>
            <w:tcW w:w="1635" w:type="pct"/>
            <w:tcBorders>
              <w:top w:val="single"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b/>
                <w:i/>
                <w:sz w:val="20"/>
                <w:szCs w:val="20"/>
                <w:lang w:eastAsia="sk-SK"/>
              </w:rPr>
              <w:t xml:space="preserve">Špecifikujte </w:t>
            </w:r>
            <w:r w:rsidRPr="00DF6C72">
              <w:rPr>
                <w:rFonts w:ascii="Times New Roman" w:eastAsia="Calibri" w:hAnsi="Times New Roman" w:cs="Times New Roman"/>
                <w:i/>
                <w:sz w:val="20"/>
                <w:szCs w:val="20"/>
                <w:lang w:eastAsia="sk-SK"/>
              </w:rPr>
              <w:t>ovplyvnené skupiny:</w:t>
            </w:r>
          </w:p>
        </w:tc>
        <w:tc>
          <w:tcPr>
            <w:tcW w:w="3219" w:type="pct"/>
            <w:tcBorders>
              <w:top w:val="single"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i/>
                <w:sz w:val="18"/>
                <w:szCs w:val="20"/>
                <w:lang w:eastAsia="sk-SK"/>
              </w:rPr>
            </w:pPr>
          </w:p>
        </w:tc>
      </w:tr>
      <w:tr w:rsidR="00F56ABE" w:rsidRPr="00DF6C72" w:rsidTr="00B621A8">
        <w:trPr>
          <w:trHeight w:val="397"/>
          <w:jc w:val="center"/>
        </w:trPr>
        <w:tc>
          <w:tcPr>
            <w:tcW w:w="146" w:type="pct"/>
            <w:vMerge/>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p>
        </w:tc>
        <w:tc>
          <w:tcPr>
            <w:tcW w:w="1635" w:type="pct"/>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p>
        </w:tc>
        <w:tc>
          <w:tcPr>
            <w:tcW w:w="3219"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sz w:val="20"/>
                <w:szCs w:val="20"/>
                <w:lang w:eastAsia="sk-SK"/>
              </w:rPr>
            </w:pPr>
          </w:p>
        </w:tc>
      </w:tr>
      <w:tr w:rsidR="00F56ABE" w:rsidRPr="00DF6C72" w:rsidTr="00B621A8">
        <w:trPr>
          <w:trHeight w:val="454"/>
          <w:jc w:val="center"/>
        </w:trPr>
        <w:tc>
          <w:tcPr>
            <w:tcW w:w="146" w:type="pct"/>
            <w:tcBorders>
              <w:top w:val="dotted" w:sz="4" w:space="0" w:color="auto"/>
            </w:tcBorders>
            <w:shd w:val="clear" w:color="auto" w:fill="F2F2F2"/>
            <w:vAlign w:val="center"/>
          </w:tcPr>
          <w:p w:rsidR="00F56ABE" w:rsidRPr="00DF6C72" w:rsidRDefault="00F56ABE" w:rsidP="00F56ABE">
            <w:pPr>
              <w:spacing w:after="0" w:line="240" w:lineRule="auto"/>
              <w:jc w:val="center"/>
              <w:rPr>
                <w:rFonts w:ascii="Times New Roman" w:eastAsia="Calibri" w:hAnsi="Times New Roman" w:cs="Times New Roman"/>
                <w:sz w:val="18"/>
                <w:szCs w:val="18"/>
                <w:lang w:eastAsia="sk-SK"/>
              </w:rPr>
            </w:pPr>
            <w:r w:rsidRPr="00DF6C72">
              <w:rPr>
                <w:rFonts w:ascii="Times New Roman" w:eastAsia="Calibri" w:hAnsi="Times New Roman" w:cs="Times New Roman"/>
                <w:i/>
                <w:sz w:val="18"/>
                <w:szCs w:val="18"/>
                <w:lang w:eastAsia="sk-SK"/>
              </w:rPr>
              <w:t>j</w:t>
            </w:r>
            <w:r w:rsidRPr="00DF6C72">
              <w:rPr>
                <w:rFonts w:ascii="Times New Roman" w:eastAsia="Calibri" w:hAnsi="Times New Roman" w:cs="Times New Roman"/>
                <w:sz w:val="18"/>
                <w:szCs w:val="18"/>
                <w:lang w:eastAsia="sk-SK"/>
              </w:rPr>
              <w:t>)</w:t>
            </w:r>
          </w:p>
        </w:tc>
        <w:tc>
          <w:tcPr>
            <w:tcW w:w="4854" w:type="pct"/>
            <w:gridSpan w:val="2"/>
            <w:tcBorders>
              <w:top w:val="dotted" w:sz="4" w:space="0" w:color="auto"/>
            </w:tcBorders>
            <w:shd w:val="clear" w:color="auto" w:fill="F2F2F2"/>
            <w:vAlign w:val="center"/>
          </w:tcPr>
          <w:p w:rsidR="00F56ABE" w:rsidRPr="00DF6C72" w:rsidRDefault="00F56ABE" w:rsidP="00F56AB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b/>
                <w:i/>
                <w:sz w:val="20"/>
                <w:szCs w:val="20"/>
                <w:lang w:eastAsia="sk-SK"/>
              </w:rPr>
              <w:t>Kvantifikujte</w:t>
            </w:r>
            <w:r w:rsidRPr="00DF6C72">
              <w:rPr>
                <w:rFonts w:ascii="Times New Roman" w:eastAsia="Calibri" w:hAnsi="Times New Roman" w:cs="Times New Roman"/>
                <w:i/>
                <w:sz w:val="20"/>
                <w:szCs w:val="20"/>
                <w:lang w:eastAsia="sk-SK"/>
              </w:rPr>
              <w:t xml:space="preserve"> pokles príjmov alebo rast výdavkov </w:t>
            </w:r>
            <w:r w:rsidRPr="00DF6C72">
              <w:rPr>
                <w:rFonts w:ascii="Times New Roman" w:eastAsia="Calibri" w:hAnsi="Times New Roman" w:cs="Times New Roman"/>
                <w:b/>
                <w:i/>
                <w:sz w:val="20"/>
                <w:szCs w:val="20"/>
                <w:lang w:eastAsia="sk-SK"/>
              </w:rPr>
              <w:t>za jednotlivé ovplyvnené skupiny</w:t>
            </w:r>
            <w:r w:rsidRPr="00DF6C72">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F56ABE" w:rsidRPr="00DF6C72" w:rsidTr="00B621A8">
        <w:trPr>
          <w:trHeight w:val="680"/>
          <w:jc w:val="center"/>
        </w:trPr>
        <w:tc>
          <w:tcPr>
            <w:tcW w:w="146" w:type="pct"/>
            <w:vMerge w:val="restart"/>
            <w:tcBorders>
              <w:top w:val="dotted"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lastRenderedPageBreak/>
              <w:t>k)</w:t>
            </w:r>
          </w:p>
        </w:tc>
        <w:tc>
          <w:tcPr>
            <w:tcW w:w="1635" w:type="pct"/>
            <w:tcBorders>
              <w:top w:val="dotted" w:sz="4" w:space="0" w:color="auto"/>
            </w:tcBorders>
            <w:shd w:val="clear" w:color="auto" w:fill="auto"/>
          </w:tcPr>
          <w:p w:rsidR="00F56ABE" w:rsidRPr="00DF6C72" w:rsidRDefault="00F56ABE" w:rsidP="00F56ABE">
            <w:pPr>
              <w:numPr>
                <w:ilvl w:val="0"/>
                <w:numId w:val="11"/>
              </w:numPr>
              <w:spacing w:after="0" w:line="240" w:lineRule="auto"/>
              <w:contextualSpacing/>
              <w:rPr>
                <w:rFonts w:ascii="Times New Roman" w:eastAsia="Calibri" w:hAnsi="Times New Roman" w:cs="Times New Roman"/>
                <w:i/>
                <w:sz w:val="18"/>
                <w:szCs w:val="20"/>
                <w:lang w:eastAsia="sk-SK"/>
              </w:rPr>
            </w:pPr>
            <w:r w:rsidRPr="00DF6C72">
              <w:rPr>
                <w:rFonts w:ascii="Times New Roman" w:eastAsia="Calibri" w:hAnsi="Times New Roman" w:cs="Times New Roman"/>
                <w:i/>
                <w:sz w:val="18"/>
                <w:szCs w:val="20"/>
                <w:lang w:eastAsia="sk-SK"/>
              </w:rPr>
              <w:t>priemerný pokles príjmov/ rast výdavkov v skupine v eurách a/alebo v % / obdobie:</w:t>
            </w:r>
          </w:p>
          <w:p w:rsidR="00F56ABE" w:rsidRPr="00DF6C72" w:rsidRDefault="00F56ABE" w:rsidP="00F56ABE">
            <w:pPr>
              <w:numPr>
                <w:ilvl w:val="0"/>
                <w:numId w:val="11"/>
              </w:numPr>
              <w:spacing w:after="0" w:line="240" w:lineRule="auto"/>
              <w:contextualSpacing/>
              <w:rPr>
                <w:rFonts w:ascii="Times New Roman" w:eastAsia="Calibri" w:hAnsi="Times New Roman" w:cs="Times New Roman"/>
                <w:i/>
                <w:sz w:val="20"/>
                <w:szCs w:val="20"/>
                <w:lang w:eastAsia="sk-SK"/>
              </w:rPr>
            </w:pPr>
            <w:r w:rsidRPr="00DF6C72">
              <w:rPr>
                <w:rFonts w:ascii="Times New Roman" w:eastAsia="Calibri" w:hAnsi="Times New Roman" w:cs="Times New Roman"/>
                <w:i/>
                <w:sz w:val="18"/>
                <w:szCs w:val="20"/>
                <w:lang w:eastAsia="sk-SK"/>
              </w:rPr>
              <w:t>veľkosť skupiny (počet obyvateľov):</w:t>
            </w:r>
          </w:p>
        </w:tc>
        <w:tc>
          <w:tcPr>
            <w:tcW w:w="3219"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sz w:val="20"/>
                <w:szCs w:val="20"/>
                <w:lang w:eastAsia="sk-SK"/>
              </w:rPr>
            </w:pPr>
          </w:p>
        </w:tc>
      </w:tr>
      <w:tr w:rsidR="00F56ABE" w:rsidRPr="00DF6C72" w:rsidTr="00B621A8">
        <w:trPr>
          <w:trHeight w:val="680"/>
          <w:jc w:val="center"/>
        </w:trPr>
        <w:tc>
          <w:tcPr>
            <w:tcW w:w="146" w:type="pct"/>
            <w:vMerge/>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p>
        </w:tc>
        <w:tc>
          <w:tcPr>
            <w:tcW w:w="1635" w:type="pct"/>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p>
        </w:tc>
        <w:tc>
          <w:tcPr>
            <w:tcW w:w="3219" w:type="pct"/>
            <w:tcBorders>
              <w:top w:val="dotted"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sz w:val="20"/>
                <w:szCs w:val="20"/>
                <w:lang w:eastAsia="sk-SK"/>
              </w:rPr>
            </w:pPr>
          </w:p>
        </w:tc>
      </w:tr>
      <w:tr w:rsidR="00F56ABE" w:rsidRPr="00DF6C72" w:rsidTr="00B621A8">
        <w:trPr>
          <w:trHeight w:val="454"/>
          <w:jc w:val="center"/>
        </w:trPr>
        <w:tc>
          <w:tcPr>
            <w:tcW w:w="146" w:type="pct"/>
            <w:tcBorders>
              <w:top w:val="dotted" w:sz="4" w:space="0" w:color="auto"/>
              <w:bottom w:val="single" w:sz="4" w:space="0" w:color="auto"/>
            </w:tcBorders>
            <w:shd w:val="clear" w:color="auto" w:fill="auto"/>
            <w:vAlign w:val="center"/>
          </w:tcPr>
          <w:p w:rsidR="00F56ABE" w:rsidRPr="00DF6C72" w:rsidRDefault="00F56ABE" w:rsidP="00F56ABE">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l)</w:t>
            </w:r>
          </w:p>
        </w:tc>
        <w:tc>
          <w:tcPr>
            <w:tcW w:w="1635" w:type="pct"/>
            <w:tcBorders>
              <w:top w:val="dotted" w:sz="4" w:space="0" w:color="auto"/>
              <w:bottom w:val="single"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i/>
                <w:sz w:val="20"/>
                <w:szCs w:val="20"/>
                <w:lang w:eastAsia="sk-SK"/>
              </w:rPr>
            </w:pPr>
            <w:r w:rsidRPr="00DF6C72">
              <w:rPr>
                <w:rFonts w:ascii="Times New Roman" w:eastAsia="Calibri" w:hAnsi="Times New Roman" w:cs="Times New Roman"/>
                <w:i/>
                <w:sz w:val="20"/>
                <w:szCs w:val="20"/>
                <w:lang w:eastAsia="sk-SK"/>
              </w:rPr>
              <w:t>Dôvod chýbajúcej kvantifikácie:</w:t>
            </w:r>
          </w:p>
        </w:tc>
        <w:tc>
          <w:tcPr>
            <w:tcW w:w="3219" w:type="pct"/>
            <w:tcBorders>
              <w:top w:val="dotted" w:sz="4" w:space="0" w:color="auto"/>
              <w:bottom w:val="single" w:sz="4" w:space="0" w:color="auto"/>
            </w:tcBorders>
            <w:shd w:val="clear" w:color="auto" w:fill="auto"/>
          </w:tcPr>
          <w:p w:rsidR="00F56ABE" w:rsidRPr="00DF6C72" w:rsidRDefault="00F56ABE" w:rsidP="00F56ABE">
            <w:pPr>
              <w:spacing w:after="0" w:line="240" w:lineRule="auto"/>
              <w:rPr>
                <w:rFonts w:ascii="Times New Roman" w:eastAsia="Calibri" w:hAnsi="Times New Roman" w:cs="Times New Roman"/>
                <w:sz w:val="20"/>
                <w:szCs w:val="20"/>
                <w:lang w:eastAsia="sk-SK"/>
              </w:rPr>
            </w:pPr>
          </w:p>
        </w:tc>
      </w:tr>
    </w:tbl>
    <w:p w:rsidR="002644DE" w:rsidRPr="00DF6C72" w:rsidRDefault="002644DE" w:rsidP="002644DE">
      <w:r w:rsidRPr="00DF6C72">
        <w:br w:type="page"/>
      </w:r>
    </w:p>
    <w:p w:rsidR="002644DE" w:rsidRPr="00DF6C72" w:rsidRDefault="002644DE" w:rsidP="002644DE">
      <w:pPr>
        <w:sectPr w:rsidR="002644DE" w:rsidRPr="00DF6C72" w:rsidSect="005A405C">
          <w:footerReference w:type="default" r:id="rId8"/>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DF6C72" w:rsidTr="00CD40D0">
        <w:trPr>
          <w:trHeight w:val="339"/>
          <w:jc w:val="center"/>
        </w:trPr>
        <w:tc>
          <w:tcPr>
            <w:tcW w:w="5000" w:type="pct"/>
            <w:gridSpan w:val="4"/>
            <w:tcBorders>
              <w:bottom w:val="single" w:sz="4" w:space="0" w:color="auto"/>
            </w:tcBorders>
            <w:shd w:val="clear" w:color="auto" w:fill="D9D9D9"/>
          </w:tcPr>
          <w:p w:rsidR="002644DE" w:rsidRPr="00DF6C72" w:rsidRDefault="002644DE" w:rsidP="002644DE">
            <w:pPr>
              <w:spacing w:after="0" w:line="240" w:lineRule="auto"/>
              <w:rPr>
                <w:rFonts w:ascii="Times New Roman" w:eastAsia="Calibri" w:hAnsi="Times New Roman" w:cs="Times New Roman"/>
                <w:b/>
                <w:sz w:val="24"/>
                <w:szCs w:val="24"/>
                <w:lang w:eastAsia="sk-SK"/>
              </w:rPr>
            </w:pPr>
            <w:r w:rsidRPr="00DF6C72">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DF6C72" w:rsidTr="00CD40D0">
        <w:trPr>
          <w:trHeight w:val="290"/>
          <w:jc w:val="center"/>
        </w:trPr>
        <w:tc>
          <w:tcPr>
            <w:tcW w:w="5000" w:type="pct"/>
            <w:gridSpan w:val="4"/>
            <w:tcBorders>
              <w:bottom w:val="single" w:sz="4" w:space="0" w:color="auto"/>
            </w:tcBorders>
            <w:shd w:val="clear" w:color="auto" w:fill="F2F2F2"/>
            <w:vAlign w:val="center"/>
          </w:tcPr>
          <w:p w:rsidR="002644DE" w:rsidRPr="00DF6C72" w:rsidRDefault="002644DE" w:rsidP="002644DE">
            <w:pPr>
              <w:spacing w:after="0" w:line="240" w:lineRule="auto"/>
              <w:jc w:val="both"/>
              <w:rPr>
                <w:rFonts w:ascii="Times New Roman" w:eastAsia="Calibri" w:hAnsi="Times New Roman" w:cs="Times New Roman"/>
                <w:i/>
                <w:sz w:val="20"/>
                <w:szCs w:val="24"/>
                <w:lang w:eastAsia="sk-SK"/>
              </w:rPr>
            </w:pPr>
            <w:r w:rsidRPr="00DF6C72">
              <w:rPr>
                <w:rFonts w:ascii="Times New Roman" w:eastAsia="Calibri" w:hAnsi="Times New Roman" w:cs="Times New Roman"/>
                <w:i/>
                <w:sz w:val="20"/>
                <w:szCs w:val="24"/>
                <w:lang w:eastAsia="sk-SK"/>
              </w:rPr>
              <w:t xml:space="preserve">Má návrh vplyv na prístup k zdrojom, právam, tovarom a službám? </w:t>
            </w:r>
          </w:p>
          <w:p w:rsidR="002644DE" w:rsidRPr="00DF6C72" w:rsidRDefault="002644DE" w:rsidP="002644DE">
            <w:pPr>
              <w:spacing w:after="0" w:line="240" w:lineRule="auto"/>
              <w:jc w:val="both"/>
              <w:rPr>
                <w:rFonts w:ascii="Calibri" w:eastAsia="Calibri" w:hAnsi="Calibri" w:cs="Times New Roman"/>
                <w:i/>
                <w:sz w:val="24"/>
                <w:szCs w:val="24"/>
                <w:lang w:eastAsia="sk-SK"/>
              </w:rPr>
            </w:pPr>
            <w:r w:rsidRPr="00DF6C72">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CD40D0" w:rsidRPr="00DF6C72" w:rsidTr="00CD40D0">
        <w:tblPrEx>
          <w:tblBorders>
            <w:top w:val="none" w:sz="0" w:space="0" w:color="auto"/>
            <w:bottom w:val="none" w:sz="0" w:space="0" w:color="auto"/>
          </w:tblBorders>
        </w:tblPrEx>
        <w:trPr>
          <w:trHeight w:val="557"/>
          <w:jc w:val="center"/>
        </w:trPr>
        <w:tc>
          <w:tcPr>
            <w:tcW w:w="180" w:type="pct"/>
            <w:shd w:val="clear" w:color="auto" w:fill="auto"/>
            <w:vAlign w:val="center"/>
          </w:tcPr>
          <w:p w:rsidR="00CD40D0" w:rsidRPr="00DF6C72" w:rsidRDefault="00CD40D0" w:rsidP="00CD40D0">
            <w:pPr>
              <w:spacing w:after="0" w:line="240" w:lineRule="auto"/>
              <w:jc w:val="center"/>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a)</w:t>
            </w:r>
          </w:p>
        </w:tc>
        <w:tc>
          <w:tcPr>
            <w:tcW w:w="1893" w:type="pct"/>
            <w:gridSpan w:val="2"/>
            <w:shd w:val="clear" w:color="auto" w:fill="auto"/>
          </w:tcPr>
          <w:p w:rsidR="00CD40D0" w:rsidRPr="00DF6C72" w:rsidRDefault="00CD40D0" w:rsidP="00CD40D0">
            <w:pPr>
              <w:spacing w:after="0" w:line="240" w:lineRule="auto"/>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Rozumie sa najmä na prístup k:</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 xml:space="preserve">pomoci pri úhrade výdavkov súvisiacich so zdravotným postihnutím, </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k formálnemu i neformálnemu vzdelávaniu a celo</w:t>
            </w:r>
            <w:r w:rsidRPr="00DF6C72">
              <w:rPr>
                <w:rFonts w:ascii="Times New Roman" w:eastAsia="Calibri" w:hAnsi="Times New Roman" w:cs="Times New Roman"/>
                <w:i/>
                <w:sz w:val="18"/>
                <w:szCs w:val="18"/>
                <w:lang w:eastAsia="sk-SK"/>
              </w:rPr>
              <w:softHyphen/>
              <w:t xml:space="preserve">životnému vzdelávaniu, </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bývaniu a súvisiacim základným komunálnym službám,</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doprave,</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ďalším službám najmä službám všeobecného záujmu a tovarom,</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spravodlivosti, právnej ochrane, právnym službám,</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informáciám,</w:t>
            </w:r>
          </w:p>
          <w:p w:rsidR="00CD40D0" w:rsidRPr="00DF6C72" w:rsidRDefault="00CD40D0" w:rsidP="00CD40D0">
            <w:pPr>
              <w:numPr>
                <w:ilvl w:val="0"/>
                <w:numId w:val="9"/>
              </w:numPr>
              <w:spacing w:after="0" w:line="240" w:lineRule="auto"/>
              <w:ind w:left="170" w:hanging="170"/>
              <w:jc w:val="both"/>
              <w:rPr>
                <w:rFonts w:ascii="Calibri" w:eastAsia="Calibri" w:hAnsi="Calibri" w:cs="Times New Roman"/>
                <w:i/>
                <w:sz w:val="20"/>
                <w:szCs w:val="20"/>
                <w:lang w:eastAsia="sk-SK"/>
              </w:rPr>
            </w:pPr>
            <w:r w:rsidRPr="00DF6C72">
              <w:rPr>
                <w:rFonts w:ascii="Times New Roman" w:eastAsia="Calibri" w:hAnsi="Times New Roman" w:cs="Times New Roman"/>
                <w:i/>
                <w:sz w:val="18"/>
                <w:szCs w:val="18"/>
                <w:lang w:eastAsia="sk-SK"/>
              </w:rPr>
              <w:t>k iným právam (napr. politickým).</w:t>
            </w:r>
          </w:p>
        </w:tc>
        <w:tc>
          <w:tcPr>
            <w:tcW w:w="2927" w:type="pct"/>
            <w:shd w:val="clear" w:color="auto" w:fill="auto"/>
          </w:tcPr>
          <w:p w:rsidR="00CD40D0" w:rsidRPr="00DF6C72" w:rsidRDefault="00021958" w:rsidP="00021958">
            <w:pPr>
              <w:spacing w:after="0" w:line="240" w:lineRule="auto"/>
              <w:contextualSpacing/>
              <w:jc w:val="both"/>
              <w:rPr>
                <w:rFonts w:ascii="Times New Roman" w:eastAsia="Calibri" w:hAnsi="Times New Roman" w:cs="Times New Roman"/>
                <w:sz w:val="20"/>
                <w:szCs w:val="20"/>
                <w:lang w:eastAsia="sk-SK"/>
              </w:rPr>
            </w:pPr>
            <w:r w:rsidRPr="00DF6C72">
              <w:rPr>
                <w:rFonts w:ascii="Times New Roman" w:eastAsia="Calibri" w:hAnsi="Times New Roman" w:cs="Times New Roman"/>
                <w:sz w:val="20"/>
                <w:szCs w:val="20"/>
                <w:lang w:eastAsia="sk-SK"/>
              </w:rPr>
              <w:t>Navrhovaná právna úprava garantuje poistencom odchod</w:t>
            </w:r>
            <w:r w:rsidR="00CD40D0" w:rsidRPr="00DF6C72">
              <w:rPr>
                <w:rFonts w:ascii="Times New Roman" w:eastAsia="Calibri" w:hAnsi="Times New Roman" w:cs="Times New Roman"/>
                <w:sz w:val="20"/>
                <w:szCs w:val="20"/>
                <w:lang w:eastAsia="sk-SK"/>
              </w:rPr>
              <w:t xml:space="preserve"> do </w:t>
            </w:r>
            <w:r w:rsidRPr="00DF6C72">
              <w:rPr>
                <w:rFonts w:ascii="Times New Roman" w:eastAsia="Calibri" w:hAnsi="Times New Roman" w:cs="Times New Roman"/>
                <w:sz w:val="20"/>
                <w:szCs w:val="20"/>
                <w:lang w:eastAsia="sk-SK"/>
              </w:rPr>
              <w:t xml:space="preserve">predčasného starobného </w:t>
            </w:r>
            <w:r w:rsidR="00CD40D0" w:rsidRPr="00DF6C72">
              <w:rPr>
                <w:rFonts w:ascii="Times New Roman" w:eastAsia="Calibri" w:hAnsi="Times New Roman" w:cs="Times New Roman"/>
                <w:sz w:val="20"/>
                <w:szCs w:val="20"/>
                <w:lang w:eastAsia="sk-SK"/>
              </w:rPr>
              <w:t>dôchodku za stano</w:t>
            </w:r>
            <w:r w:rsidR="00DE2F1B" w:rsidRPr="00DF6C72">
              <w:rPr>
                <w:rFonts w:ascii="Times New Roman" w:eastAsia="Calibri" w:hAnsi="Times New Roman" w:cs="Times New Roman"/>
                <w:sz w:val="20"/>
                <w:szCs w:val="20"/>
                <w:lang w:eastAsia="sk-SK"/>
              </w:rPr>
              <w:t xml:space="preserve">vený počet odpracovaných rokov, </w:t>
            </w:r>
            <w:r w:rsidR="00CD40D0" w:rsidRPr="00DF6C72">
              <w:rPr>
                <w:rFonts w:ascii="Times New Roman" w:eastAsia="Calibri" w:hAnsi="Times New Roman" w:cs="Times New Roman"/>
                <w:sz w:val="20"/>
                <w:szCs w:val="20"/>
                <w:lang w:eastAsia="sk-SK"/>
              </w:rPr>
              <w:t xml:space="preserve">t. j. aby osobe, ktorá dosiahla ustanovený počet odpracovaných rokov, vznikol nárok na primerané hmotné zabezpečenie v starobe. Uvedené opatrenie má pozitívny vplyv na prístup k právam poistencov, ktorí získajú stanovený počet odpracovaných rokov, nakoľko títo poistenci majú možnosť odísť do predčasného starobného dôchodku skôr ako 2 roky pred dovŕšením dôchodkového veku. Suma ich predčasného starobného dôchodku </w:t>
            </w:r>
            <w:r w:rsidR="00DE2F1B" w:rsidRPr="00DF6C72">
              <w:rPr>
                <w:rFonts w:ascii="Times New Roman" w:eastAsia="Calibri" w:hAnsi="Times New Roman" w:cs="Times New Roman"/>
                <w:sz w:val="20"/>
                <w:szCs w:val="20"/>
                <w:lang w:eastAsia="sk-SK"/>
              </w:rPr>
              <w:t xml:space="preserve">bude </w:t>
            </w:r>
            <w:proofErr w:type="spellStart"/>
            <w:r w:rsidR="00DE2F1B" w:rsidRPr="00DF6C72">
              <w:rPr>
                <w:rFonts w:ascii="Times New Roman" w:eastAsia="Calibri" w:hAnsi="Times New Roman" w:cs="Times New Roman"/>
                <w:sz w:val="20"/>
                <w:szCs w:val="20"/>
                <w:lang w:eastAsia="sk-SK"/>
              </w:rPr>
              <w:t>aktuárne</w:t>
            </w:r>
            <w:proofErr w:type="spellEnd"/>
            <w:r w:rsidR="00DE2F1B" w:rsidRPr="00DF6C72">
              <w:rPr>
                <w:rFonts w:ascii="Times New Roman" w:eastAsia="Calibri" w:hAnsi="Times New Roman" w:cs="Times New Roman"/>
                <w:sz w:val="20"/>
                <w:szCs w:val="20"/>
                <w:lang w:eastAsia="sk-SK"/>
              </w:rPr>
              <w:t xml:space="preserve"> férovo krátená, t</w:t>
            </w:r>
            <w:r w:rsidR="00CD40D0" w:rsidRPr="00DF6C72">
              <w:rPr>
                <w:rFonts w:ascii="Times New Roman" w:eastAsia="Calibri" w:hAnsi="Times New Roman" w:cs="Times New Roman"/>
                <w:sz w:val="20"/>
                <w:szCs w:val="20"/>
                <w:lang w:eastAsia="sk-SK"/>
              </w:rPr>
              <w:t>.</w:t>
            </w:r>
            <w:r w:rsidR="00DE2F1B" w:rsidRPr="00DF6C72">
              <w:rPr>
                <w:rFonts w:ascii="Times New Roman" w:eastAsia="Calibri" w:hAnsi="Times New Roman" w:cs="Times New Roman"/>
                <w:sz w:val="20"/>
                <w:szCs w:val="20"/>
                <w:lang w:eastAsia="sk-SK"/>
              </w:rPr>
              <w:t xml:space="preserve"> </w:t>
            </w:r>
            <w:r w:rsidR="00CD40D0" w:rsidRPr="00DF6C72">
              <w:rPr>
                <w:rFonts w:ascii="Times New Roman" w:eastAsia="Calibri" w:hAnsi="Times New Roman" w:cs="Times New Roman"/>
                <w:sz w:val="20"/>
                <w:szCs w:val="20"/>
                <w:lang w:eastAsia="sk-SK"/>
              </w:rPr>
              <w:t xml:space="preserve">j. z pohľadu celkovej </w:t>
            </w:r>
            <w:r w:rsidR="00180A80" w:rsidRPr="00DF6C72">
              <w:rPr>
                <w:rFonts w:ascii="Times New Roman" w:eastAsia="Calibri" w:hAnsi="Times New Roman" w:cs="Times New Roman"/>
                <w:sz w:val="20"/>
                <w:szCs w:val="20"/>
                <w:lang w:eastAsia="sk-SK"/>
              </w:rPr>
              <w:t>reálnej vyplatenej sumy dôchodkov</w:t>
            </w:r>
            <w:r w:rsidR="00CD40D0" w:rsidRPr="00DF6C72">
              <w:rPr>
                <w:rFonts w:ascii="Times New Roman" w:eastAsia="Calibri" w:hAnsi="Times New Roman" w:cs="Times New Roman"/>
                <w:sz w:val="20"/>
                <w:szCs w:val="20"/>
                <w:lang w:eastAsia="sk-SK"/>
              </w:rPr>
              <w:t xml:space="preserve"> si poistenci neprilepšia ani nepohoršia.</w:t>
            </w:r>
            <w:r w:rsidR="003F1D59">
              <w:rPr>
                <w:rFonts w:ascii="Times New Roman" w:eastAsia="Calibri" w:hAnsi="Times New Roman" w:cs="Times New Roman"/>
                <w:sz w:val="20"/>
                <w:szCs w:val="20"/>
                <w:lang w:eastAsia="sk-SK"/>
              </w:rPr>
              <w:t xml:space="preserve"> Negatívny vplyv na prístup k predčasnému starobnému dôchodku má úprava podmienky nároku na predčasný starobný dôchodok, t. j. </w:t>
            </w:r>
            <w:r w:rsidR="003F1D59" w:rsidRPr="00F56ABE">
              <w:rPr>
                <w:rFonts w:ascii="Times New Roman" w:hAnsi="Times New Roman" w:cs="Times New Roman"/>
                <w:sz w:val="20"/>
              </w:rPr>
              <w:t>aby nárok na predčasný starobný dôchodok vznikol iba tomu poistencovi, ktorého suma predčasného starobného dôchodku bola ku dňu, od ktorého si žiada o jeho priznanie minimálne na úrovni sumy minimálneho dôchodku, ktorá poistencovi patrí za dĺžku kvalifikovaného obdobia dôchodkového poistenia.</w:t>
            </w:r>
          </w:p>
          <w:p w:rsidR="00021958" w:rsidRPr="00DF6C72" w:rsidRDefault="00021958" w:rsidP="00021958">
            <w:pPr>
              <w:spacing w:after="0" w:line="240" w:lineRule="auto"/>
              <w:contextualSpacing/>
              <w:jc w:val="both"/>
              <w:rPr>
                <w:rFonts w:ascii="Times New Roman" w:eastAsia="Calibri" w:hAnsi="Times New Roman" w:cs="Times New Roman"/>
                <w:sz w:val="20"/>
                <w:szCs w:val="20"/>
                <w:lang w:eastAsia="sk-SK"/>
              </w:rPr>
            </w:pPr>
          </w:p>
          <w:p w:rsidR="00021958" w:rsidRPr="00DF6C72" w:rsidRDefault="00021958" w:rsidP="00021958">
            <w:pPr>
              <w:spacing w:after="0" w:line="240" w:lineRule="auto"/>
              <w:contextualSpacing/>
              <w:jc w:val="both"/>
              <w:rPr>
                <w:rFonts w:ascii="Times New Roman" w:eastAsia="Calibri" w:hAnsi="Times New Roman" w:cs="Times New Roman"/>
                <w:szCs w:val="20"/>
                <w:lang w:eastAsia="sk-SK"/>
              </w:rPr>
            </w:pPr>
            <w:r w:rsidRPr="00DF6C72">
              <w:rPr>
                <w:rFonts w:ascii="Times New Roman" w:eastAsia="Calibri" w:hAnsi="Times New Roman" w:cs="Times New Roman"/>
                <w:sz w:val="20"/>
                <w:szCs w:val="20"/>
                <w:lang w:eastAsia="sk-SK"/>
              </w:rPr>
              <w:t>Obnovenie väzby dôchodkového veku na rast strednej dĺžky života má negatívny vplyv na prístup k právam poistencov, nakoľko osoby odchádzajúce do starobného dôchodku získajú nárok na starobný dôchodok vo vyššom veku, čo bude znamenať nižší počet vyplatených súm dôchodkov. Obnovenie väzby dôchodkového veku na rast strednej dĺžky života, bude mať pozitívny vplyv na sumu novopriznaného starobného dôchodku, nakoľko vplyvom dlhšieho obdobia dôchodkového poistenia, získajú poistenci nárok na vyššiu sumu novopriznaného starobného dôchodku.</w:t>
            </w:r>
            <w:r w:rsidR="000B52AF" w:rsidRPr="00DF6C72">
              <w:rPr>
                <w:rFonts w:ascii="Times New Roman" w:eastAsia="Calibri" w:hAnsi="Times New Roman" w:cs="Times New Roman"/>
                <w:sz w:val="20"/>
                <w:szCs w:val="20"/>
                <w:lang w:eastAsia="sk-SK"/>
              </w:rPr>
              <w:t xml:space="preserve"> Priemerné zvýšenie miery náhrady novopriznaných dôchodkov predstavuje na konci prognózy v roku 2070 približne 6,1 p. b., čo predstavuje zvýšenie o 11,</w:t>
            </w:r>
            <w:r w:rsidR="001B6057">
              <w:rPr>
                <w:rFonts w:ascii="Times New Roman" w:eastAsia="Calibri" w:hAnsi="Times New Roman" w:cs="Times New Roman"/>
                <w:sz w:val="20"/>
                <w:szCs w:val="20"/>
                <w:lang w:eastAsia="sk-SK"/>
              </w:rPr>
              <w:t>8</w:t>
            </w:r>
            <w:r w:rsidR="000B52AF" w:rsidRPr="00DF6C72">
              <w:rPr>
                <w:rFonts w:ascii="Times New Roman" w:eastAsia="Calibri" w:hAnsi="Times New Roman" w:cs="Times New Roman"/>
                <w:sz w:val="20"/>
                <w:szCs w:val="20"/>
                <w:lang w:eastAsia="sk-SK"/>
              </w:rPr>
              <w:t xml:space="preserve"> %.</w:t>
            </w:r>
            <w:r w:rsidRPr="00DF6C72">
              <w:rPr>
                <w:rFonts w:ascii="Times New Roman" w:eastAsia="Calibri" w:hAnsi="Times New Roman" w:cs="Times New Roman"/>
                <w:sz w:val="20"/>
                <w:szCs w:val="20"/>
                <w:lang w:eastAsia="sk-SK"/>
              </w:rPr>
              <w:t xml:space="preserve"> Uvedené opatrenie sa vzťahuje na osoby narodené v roku 1967 a neskôr, ktoré budú odchádzať do dôchodku v rokoch 2029 až 2031 v závislosti od počtu vychovaných detí. </w:t>
            </w:r>
            <w:r w:rsidR="00721A7C" w:rsidRPr="00DF6C72">
              <w:rPr>
                <w:rFonts w:ascii="Times New Roman" w:eastAsia="Calibri" w:hAnsi="Times New Roman" w:cs="Times New Roman"/>
                <w:sz w:val="20"/>
                <w:szCs w:val="20"/>
                <w:lang w:eastAsia="sk-SK"/>
              </w:rPr>
              <w:t>Negatívny vplyv tohto opatrenia</w:t>
            </w:r>
            <w:r w:rsidR="00E45E60" w:rsidRPr="00DF6C72">
              <w:rPr>
                <w:rFonts w:ascii="Times New Roman" w:eastAsia="Calibri" w:hAnsi="Times New Roman" w:cs="Times New Roman"/>
                <w:sz w:val="20"/>
                <w:szCs w:val="20"/>
                <w:lang w:eastAsia="sk-SK"/>
              </w:rPr>
              <w:t xml:space="preserve"> (zvýšenie veku pre nárok na starobný dôchodok) bude zároveň</w:t>
            </w:r>
            <w:r w:rsidR="00721A7C" w:rsidRPr="00DF6C72">
              <w:rPr>
                <w:rFonts w:ascii="Times New Roman" w:eastAsia="Calibri" w:hAnsi="Times New Roman" w:cs="Times New Roman"/>
                <w:sz w:val="20"/>
                <w:szCs w:val="20"/>
                <w:lang w:eastAsia="sk-SK"/>
              </w:rPr>
              <w:t xml:space="preserve"> kompenzovaný možnosťou odchodu do dôchodku za 40 odpracovaných rokov, čo možno vnímať ako zavedenie „individuálneho dôchodkového veku“.</w:t>
            </w:r>
            <w:r w:rsidR="00721A7C" w:rsidRPr="00DF6C72">
              <w:rPr>
                <w:rFonts w:ascii="Times New Roman" w:eastAsia="Calibri" w:hAnsi="Times New Roman" w:cs="Times New Roman"/>
                <w:szCs w:val="20"/>
                <w:lang w:eastAsia="sk-SK"/>
              </w:rPr>
              <w:t xml:space="preserve"> </w:t>
            </w:r>
          </w:p>
        </w:tc>
      </w:tr>
      <w:tr w:rsidR="00CD40D0" w:rsidRPr="00DF6C72" w:rsidTr="00CD40D0">
        <w:trPr>
          <w:jc w:val="center"/>
        </w:trPr>
        <w:tc>
          <w:tcPr>
            <w:tcW w:w="180" w:type="pct"/>
            <w:tcBorders>
              <w:bottom w:val="single" w:sz="4" w:space="0" w:color="auto"/>
            </w:tcBorders>
            <w:shd w:val="clear" w:color="auto" w:fill="F2F2F2"/>
            <w:vAlign w:val="center"/>
          </w:tcPr>
          <w:p w:rsidR="00CD40D0" w:rsidRPr="00DF6C72" w:rsidRDefault="00CD40D0" w:rsidP="00CD40D0">
            <w:pPr>
              <w:spacing w:after="0" w:line="240" w:lineRule="auto"/>
              <w:rPr>
                <w:rFonts w:ascii="Times New Roman" w:eastAsia="Calibri" w:hAnsi="Times New Roman" w:cs="Times New Roman"/>
                <w:i/>
                <w:sz w:val="18"/>
                <w:lang w:eastAsia="sk-SK"/>
              </w:rPr>
            </w:pPr>
            <w:r w:rsidRPr="00DF6C72">
              <w:rPr>
                <w:rFonts w:ascii="Times New Roman" w:eastAsia="Calibri" w:hAnsi="Times New Roman" w:cs="Times New Roman"/>
                <w:i/>
                <w:sz w:val="18"/>
                <w:lang w:eastAsia="sk-SK"/>
              </w:rPr>
              <w:t>b)</w:t>
            </w:r>
          </w:p>
        </w:tc>
        <w:tc>
          <w:tcPr>
            <w:tcW w:w="4820" w:type="pct"/>
            <w:gridSpan w:val="3"/>
            <w:tcBorders>
              <w:bottom w:val="single" w:sz="4" w:space="0" w:color="auto"/>
            </w:tcBorders>
            <w:shd w:val="clear" w:color="auto" w:fill="F2F2F2"/>
          </w:tcPr>
          <w:p w:rsidR="00CD40D0" w:rsidRPr="00DF6C72" w:rsidRDefault="00CD40D0" w:rsidP="00CD40D0">
            <w:pPr>
              <w:spacing w:after="0" w:line="240" w:lineRule="auto"/>
              <w:jc w:val="both"/>
              <w:rPr>
                <w:rFonts w:ascii="Times New Roman" w:eastAsia="Calibri" w:hAnsi="Times New Roman" w:cs="Times New Roman"/>
                <w:i/>
                <w:sz w:val="20"/>
                <w:szCs w:val="20"/>
                <w:lang w:eastAsia="sk-SK"/>
              </w:rPr>
            </w:pPr>
            <w:r w:rsidRPr="00DF6C72">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CD40D0" w:rsidRPr="00DF6C72" w:rsidRDefault="00CD40D0" w:rsidP="00CD40D0">
            <w:pPr>
              <w:spacing w:after="0" w:line="240" w:lineRule="auto"/>
              <w:jc w:val="both"/>
              <w:rPr>
                <w:rFonts w:ascii="Calibri" w:eastAsia="Calibri" w:hAnsi="Calibri" w:cs="Times New Roman"/>
                <w:i/>
                <w:lang w:eastAsia="sk-SK"/>
              </w:rPr>
            </w:pPr>
            <w:r w:rsidRPr="00DF6C72">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DF6C72">
              <w:rPr>
                <w:rFonts w:ascii="Times New Roman" w:eastAsia="Calibri" w:hAnsi="Times New Roman" w:cs="Times New Roman"/>
                <w:i/>
                <w:sz w:val="20"/>
                <w:szCs w:val="20"/>
                <w:lang w:eastAsia="sk-SK"/>
              </w:rPr>
              <w:t>ne</w:t>
            </w:r>
            <w:proofErr w:type="spellEnd"/>
            <w:r w:rsidRPr="00DF6C72">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CD40D0" w:rsidRPr="00DF6C72" w:rsidTr="000B52AF">
        <w:tblPrEx>
          <w:tblBorders>
            <w:top w:val="none" w:sz="0" w:space="0" w:color="auto"/>
          </w:tblBorders>
        </w:tblPrEx>
        <w:trPr>
          <w:trHeight w:val="677"/>
          <w:jc w:val="center"/>
        </w:trPr>
        <w:tc>
          <w:tcPr>
            <w:tcW w:w="180" w:type="pct"/>
            <w:shd w:val="clear" w:color="auto" w:fill="auto"/>
            <w:vAlign w:val="center"/>
          </w:tcPr>
          <w:p w:rsidR="00CD40D0" w:rsidRPr="00DF6C72" w:rsidRDefault="00CD40D0" w:rsidP="00CD40D0">
            <w:pPr>
              <w:spacing w:after="0" w:line="240" w:lineRule="auto"/>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c)</w:t>
            </w:r>
          </w:p>
        </w:tc>
        <w:tc>
          <w:tcPr>
            <w:tcW w:w="1849" w:type="pct"/>
            <w:shd w:val="clear" w:color="auto" w:fill="auto"/>
          </w:tcPr>
          <w:p w:rsidR="00CD40D0" w:rsidRPr="00DF6C72" w:rsidRDefault="00CD40D0" w:rsidP="00CD40D0">
            <w:pPr>
              <w:spacing w:after="0" w:line="240" w:lineRule="auto"/>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Zraniteľné skupiny alebo skupiny v riziku chudoby alebo sociálneho vylúčenia sú napr.:</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nezamestnaní, najmä dlhodobo nezamestnaní, mladí nezamestnaní a nezamestnaní nad 50 rokov,</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deti (0 – 17),</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mladí ľudia (18 – 25 rokov),</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starší ľudia, napr. ľudia vo veku nad 65 rokov alebo dôchodcovia,</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lastRenderedPageBreak/>
              <w:t>ľudia so zdravotným postihnutím,</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 xml:space="preserve">marginalizované rómske komunity </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domácnosti s 3 a viac deťmi,</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jednorodičovské domácnosti s deťmi (neúplné rodiny, ktoré tvoria najmä osamelé matky s deťmi),</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príslušníci tretích krajín, azylanti, žiadatelia o azyl,</w:t>
            </w:r>
          </w:p>
          <w:p w:rsidR="00CD40D0" w:rsidRPr="00DF6C72" w:rsidRDefault="00CD40D0" w:rsidP="00CD40D0">
            <w:pPr>
              <w:numPr>
                <w:ilvl w:val="0"/>
                <w:numId w:val="9"/>
              </w:numPr>
              <w:spacing w:after="0" w:line="240" w:lineRule="auto"/>
              <w:ind w:left="170" w:hanging="170"/>
              <w:jc w:val="both"/>
              <w:rPr>
                <w:rFonts w:ascii="Times New Roman" w:eastAsia="Calibri" w:hAnsi="Times New Roman" w:cs="Times New Roman"/>
                <w:sz w:val="20"/>
                <w:lang w:eastAsia="sk-SK"/>
              </w:rPr>
            </w:pPr>
            <w:r w:rsidRPr="00DF6C72">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vAlign w:val="center"/>
          </w:tcPr>
          <w:p w:rsidR="00CD40D0" w:rsidRPr="00DF6C72" w:rsidRDefault="000B52AF" w:rsidP="000B52AF">
            <w:pPr>
              <w:spacing w:after="0" w:line="240" w:lineRule="auto"/>
              <w:jc w:val="center"/>
              <w:rPr>
                <w:rFonts w:ascii="Times New Roman" w:eastAsia="Calibri" w:hAnsi="Times New Roman" w:cs="Times New Roman"/>
                <w:sz w:val="20"/>
                <w:lang w:eastAsia="sk-SK"/>
              </w:rPr>
            </w:pPr>
            <w:r w:rsidRPr="00DF6C72">
              <w:rPr>
                <w:rFonts w:ascii="Times New Roman" w:eastAsia="Calibri" w:hAnsi="Times New Roman" w:cs="Times New Roman"/>
                <w:sz w:val="20"/>
                <w:lang w:eastAsia="sk-SK"/>
              </w:rPr>
              <w:lastRenderedPageBreak/>
              <w:t>Bez vplyvu</w:t>
            </w:r>
          </w:p>
        </w:tc>
      </w:tr>
    </w:tbl>
    <w:p w:rsidR="002644DE" w:rsidRPr="00DF6C72" w:rsidRDefault="002644DE" w:rsidP="002644DE">
      <w:pPr>
        <w:sectPr w:rsidR="002644DE" w:rsidRPr="00DF6C72" w:rsidSect="005A405C">
          <w:headerReference w:type="default" r:id="rId9"/>
          <w:footerReference w:type="default" r:id="rId10"/>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DF6C72" w:rsidTr="005A405C">
        <w:trPr>
          <w:jc w:val="center"/>
        </w:trPr>
        <w:tc>
          <w:tcPr>
            <w:tcW w:w="5000" w:type="pct"/>
            <w:gridSpan w:val="3"/>
            <w:shd w:val="clear" w:color="auto" w:fill="D9D9D9"/>
          </w:tcPr>
          <w:p w:rsidR="002644DE" w:rsidRPr="00DF6C72" w:rsidRDefault="002644DE" w:rsidP="002644DE">
            <w:pPr>
              <w:spacing w:after="0" w:line="240" w:lineRule="auto"/>
              <w:rPr>
                <w:rFonts w:ascii="Times New Roman" w:eastAsia="Calibri" w:hAnsi="Times New Roman" w:cs="Times New Roman"/>
                <w:b/>
                <w:sz w:val="24"/>
                <w:szCs w:val="24"/>
              </w:rPr>
            </w:pPr>
            <w:r w:rsidRPr="00DF6C72">
              <w:rPr>
                <w:rFonts w:ascii="Times New Roman" w:eastAsia="Calibri" w:hAnsi="Times New Roman" w:cs="Times New Roman"/>
                <w:b/>
                <w:sz w:val="24"/>
                <w:szCs w:val="24"/>
              </w:rPr>
              <w:lastRenderedPageBreak/>
              <w:t>4.3 Identifikujte a popíšte vplyv na rovnosť príležitostí.</w:t>
            </w:r>
          </w:p>
          <w:p w:rsidR="002644DE" w:rsidRPr="00DF6C72" w:rsidRDefault="002644DE" w:rsidP="002644DE">
            <w:pPr>
              <w:spacing w:after="0" w:line="240" w:lineRule="auto"/>
              <w:ind w:left="340"/>
              <w:jc w:val="both"/>
              <w:rPr>
                <w:rFonts w:ascii="Calibri" w:eastAsia="Calibri" w:hAnsi="Calibri" w:cs="Times New Roman"/>
                <w:sz w:val="24"/>
                <w:szCs w:val="24"/>
              </w:rPr>
            </w:pPr>
            <w:r w:rsidRPr="00DF6C72">
              <w:rPr>
                <w:rFonts w:ascii="Times New Roman" w:eastAsia="Calibri" w:hAnsi="Times New Roman" w:cs="Times New Roman"/>
                <w:b/>
                <w:sz w:val="24"/>
                <w:szCs w:val="24"/>
              </w:rPr>
              <w:t>Identifikujte, popíšte a kvantifikujte vplyv na rovnosť žien a mužov.</w:t>
            </w:r>
          </w:p>
        </w:tc>
      </w:tr>
      <w:tr w:rsidR="002644DE" w:rsidRPr="00DF6C72" w:rsidTr="005A405C">
        <w:trPr>
          <w:jc w:val="center"/>
        </w:trPr>
        <w:tc>
          <w:tcPr>
            <w:tcW w:w="132" w:type="pct"/>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24"/>
                <w:szCs w:val="24"/>
              </w:rPr>
            </w:pPr>
            <w:r w:rsidRPr="00DF6C72">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DF6C72" w:rsidRDefault="002644DE" w:rsidP="002644DE">
            <w:pPr>
              <w:spacing w:after="0" w:line="240" w:lineRule="auto"/>
              <w:jc w:val="both"/>
              <w:rPr>
                <w:rFonts w:ascii="Times New Roman" w:eastAsia="Calibri" w:hAnsi="Times New Roman" w:cs="Times New Roman"/>
                <w:i/>
                <w:sz w:val="24"/>
                <w:szCs w:val="24"/>
              </w:rPr>
            </w:pPr>
            <w:r w:rsidRPr="00DF6C72">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DF6C72" w:rsidTr="000A6E10">
        <w:trPr>
          <w:trHeight w:val="928"/>
          <w:jc w:val="center"/>
        </w:trPr>
        <w:tc>
          <w:tcPr>
            <w:tcW w:w="132" w:type="pct"/>
            <w:tcBorders>
              <w:top w:val="nil"/>
              <w:bottom w:val="nil"/>
            </w:tcBorders>
            <w:shd w:val="clear" w:color="auto" w:fill="auto"/>
          </w:tcPr>
          <w:p w:rsidR="002644DE" w:rsidRPr="00DF6C72" w:rsidRDefault="002644DE" w:rsidP="002644DE">
            <w:pPr>
              <w:spacing w:after="0" w:line="240" w:lineRule="auto"/>
              <w:rPr>
                <w:rFonts w:ascii="Times New Roman" w:eastAsia="Calibri" w:hAnsi="Times New Roman" w:cs="Times New Roman"/>
                <w:sz w:val="20"/>
              </w:rPr>
            </w:pPr>
          </w:p>
          <w:p w:rsidR="002644DE" w:rsidRPr="00DF6C72" w:rsidRDefault="002644DE" w:rsidP="002644DE">
            <w:pPr>
              <w:spacing w:after="0" w:line="240" w:lineRule="auto"/>
              <w:rPr>
                <w:rFonts w:ascii="Times New Roman" w:eastAsia="Calibri" w:hAnsi="Times New Roman" w:cs="Times New Roman"/>
                <w:i/>
                <w:sz w:val="20"/>
              </w:rPr>
            </w:pPr>
          </w:p>
          <w:p w:rsidR="002644DE" w:rsidRPr="00DF6C72" w:rsidRDefault="002644DE" w:rsidP="002644DE">
            <w:pPr>
              <w:spacing w:after="0" w:line="240" w:lineRule="auto"/>
              <w:rPr>
                <w:rFonts w:ascii="Times New Roman" w:eastAsia="Calibri" w:hAnsi="Times New Roman" w:cs="Times New Roman"/>
                <w:i/>
                <w:sz w:val="20"/>
              </w:rPr>
            </w:pPr>
          </w:p>
          <w:p w:rsidR="002644DE" w:rsidRPr="00DF6C72" w:rsidRDefault="002644DE" w:rsidP="002644DE">
            <w:pPr>
              <w:spacing w:after="0" w:line="240" w:lineRule="auto"/>
              <w:rPr>
                <w:rFonts w:ascii="Times New Roman" w:eastAsia="Calibri" w:hAnsi="Times New Roman" w:cs="Times New Roman"/>
                <w:i/>
                <w:sz w:val="18"/>
              </w:rPr>
            </w:pPr>
            <w:r w:rsidRPr="00DF6C72">
              <w:rPr>
                <w:rFonts w:ascii="Times New Roman" w:eastAsia="Calibri" w:hAnsi="Times New Roman" w:cs="Times New Roman"/>
                <w:i/>
                <w:sz w:val="18"/>
              </w:rPr>
              <w:t>b)</w:t>
            </w:r>
          </w:p>
          <w:p w:rsidR="002644DE" w:rsidRPr="00DF6C72" w:rsidRDefault="002644DE" w:rsidP="002644DE">
            <w:pPr>
              <w:spacing w:after="0" w:line="240" w:lineRule="auto"/>
              <w:rPr>
                <w:rFonts w:ascii="Times New Roman" w:eastAsia="Calibri" w:hAnsi="Times New Roman" w:cs="Times New Roman"/>
                <w:i/>
                <w:sz w:val="20"/>
              </w:rPr>
            </w:pPr>
          </w:p>
          <w:p w:rsidR="002644DE" w:rsidRPr="00DF6C72" w:rsidRDefault="002644DE" w:rsidP="002644DE">
            <w:pPr>
              <w:spacing w:after="0" w:line="240" w:lineRule="auto"/>
              <w:rPr>
                <w:rFonts w:ascii="Times New Roman" w:eastAsia="Calibri" w:hAnsi="Times New Roman" w:cs="Times New Roman"/>
                <w:i/>
                <w:sz w:val="20"/>
              </w:rPr>
            </w:pPr>
          </w:p>
          <w:p w:rsidR="002644DE" w:rsidRPr="00DF6C72"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vAlign w:val="center"/>
          </w:tcPr>
          <w:p w:rsidR="002644DE" w:rsidRPr="00DF6C72" w:rsidRDefault="002644DE" w:rsidP="002644DE">
            <w:pPr>
              <w:rPr>
                <w:rFonts w:ascii="Times New Roman" w:eastAsia="Calibri" w:hAnsi="Times New Roman" w:cs="Times New Roman"/>
                <w:i/>
                <w:sz w:val="20"/>
              </w:rPr>
            </w:pPr>
          </w:p>
          <w:p w:rsidR="002644DE" w:rsidRPr="00DF6C72" w:rsidRDefault="000B52AF" w:rsidP="006D63B0">
            <w:pPr>
              <w:spacing w:after="0" w:line="240" w:lineRule="auto"/>
              <w:jc w:val="center"/>
              <w:rPr>
                <w:rFonts w:ascii="Times New Roman" w:eastAsia="Calibri" w:hAnsi="Times New Roman" w:cs="Times New Roman"/>
                <w:i/>
                <w:sz w:val="20"/>
              </w:rPr>
            </w:pPr>
            <w:r w:rsidRPr="00DF6C72">
              <w:rPr>
                <w:rFonts w:ascii="Times New Roman" w:eastAsia="Calibri" w:hAnsi="Times New Roman" w:cs="Times New Roman"/>
                <w:sz w:val="20"/>
                <w:lang w:eastAsia="sk-SK"/>
              </w:rPr>
              <w:t>Bez vplyvu</w:t>
            </w:r>
          </w:p>
        </w:tc>
      </w:tr>
      <w:tr w:rsidR="002644DE" w:rsidRPr="00DF6C72" w:rsidTr="005A405C">
        <w:trPr>
          <w:trHeight w:val="345"/>
          <w:jc w:val="center"/>
        </w:trPr>
        <w:tc>
          <w:tcPr>
            <w:tcW w:w="132" w:type="pct"/>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20"/>
                <w:szCs w:val="20"/>
              </w:rPr>
            </w:pPr>
            <w:r w:rsidRPr="00DF6C72">
              <w:rPr>
                <w:rFonts w:ascii="Times New Roman" w:eastAsia="Calibri" w:hAnsi="Times New Roman" w:cs="Times New Roman"/>
                <w:i/>
                <w:sz w:val="20"/>
                <w:szCs w:val="20"/>
              </w:rPr>
              <w:t xml:space="preserve">4.3.2 Môže návrh viesť k zväčšovaniu nerovností medzi ženami a mužmi? </w:t>
            </w:r>
            <w:r w:rsidRPr="00DF6C72">
              <w:rPr>
                <w:rFonts w:ascii="Times New Roman" w:eastAsia="Calibri" w:hAnsi="Times New Roman" w:cs="Times New Roman"/>
                <w:i/>
                <w:sz w:val="20"/>
                <w:szCs w:val="24"/>
              </w:rPr>
              <w:t xml:space="preserve">Podporuje návrh rovnosť príležitostí? </w:t>
            </w:r>
            <w:r w:rsidRPr="00DF6C72">
              <w:rPr>
                <w:rFonts w:ascii="Times New Roman" w:eastAsia="Calibri" w:hAnsi="Times New Roman" w:cs="Times New Roman"/>
                <w:i/>
                <w:sz w:val="20"/>
                <w:szCs w:val="20"/>
              </w:rPr>
              <w:t>Má návrh odlišný vplyv na ženy a mužov? Popíšte vplyvy.</w:t>
            </w:r>
          </w:p>
        </w:tc>
      </w:tr>
      <w:tr w:rsidR="002644DE" w:rsidRPr="00DF6C72" w:rsidTr="000A6E10">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DF6C72" w:rsidRDefault="002644DE" w:rsidP="002644DE">
            <w:pPr>
              <w:spacing w:after="0" w:line="240" w:lineRule="auto"/>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d)</w:t>
            </w:r>
          </w:p>
        </w:tc>
        <w:tc>
          <w:tcPr>
            <w:tcW w:w="1880" w:type="pct"/>
            <w:shd w:val="clear" w:color="auto" w:fill="auto"/>
          </w:tcPr>
          <w:p w:rsidR="002644DE" w:rsidRPr="00DF6C72" w:rsidRDefault="002644DE" w:rsidP="002644DE">
            <w:pPr>
              <w:spacing w:after="0" w:line="240" w:lineRule="auto"/>
              <w:jc w:val="both"/>
              <w:rPr>
                <w:rFonts w:ascii="Times New Roman" w:eastAsia="Calibri" w:hAnsi="Times New Roman" w:cs="Times New Roman"/>
                <w:i/>
                <w:sz w:val="18"/>
                <w:szCs w:val="18"/>
              </w:rPr>
            </w:pPr>
            <w:r w:rsidRPr="00DF6C72">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vAlign w:val="center"/>
          </w:tcPr>
          <w:p w:rsidR="002644DE" w:rsidRPr="00DF6C72" w:rsidRDefault="000B52AF" w:rsidP="000A6E10">
            <w:pPr>
              <w:spacing w:after="0" w:line="240" w:lineRule="auto"/>
              <w:jc w:val="center"/>
              <w:rPr>
                <w:rFonts w:ascii="Times New Roman" w:eastAsia="Calibri" w:hAnsi="Times New Roman" w:cs="Times New Roman"/>
                <w:sz w:val="20"/>
              </w:rPr>
            </w:pPr>
            <w:r w:rsidRPr="00DF6C72">
              <w:rPr>
                <w:rFonts w:ascii="Times New Roman" w:eastAsia="Calibri" w:hAnsi="Times New Roman" w:cs="Times New Roman"/>
                <w:sz w:val="20"/>
                <w:lang w:eastAsia="sk-SK"/>
              </w:rPr>
              <w:t>Bez vplyvu</w:t>
            </w:r>
          </w:p>
        </w:tc>
      </w:tr>
      <w:tr w:rsidR="002644DE" w:rsidRPr="00DF6C72" w:rsidTr="000A6E10">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e)</w:t>
            </w:r>
          </w:p>
        </w:tc>
        <w:tc>
          <w:tcPr>
            <w:tcW w:w="1880" w:type="pct"/>
            <w:shd w:val="clear" w:color="auto" w:fill="auto"/>
          </w:tcPr>
          <w:p w:rsidR="002644DE" w:rsidRPr="00DF6C72" w:rsidRDefault="002644DE" w:rsidP="002644DE">
            <w:pPr>
              <w:spacing w:after="0" w:line="240" w:lineRule="auto"/>
              <w:jc w:val="both"/>
              <w:rPr>
                <w:rFonts w:ascii="Times New Roman" w:eastAsia="Calibri" w:hAnsi="Times New Roman" w:cs="Times New Roman"/>
                <w:i/>
                <w:sz w:val="18"/>
                <w:szCs w:val="18"/>
              </w:rPr>
            </w:pPr>
            <w:r w:rsidRPr="00DF6C72">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vAlign w:val="center"/>
          </w:tcPr>
          <w:p w:rsidR="002644DE" w:rsidRPr="00DF6C72" w:rsidRDefault="000B52AF" w:rsidP="000A6E10">
            <w:pPr>
              <w:spacing w:after="0" w:line="240" w:lineRule="auto"/>
              <w:jc w:val="center"/>
              <w:rPr>
                <w:rFonts w:ascii="Times New Roman" w:eastAsia="Calibri" w:hAnsi="Times New Roman" w:cs="Times New Roman"/>
                <w:i/>
                <w:sz w:val="18"/>
                <w:szCs w:val="18"/>
              </w:rPr>
            </w:pPr>
            <w:r w:rsidRPr="00DF6C72">
              <w:rPr>
                <w:rFonts w:ascii="Times New Roman" w:eastAsia="Calibri" w:hAnsi="Times New Roman" w:cs="Times New Roman"/>
                <w:sz w:val="20"/>
                <w:lang w:eastAsia="sk-SK"/>
              </w:rPr>
              <w:t>Bez vplyvu</w:t>
            </w:r>
          </w:p>
        </w:tc>
      </w:tr>
      <w:tr w:rsidR="002644DE" w:rsidRPr="00DF6C72" w:rsidTr="000A6E10">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DF6C72" w:rsidRDefault="002644DE" w:rsidP="002644DE">
            <w:pPr>
              <w:spacing w:after="0" w:line="240" w:lineRule="auto"/>
              <w:jc w:val="both"/>
              <w:rPr>
                <w:rFonts w:ascii="Times New Roman" w:eastAsia="Calibri" w:hAnsi="Times New Roman" w:cs="Times New Roman"/>
                <w:i/>
                <w:sz w:val="18"/>
                <w:szCs w:val="18"/>
              </w:rPr>
            </w:pPr>
            <w:r w:rsidRPr="00DF6C72">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vAlign w:val="center"/>
          </w:tcPr>
          <w:p w:rsidR="002644DE" w:rsidRPr="00DF6C72" w:rsidRDefault="000B52AF" w:rsidP="000A6E10">
            <w:pPr>
              <w:spacing w:after="0" w:line="240" w:lineRule="auto"/>
              <w:jc w:val="center"/>
              <w:rPr>
                <w:rFonts w:ascii="Times New Roman" w:eastAsia="Calibri" w:hAnsi="Times New Roman" w:cs="Times New Roman"/>
                <w:i/>
                <w:sz w:val="18"/>
                <w:szCs w:val="18"/>
              </w:rPr>
            </w:pPr>
            <w:r w:rsidRPr="00DF6C72">
              <w:rPr>
                <w:rFonts w:ascii="Times New Roman" w:eastAsia="Calibri" w:hAnsi="Times New Roman" w:cs="Times New Roman"/>
                <w:sz w:val="20"/>
                <w:lang w:eastAsia="sk-SK"/>
              </w:rPr>
              <w:t>Bez vplyvu</w:t>
            </w:r>
          </w:p>
        </w:tc>
      </w:tr>
      <w:tr w:rsidR="002644DE" w:rsidRPr="00DF6C72" w:rsidTr="000A6E10">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DF6C72" w:rsidRDefault="002644DE" w:rsidP="002644DE">
            <w:pPr>
              <w:spacing w:after="0" w:line="240" w:lineRule="auto"/>
              <w:jc w:val="both"/>
              <w:rPr>
                <w:rFonts w:ascii="Times New Roman" w:eastAsia="Calibri" w:hAnsi="Times New Roman" w:cs="Times New Roman"/>
                <w:i/>
                <w:sz w:val="18"/>
                <w:szCs w:val="18"/>
              </w:rPr>
            </w:pPr>
            <w:r w:rsidRPr="00DF6C72">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DF6C72" w:rsidRDefault="002644DE" w:rsidP="002644DE">
            <w:pPr>
              <w:spacing w:after="0" w:line="240" w:lineRule="auto"/>
              <w:jc w:val="both"/>
              <w:rPr>
                <w:rFonts w:ascii="Times New Roman" w:eastAsia="Times New Roman" w:hAnsi="Times New Roman" w:cs="Times New Roman"/>
                <w:color w:val="000000"/>
                <w:sz w:val="27"/>
                <w:szCs w:val="27"/>
              </w:rPr>
            </w:pPr>
            <w:r w:rsidRPr="00DF6C72">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DF6C72">
              <w:rPr>
                <w:rFonts w:ascii="Times New Roman" w:eastAsia="Times New Roman" w:hAnsi="Times New Roman" w:cs="Times New Roman"/>
                <w:i/>
                <w:iCs/>
                <w:color w:val="000000"/>
                <w:sz w:val="18"/>
                <w:szCs w:val="18"/>
              </w:rPr>
              <w:t>Medzi oblasti podpory rovnosti žien a mužov okrem iného patria:</w:t>
            </w:r>
          </w:p>
          <w:p w:rsidR="002644DE" w:rsidRPr="00DF6C72"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podpora slobodného výberu povolania a ekonomickej činnosti</w:t>
            </w:r>
          </w:p>
          <w:p w:rsidR="002644DE" w:rsidRPr="00DF6C72"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 xml:space="preserve">podpora vyrovnávania ekonomickej nezávislosti, </w:t>
            </w:r>
          </w:p>
          <w:p w:rsidR="002644DE" w:rsidRPr="00DF6C72"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 xml:space="preserve">zosúladenie pracovného, súkromného a rodinného života, </w:t>
            </w:r>
          </w:p>
          <w:p w:rsidR="002644DE" w:rsidRPr="00DF6C72"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 xml:space="preserve">podpora rovnosti príležitostí pri participácii na rozhodovaní, </w:t>
            </w:r>
          </w:p>
          <w:p w:rsidR="002644DE" w:rsidRPr="00DF6C72"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 xml:space="preserve">boj proti domácemu násiliu,  násiliu na ženách  a obchodovaniu s ľuďmi, </w:t>
            </w:r>
          </w:p>
          <w:p w:rsidR="002644DE" w:rsidRPr="00DF6C72"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DF6C72">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DF6C72"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DF6C72">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vAlign w:val="center"/>
          </w:tcPr>
          <w:p w:rsidR="002644DE" w:rsidRPr="00DF6C72" w:rsidRDefault="000B52AF" w:rsidP="000A6E10">
            <w:pPr>
              <w:spacing w:after="0" w:line="240" w:lineRule="auto"/>
              <w:jc w:val="center"/>
              <w:rPr>
                <w:rFonts w:ascii="Times New Roman" w:eastAsia="Calibri" w:hAnsi="Times New Roman" w:cs="Times New Roman"/>
                <w:sz w:val="20"/>
              </w:rPr>
            </w:pPr>
            <w:r w:rsidRPr="00DF6C72">
              <w:rPr>
                <w:rFonts w:ascii="Times New Roman" w:eastAsia="Calibri" w:hAnsi="Times New Roman" w:cs="Times New Roman"/>
                <w:sz w:val="20"/>
                <w:lang w:eastAsia="sk-SK"/>
              </w:rPr>
              <w:t>Bez vplyvu</w:t>
            </w:r>
          </w:p>
        </w:tc>
      </w:tr>
    </w:tbl>
    <w:p w:rsidR="002644DE" w:rsidRPr="00DF6C72" w:rsidRDefault="002644DE" w:rsidP="002644DE">
      <w:pPr>
        <w:spacing w:after="0" w:line="240" w:lineRule="auto"/>
        <w:rPr>
          <w:rFonts w:ascii="Times New Roman" w:eastAsia="Calibri" w:hAnsi="Times New Roman" w:cs="Times New Roman"/>
          <w:b/>
          <w:sz w:val="24"/>
          <w:lang w:eastAsia="sk-SK"/>
        </w:rPr>
        <w:sectPr w:rsidR="002644DE" w:rsidRPr="00DF6C72" w:rsidSect="005A405C">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DF6C72" w:rsidTr="005A405C">
        <w:trPr>
          <w:jc w:val="center"/>
        </w:trPr>
        <w:tc>
          <w:tcPr>
            <w:tcW w:w="5000" w:type="pct"/>
            <w:gridSpan w:val="3"/>
            <w:shd w:val="clear" w:color="auto" w:fill="D9D9D9"/>
          </w:tcPr>
          <w:p w:rsidR="002644DE" w:rsidRPr="00DF6C72" w:rsidRDefault="002644DE" w:rsidP="002644DE">
            <w:pPr>
              <w:spacing w:after="0" w:line="240" w:lineRule="auto"/>
              <w:rPr>
                <w:rFonts w:ascii="Times New Roman" w:eastAsia="Calibri" w:hAnsi="Times New Roman" w:cs="Times New Roman"/>
                <w:b/>
                <w:sz w:val="24"/>
                <w:lang w:eastAsia="sk-SK"/>
              </w:rPr>
            </w:pPr>
            <w:r w:rsidRPr="00DF6C72">
              <w:rPr>
                <w:rFonts w:ascii="Times New Roman" w:eastAsia="Calibri" w:hAnsi="Times New Roman" w:cs="Times New Roman"/>
                <w:b/>
                <w:sz w:val="24"/>
                <w:lang w:eastAsia="sk-SK"/>
              </w:rPr>
              <w:lastRenderedPageBreak/>
              <w:t>4.4 Identifikujte, popíšte a kvantifikujte vplyvy na zamestnanosť a na trh práce.</w:t>
            </w:r>
          </w:p>
          <w:p w:rsidR="002644DE" w:rsidRPr="00DF6C72" w:rsidRDefault="002644DE" w:rsidP="002644DE">
            <w:pPr>
              <w:spacing w:after="0" w:line="240" w:lineRule="auto"/>
              <w:jc w:val="both"/>
              <w:rPr>
                <w:rFonts w:ascii="Times New Roman" w:eastAsia="Calibri" w:hAnsi="Times New Roman" w:cs="Times New Roman"/>
                <w:i/>
                <w:lang w:eastAsia="sk-SK"/>
              </w:rPr>
            </w:pPr>
            <w:r w:rsidRPr="00DF6C72">
              <w:rPr>
                <w:rFonts w:ascii="Times New Roman" w:eastAsia="Calibri" w:hAnsi="Times New Roman" w:cs="Times New Roman"/>
                <w:i/>
                <w:lang w:eastAsia="sk-SK"/>
              </w:rPr>
              <w:t xml:space="preserve">V prípade kladnej odpovede pripojte </w:t>
            </w:r>
            <w:r w:rsidRPr="00DF6C72">
              <w:rPr>
                <w:rFonts w:ascii="Times New Roman" w:eastAsia="Calibri" w:hAnsi="Times New Roman" w:cs="Times New Roman"/>
                <w:b/>
                <w:i/>
                <w:lang w:eastAsia="sk-SK"/>
              </w:rPr>
              <w:t>odôvodnenie</w:t>
            </w:r>
            <w:r w:rsidRPr="00DF6C72">
              <w:rPr>
                <w:rFonts w:ascii="Times New Roman" w:eastAsia="Calibri" w:hAnsi="Times New Roman" w:cs="Times New Roman"/>
                <w:i/>
                <w:lang w:eastAsia="sk-SK"/>
              </w:rPr>
              <w:t xml:space="preserve"> v súlade s Metodickým postupom pre analýzu sociálnych vplyvov.</w:t>
            </w:r>
          </w:p>
        </w:tc>
      </w:tr>
      <w:tr w:rsidR="002644DE" w:rsidRPr="00DF6C72" w:rsidTr="005A405C">
        <w:trPr>
          <w:trHeight w:val="287"/>
          <w:jc w:val="center"/>
        </w:trPr>
        <w:tc>
          <w:tcPr>
            <w:tcW w:w="129" w:type="pct"/>
            <w:tcBorders>
              <w:top w:val="nil"/>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20"/>
                <w:szCs w:val="20"/>
              </w:rPr>
            </w:pPr>
            <w:r w:rsidRPr="00DF6C72">
              <w:rPr>
                <w:rFonts w:ascii="Times New Roman" w:eastAsia="Calibri" w:hAnsi="Times New Roman" w:cs="Times New Roman"/>
                <w:i/>
                <w:sz w:val="20"/>
                <w:szCs w:val="20"/>
              </w:rPr>
              <w:t>Uľahčuje návrh vznik nových pracovných miest? Ak áno, ako? Ak je to možné, doplňte kvantifikáciu.</w:t>
            </w:r>
          </w:p>
        </w:tc>
      </w:tr>
      <w:tr w:rsidR="002644DE" w:rsidRPr="00DF6C72" w:rsidTr="000A6E10">
        <w:trPr>
          <w:trHeight w:val="567"/>
          <w:jc w:val="center"/>
        </w:trPr>
        <w:tc>
          <w:tcPr>
            <w:tcW w:w="129" w:type="pct"/>
            <w:tcBorders>
              <w:top w:val="nil"/>
              <w:bottom w:val="single" w:sz="4" w:space="0" w:color="auto"/>
            </w:tcBorders>
            <w:shd w:val="clear" w:color="auto" w:fill="FFFFFF"/>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DF6C72" w:rsidRDefault="002644DE" w:rsidP="002644DE">
            <w:pPr>
              <w:spacing w:after="0" w:line="240" w:lineRule="auto"/>
              <w:jc w:val="both"/>
              <w:rPr>
                <w:rFonts w:ascii="Times New Roman" w:eastAsia="Calibri" w:hAnsi="Times New Roman" w:cs="Times New Roman"/>
                <w:i/>
                <w:sz w:val="18"/>
                <w:szCs w:val="18"/>
              </w:rPr>
            </w:pPr>
            <w:r w:rsidRPr="00DF6C72">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vAlign w:val="center"/>
          </w:tcPr>
          <w:p w:rsidR="002644DE" w:rsidRPr="00DF6C72" w:rsidRDefault="000B52AF" w:rsidP="000A6E10">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DF6C72" w:rsidTr="005A405C">
        <w:trPr>
          <w:trHeight w:val="270"/>
          <w:jc w:val="center"/>
        </w:trPr>
        <w:tc>
          <w:tcPr>
            <w:tcW w:w="129" w:type="pct"/>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20"/>
                <w:szCs w:val="20"/>
              </w:rPr>
            </w:pPr>
            <w:r w:rsidRPr="00DF6C72">
              <w:rPr>
                <w:rFonts w:ascii="Times New Roman" w:eastAsia="Calibri" w:hAnsi="Times New Roman" w:cs="Times New Roman"/>
                <w:i/>
                <w:sz w:val="20"/>
                <w:szCs w:val="20"/>
              </w:rPr>
              <w:t>Vedie návrh k zániku pracovných miest?</w:t>
            </w:r>
            <w:r w:rsidRPr="00DF6C72">
              <w:rPr>
                <w:rFonts w:ascii="Times New Roman" w:eastAsia="Calibri" w:hAnsi="Times New Roman" w:cs="Times New Roman"/>
                <w:sz w:val="20"/>
                <w:szCs w:val="20"/>
              </w:rPr>
              <w:t xml:space="preserve"> </w:t>
            </w:r>
            <w:r w:rsidRPr="00DF6C72">
              <w:rPr>
                <w:rFonts w:ascii="Times New Roman" w:eastAsia="Calibri" w:hAnsi="Times New Roman" w:cs="Times New Roman"/>
                <w:i/>
                <w:sz w:val="20"/>
                <w:szCs w:val="20"/>
              </w:rPr>
              <w:t>Ak áno, ako a akých? Ak je to možné, doplňte kvantifikáciu</w:t>
            </w:r>
          </w:p>
        </w:tc>
      </w:tr>
      <w:tr w:rsidR="002644DE" w:rsidRPr="00DF6C72" w:rsidTr="000A6E10">
        <w:trPr>
          <w:trHeight w:val="454"/>
          <w:jc w:val="center"/>
        </w:trPr>
        <w:tc>
          <w:tcPr>
            <w:tcW w:w="129" w:type="pct"/>
            <w:tcBorders>
              <w:bottom w:val="single" w:sz="4" w:space="0" w:color="auto"/>
            </w:tcBorders>
            <w:shd w:val="clear" w:color="auto" w:fill="FFFFFF"/>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DF6C72" w:rsidRDefault="002644DE" w:rsidP="002644DE">
            <w:pPr>
              <w:spacing w:after="0" w:line="240" w:lineRule="auto"/>
              <w:jc w:val="both"/>
              <w:rPr>
                <w:rFonts w:ascii="Times New Roman" w:eastAsia="Calibri" w:hAnsi="Times New Roman" w:cs="Times New Roman"/>
                <w:i/>
                <w:sz w:val="18"/>
                <w:szCs w:val="18"/>
              </w:rPr>
            </w:pPr>
            <w:r w:rsidRPr="00DF6C72">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vAlign w:val="center"/>
          </w:tcPr>
          <w:p w:rsidR="002644DE" w:rsidRPr="00DF6C72" w:rsidRDefault="000B52AF" w:rsidP="000A6E10">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DF6C72" w:rsidTr="005A405C">
        <w:trPr>
          <w:trHeight w:val="248"/>
          <w:jc w:val="center"/>
        </w:trPr>
        <w:tc>
          <w:tcPr>
            <w:tcW w:w="129" w:type="pct"/>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sz w:val="20"/>
                <w:szCs w:val="20"/>
              </w:rPr>
            </w:pPr>
            <w:r w:rsidRPr="00DF6C72">
              <w:rPr>
                <w:rFonts w:ascii="Times New Roman" w:eastAsia="Calibri" w:hAnsi="Times New Roman" w:cs="Times New Roman"/>
                <w:i/>
                <w:sz w:val="20"/>
                <w:szCs w:val="20"/>
              </w:rPr>
              <w:t>Ovplyvňuje návrh dopyt po práci? Ak áno, ako?</w:t>
            </w:r>
          </w:p>
        </w:tc>
      </w:tr>
      <w:tr w:rsidR="002644DE" w:rsidRPr="00DF6C72" w:rsidTr="000A6E10">
        <w:trPr>
          <w:trHeight w:val="209"/>
          <w:jc w:val="center"/>
        </w:trPr>
        <w:tc>
          <w:tcPr>
            <w:tcW w:w="129" w:type="pct"/>
            <w:tcBorders>
              <w:bottom w:val="single" w:sz="4" w:space="0" w:color="auto"/>
            </w:tcBorders>
            <w:shd w:val="clear" w:color="auto" w:fill="FFFFFF"/>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DF6C72" w:rsidRDefault="002644DE" w:rsidP="002644DE">
            <w:pPr>
              <w:spacing w:after="0" w:line="240" w:lineRule="auto"/>
              <w:jc w:val="both"/>
              <w:rPr>
                <w:rFonts w:ascii="Times New Roman" w:eastAsia="Calibri" w:hAnsi="Times New Roman" w:cs="Times New Roman"/>
                <w:i/>
                <w:sz w:val="18"/>
                <w:szCs w:val="18"/>
              </w:rPr>
            </w:pPr>
            <w:r w:rsidRPr="00DF6C72">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vAlign w:val="center"/>
          </w:tcPr>
          <w:p w:rsidR="002644DE" w:rsidRPr="00DF6C72" w:rsidRDefault="000B52AF" w:rsidP="000A6E10">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DF6C72" w:rsidTr="005A405C">
        <w:trPr>
          <w:trHeight w:val="208"/>
          <w:jc w:val="center"/>
        </w:trPr>
        <w:tc>
          <w:tcPr>
            <w:tcW w:w="129" w:type="pct"/>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sz w:val="20"/>
                <w:szCs w:val="20"/>
              </w:rPr>
            </w:pPr>
            <w:r w:rsidRPr="00DF6C72">
              <w:rPr>
                <w:rFonts w:ascii="Times New Roman" w:eastAsia="Calibri" w:hAnsi="Times New Roman" w:cs="Times New Roman"/>
                <w:i/>
                <w:sz w:val="20"/>
                <w:szCs w:val="20"/>
              </w:rPr>
              <w:t>Má návrh dosah na fungovanie trhu práce?</w:t>
            </w:r>
            <w:r w:rsidRPr="00DF6C72">
              <w:rPr>
                <w:rFonts w:ascii="Times New Roman" w:eastAsia="Calibri" w:hAnsi="Times New Roman" w:cs="Times New Roman"/>
                <w:sz w:val="20"/>
                <w:szCs w:val="20"/>
              </w:rPr>
              <w:t xml:space="preserve"> </w:t>
            </w:r>
            <w:r w:rsidRPr="00DF6C72">
              <w:rPr>
                <w:rFonts w:ascii="Times New Roman" w:eastAsia="Calibri" w:hAnsi="Times New Roman" w:cs="Times New Roman"/>
                <w:i/>
                <w:sz w:val="20"/>
                <w:szCs w:val="20"/>
              </w:rPr>
              <w:t>Ak áno, aký?</w:t>
            </w:r>
          </w:p>
        </w:tc>
      </w:tr>
      <w:tr w:rsidR="002644DE" w:rsidRPr="00DF6C72" w:rsidTr="000A6E10">
        <w:trPr>
          <w:trHeight w:val="794"/>
          <w:jc w:val="center"/>
        </w:trPr>
        <w:tc>
          <w:tcPr>
            <w:tcW w:w="129" w:type="pct"/>
            <w:tcBorders>
              <w:bottom w:val="single" w:sz="4" w:space="0" w:color="auto"/>
            </w:tcBorders>
            <w:shd w:val="clear" w:color="auto" w:fill="FFFFFF"/>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DF6C72" w:rsidRDefault="002644DE" w:rsidP="002644DE">
            <w:pPr>
              <w:spacing w:after="0" w:line="240" w:lineRule="auto"/>
              <w:jc w:val="both"/>
              <w:rPr>
                <w:rFonts w:ascii="Times New Roman" w:eastAsia="Calibri" w:hAnsi="Times New Roman" w:cs="Times New Roman"/>
                <w:i/>
                <w:sz w:val="18"/>
                <w:szCs w:val="18"/>
              </w:rPr>
            </w:pPr>
            <w:r w:rsidRPr="00DF6C72">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DF6C72">
              <w:rPr>
                <w:rFonts w:ascii="Times New Roman" w:eastAsia="Calibri" w:hAnsi="Times New Roman" w:cs="Times New Roman"/>
                <w:sz w:val="18"/>
                <w:szCs w:val="18"/>
              </w:rPr>
              <w:t xml:space="preserve"> </w:t>
            </w:r>
            <w:r w:rsidRPr="00DF6C72">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vAlign w:val="center"/>
          </w:tcPr>
          <w:p w:rsidR="002644DE" w:rsidRPr="00DF6C72" w:rsidRDefault="00F65593" w:rsidP="00E45E60">
            <w:pPr>
              <w:spacing w:after="0" w:line="240" w:lineRule="auto"/>
              <w:jc w:val="both"/>
              <w:rPr>
                <w:rFonts w:ascii="Times New Roman" w:eastAsia="Calibri" w:hAnsi="Times New Roman" w:cs="Times New Roman"/>
                <w:sz w:val="20"/>
                <w:szCs w:val="18"/>
              </w:rPr>
            </w:pPr>
            <w:r w:rsidRPr="00DF6C72">
              <w:rPr>
                <w:rFonts w:ascii="Times New Roman" w:eastAsia="Calibri" w:hAnsi="Times New Roman" w:cs="Times New Roman"/>
                <w:sz w:val="20"/>
                <w:lang w:eastAsia="sk-SK"/>
              </w:rPr>
              <w:t>Vplyvom predlžovania dôchodkového veku sa</w:t>
            </w:r>
            <w:r w:rsidR="0053070A" w:rsidRPr="00DF6C72">
              <w:rPr>
                <w:rFonts w:ascii="Times New Roman" w:eastAsia="Calibri" w:hAnsi="Times New Roman" w:cs="Times New Roman"/>
                <w:sz w:val="20"/>
                <w:lang w:eastAsia="sk-SK"/>
              </w:rPr>
              <w:t xml:space="preserve"> predpokladá zvýšenie počtu prispievateľov</w:t>
            </w:r>
            <w:r w:rsidR="00E45E60" w:rsidRPr="00DF6C72">
              <w:rPr>
                <w:rFonts w:ascii="Times New Roman" w:eastAsia="Calibri" w:hAnsi="Times New Roman" w:cs="Times New Roman"/>
                <w:sz w:val="20"/>
                <w:lang w:eastAsia="sk-SK"/>
              </w:rPr>
              <w:t xml:space="preserve"> (poistencov)</w:t>
            </w:r>
            <w:r w:rsidR="0053070A" w:rsidRPr="00DF6C72">
              <w:rPr>
                <w:rFonts w:ascii="Times New Roman" w:eastAsia="Calibri" w:hAnsi="Times New Roman" w:cs="Times New Roman"/>
                <w:sz w:val="20"/>
                <w:lang w:eastAsia="sk-SK"/>
              </w:rPr>
              <w:t xml:space="preserve"> do systému sociálneho poistenia na konci prognózy, t. j. v roku 2070 o približne 10 %, čo nominálne predstavuje približne 160 tis. prispievateľov.</w:t>
            </w:r>
            <w:r w:rsidRPr="00DF6C72">
              <w:rPr>
                <w:rFonts w:ascii="Times New Roman" w:eastAsia="Calibri" w:hAnsi="Times New Roman" w:cs="Times New Roman"/>
                <w:sz w:val="20"/>
                <w:lang w:eastAsia="sk-SK"/>
              </w:rPr>
              <w:t xml:space="preserve"> </w:t>
            </w:r>
          </w:p>
        </w:tc>
      </w:tr>
      <w:tr w:rsidR="002644DE" w:rsidRPr="00DF6C72" w:rsidTr="005A405C">
        <w:trPr>
          <w:trHeight w:val="324"/>
          <w:jc w:val="center"/>
        </w:trPr>
        <w:tc>
          <w:tcPr>
            <w:tcW w:w="129" w:type="pct"/>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sz w:val="20"/>
                <w:szCs w:val="20"/>
              </w:rPr>
            </w:pPr>
            <w:r w:rsidRPr="00DF6C72">
              <w:rPr>
                <w:rFonts w:ascii="Times New Roman" w:eastAsia="Calibri" w:hAnsi="Times New Roman" w:cs="Times New Roman"/>
                <w:i/>
                <w:sz w:val="20"/>
                <w:szCs w:val="20"/>
              </w:rPr>
              <w:t>Má návrh špecifické negatívne dôsledky pre isté skupiny profesií, skupín zamestnancov či živnostníkov?</w:t>
            </w:r>
            <w:r w:rsidRPr="00DF6C72">
              <w:rPr>
                <w:rFonts w:ascii="Times New Roman" w:eastAsia="Calibri" w:hAnsi="Times New Roman" w:cs="Times New Roman"/>
                <w:sz w:val="20"/>
                <w:szCs w:val="20"/>
              </w:rPr>
              <w:t xml:space="preserve"> </w:t>
            </w:r>
            <w:r w:rsidRPr="00DF6C72">
              <w:rPr>
                <w:rFonts w:ascii="Times New Roman" w:eastAsia="Calibri" w:hAnsi="Times New Roman" w:cs="Times New Roman"/>
                <w:i/>
                <w:sz w:val="20"/>
                <w:szCs w:val="20"/>
              </w:rPr>
              <w:t>Ak áno, aké a pre ktoré skupiny?</w:t>
            </w:r>
          </w:p>
        </w:tc>
      </w:tr>
      <w:tr w:rsidR="002644DE" w:rsidRPr="00DF6C72" w:rsidTr="000A6E10">
        <w:trPr>
          <w:trHeight w:val="216"/>
          <w:jc w:val="center"/>
        </w:trPr>
        <w:tc>
          <w:tcPr>
            <w:tcW w:w="129" w:type="pct"/>
            <w:tcBorders>
              <w:bottom w:val="single" w:sz="4" w:space="0" w:color="auto"/>
            </w:tcBorders>
            <w:shd w:val="clear" w:color="auto" w:fill="FFFFFF"/>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vAlign w:val="center"/>
          </w:tcPr>
          <w:p w:rsidR="002644DE" w:rsidRPr="00DF6C72" w:rsidRDefault="000B52AF" w:rsidP="000A6E10">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DF6C72" w:rsidTr="005A405C">
        <w:trPr>
          <w:trHeight w:val="219"/>
          <w:jc w:val="center"/>
        </w:trPr>
        <w:tc>
          <w:tcPr>
            <w:tcW w:w="129" w:type="pct"/>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DF6C72" w:rsidRDefault="002644DE" w:rsidP="002644DE">
            <w:pPr>
              <w:spacing w:after="0" w:line="240" w:lineRule="auto"/>
              <w:rPr>
                <w:rFonts w:ascii="Times New Roman" w:eastAsia="Calibri" w:hAnsi="Times New Roman" w:cs="Times New Roman"/>
                <w:sz w:val="20"/>
                <w:szCs w:val="20"/>
              </w:rPr>
            </w:pPr>
            <w:r w:rsidRPr="00DF6C72">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A6E10">
        <w:trPr>
          <w:trHeight w:val="497"/>
          <w:jc w:val="center"/>
        </w:trPr>
        <w:tc>
          <w:tcPr>
            <w:tcW w:w="129" w:type="pct"/>
            <w:tcBorders>
              <w:bottom w:val="single" w:sz="4" w:space="0" w:color="auto"/>
            </w:tcBorders>
            <w:shd w:val="clear" w:color="auto" w:fill="FFFFFF"/>
            <w:vAlign w:val="center"/>
          </w:tcPr>
          <w:p w:rsidR="002644DE" w:rsidRPr="00DF6C72" w:rsidRDefault="002644DE" w:rsidP="002644DE">
            <w:pPr>
              <w:spacing w:after="0" w:line="240" w:lineRule="auto"/>
              <w:rPr>
                <w:rFonts w:ascii="Times New Roman" w:eastAsia="Calibri" w:hAnsi="Times New Roman" w:cs="Times New Roman"/>
                <w:i/>
                <w:sz w:val="18"/>
                <w:szCs w:val="18"/>
              </w:rPr>
            </w:pPr>
            <w:r w:rsidRPr="00DF6C72">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DF6C72" w:rsidRDefault="002644DE" w:rsidP="002644DE">
            <w:pPr>
              <w:spacing w:after="0" w:line="240" w:lineRule="auto"/>
              <w:jc w:val="both"/>
              <w:rPr>
                <w:rFonts w:ascii="Times New Roman" w:eastAsia="Calibri" w:hAnsi="Times New Roman" w:cs="Times New Roman"/>
                <w:i/>
                <w:sz w:val="18"/>
                <w:szCs w:val="18"/>
              </w:rPr>
            </w:pPr>
            <w:r w:rsidRPr="00DF6C72">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vAlign w:val="center"/>
          </w:tcPr>
          <w:p w:rsidR="002644DE" w:rsidRPr="002644DE" w:rsidRDefault="000B52AF" w:rsidP="000A6E10">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bl>
    <w:p w:rsidR="005A405C" w:rsidRDefault="005A405C" w:rsidP="000A6E10">
      <w:pPr>
        <w:spacing w:after="0" w:line="240" w:lineRule="auto"/>
        <w:jc w:val="center"/>
        <w:outlineLvl w:val="0"/>
      </w:pPr>
    </w:p>
    <w:sectPr w:rsidR="005A405C" w:rsidSect="002127D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275637" w16cid:durableId="2496AB20"/>
  <w16cid:commentId w16cid:paraId="06D7AAE6" w16cid:durableId="2496A87C"/>
  <w16cid:commentId w16cid:paraId="32B3E804" w16cid:durableId="2496A87D"/>
  <w16cid:commentId w16cid:paraId="6D04AC2E" w16cid:durableId="2496A87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823" w:rsidRDefault="00EB7823" w:rsidP="002644DE">
      <w:pPr>
        <w:spacing w:after="0" w:line="240" w:lineRule="auto"/>
      </w:pPr>
      <w:r>
        <w:separator/>
      </w:r>
    </w:p>
  </w:endnote>
  <w:endnote w:type="continuationSeparator" w:id="0">
    <w:p w:rsidR="00EB7823" w:rsidRDefault="00EB7823"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767CC2" w:rsidRPr="001D6749" w:rsidRDefault="002127D3">
        <w:pPr>
          <w:pStyle w:val="Pta"/>
          <w:jc w:val="right"/>
          <w:rPr>
            <w:rFonts w:ascii="Times New Roman" w:hAnsi="Times New Roman" w:cs="Times New Roman"/>
          </w:rPr>
        </w:pPr>
        <w:r w:rsidRPr="001D6749">
          <w:rPr>
            <w:rFonts w:ascii="Times New Roman" w:hAnsi="Times New Roman" w:cs="Times New Roman"/>
          </w:rPr>
          <w:fldChar w:fldCharType="begin"/>
        </w:r>
        <w:r w:rsidR="00767CC2"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3738E0">
          <w:rPr>
            <w:rFonts w:ascii="Times New Roman" w:hAnsi="Times New Roman" w:cs="Times New Roman"/>
            <w:noProof/>
          </w:rPr>
          <w:t>3</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767CC2" w:rsidRPr="001D6749" w:rsidRDefault="002127D3">
        <w:pPr>
          <w:pStyle w:val="Pta"/>
          <w:jc w:val="right"/>
          <w:rPr>
            <w:rFonts w:ascii="Times New Roman" w:hAnsi="Times New Roman" w:cs="Times New Roman"/>
          </w:rPr>
        </w:pPr>
        <w:r w:rsidRPr="001D6749">
          <w:rPr>
            <w:rFonts w:ascii="Times New Roman" w:hAnsi="Times New Roman" w:cs="Times New Roman"/>
          </w:rPr>
          <w:fldChar w:fldCharType="begin"/>
        </w:r>
        <w:r w:rsidR="00767CC2"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3738E0">
          <w:rPr>
            <w:rFonts w:ascii="Times New Roman" w:hAnsi="Times New Roman" w:cs="Times New Roman"/>
            <w:noProof/>
          </w:rPr>
          <w:t>7</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823" w:rsidRDefault="00EB7823" w:rsidP="002644DE">
      <w:pPr>
        <w:spacing w:after="0" w:line="240" w:lineRule="auto"/>
      </w:pPr>
      <w:r>
        <w:separator/>
      </w:r>
    </w:p>
  </w:footnote>
  <w:footnote w:type="continuationSeparator" w:id="0">
    <w:p w:rsidR="00EB7823" w:rsidRDefault="00EB7823"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C2" w:rsidRPr="00433C47" w:rsidRDefault="00767CC2" w:rsidP="00433C4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142A3"/>
    <w:rsid w:val="000168A8"/>
    <w:rsid w:val="00021958"/>
    <w:rsid w:val="00050C85"/>
    <w:rsid w:val="00060C83"/>
    <w:rsid w:val="00060EEC"/>
    <w:rsid w:val="00081940"/>
    <w:rsid w:val="000A6E10"/>
    <w:rsid w:val="000B1986"/>
    <w:rsid w:val="000B52AF"/>
    <w:rsid w:val="000C5093"/>
    <w:rsid w:val="000C795E"/>
    <w:rsid w:val="00111426"/>
    <w:rsid w:val="00133335"/>
    <w:rsid w:val="001577FF"/>
    <w:rsid w:val="00180A80"/>
    <w:rsid w:val="00190961"/>
    <w:rsid w:val="001A38EE"/>
    <w:rsid w:val="001B521F"/>
    <w:rsid w:val="001B6057"/>
    <w:rsid w:val="001B7F50"/>
    <w:rsid w:val="001F5227"/>
    <w:rsid w:val="0020155E"/>
    <w:rsid w:val="002127D3"/>
    <w:rsid w:val="00250D1F"/>
    <w:rsid w:val="00263E66"/>
    <w:rsid w:val="002644DE"/>
    <w:rsid w:val="00296D26"/>
    <w:rsid w:val="002A34BD"/>
    <w:rsid w:val="002C008B"/>
    <w:rsid w:val="002D4C15"/>
    <w:rsid w:val="002F4B48"/>
    <w:rsid w:val="00324971"/>
    <w:rsid w:val="00335EC4"/>
    <w:rsid w:val="003738E0"/>
    <w:rsid w:val="00382021"/>
    <w:rsid w:val="003D2A8D"/>
    <w:rsid w:val="003F1D59"/>
    <w:rsid w:val="0040256B"/>
    <w:rsid w:val="00433C37"/>
    <w:rsid w:val="00433C47"/>
    <w:rsid w:val="004516C6"/>
    <w:rsid w:val="00477B64"/>
    <w:rsid w:val="004A3BEE"/>
    <w:rsid w:val="004B2218"/>
    <w:rsid w:val="004D15FA"/>
    <w:rsid w:val="004D1CD2"/>
    <w:rsid w:val="004D70FF"/>
    <w:rsid w:val="004E3FA0"/>
    <w:rsid w:val="00506238"/>
    <w:rsid w:val="0053070A"/>
    <w:rsid w:val="0053198A"/>
    <w:rsid w:val="00545ED7"/>
    <w:rsid w:val="00581CC2"/>
    <w:rsid w:val="00597311"/>
    <w:rsid w:val="005A405C"/>
    <w:rsid w:val="005C2867"/>
    <w:rsid w:val="005D4463"/>
    <w:rsid w:val="005E0A39"/>
    <w:rsid w:val="00603EED"/>
    <w:rsid w:val="00626F74"/>
    <w:rsid w:val="006D63B0"/>
    <w:rsid w:val="006D64F9"/>
    <w:rsid w:val="006E25C5"/>
    <w:rsid w:val="00702C07"/>
    <w:rsid w:val="00721A7C"/>
    <w:rsid w:val="00740049"/>
    <w:rsid w:val="0074369A"/>
    <w:rsid w:val="00763928"/>
    <w:rsid w:val="00765F07"/>
    <w:rsid w:val="00767CC2"/>
    <w:rsid w:val="00796BDB"/>
    <w:rsid w:val="007973D5"/>
    <w:rsid w:val="007B4B3A"/>
    <w:rsid w:val="007C0E99"/>
    <w:rsid w:val="007C40C3"/>
    <w:rsid w:val="007D3A34"/>
    <w:rsid w:val="007D6437"/>
    <w:rsid w:val="007E57E7"/>
    <w:rsid w:val="007F6319"/>
    <w:rsid w:val="008801B5"/>
    <w:rsid w:val="00884C2E"/>
    <w:rsid w:val="008A190E"/>
    <w:rsid w:val="008E4E80"/>
    <w:rsid w:val="008F29C1"/>
    <w:rsid w:val="009012FD"/>
    <w:rsid w:val="0090613E"/>
    <w:rsid w:val="00920F46"/>
    <w:rsid w:val="0095188C"/>
    <w:rsid w:val="00967C45"/>
    <w:rsid w:val="00972011"/>
    <w:rsid w:val="009B7A89"/>
    <w:rsid w:val="009D28EF"/>
    <w:rsid w:val="009E09F7"/>
    <w:rsid w:val="009E5049"/>
    <w:rsid w:val="009F1429"/>
    <w:rsid w:val="009F1BCB"/>
    <w:rsid w:val="00A50C3B"/>
    <w:rsid w:val="00A97A42"/>
    <w:rsid w:val="00AD1B0C"/>
    <w:rsid w:val="00AD4155"/>
    <w:rsid w:val="00AE09B1"/>
    <w:rsid w:val="00AE395F"/>
    <w:rsid w:val="00B04E82"/>
    <w:rsid w:val="00B159C4"/>
    <w:rsid w:val="00B20007"/>
    <w:rsid w:val="00B21956"/>
    <w:rsid w:val="00B240EF"/>
    <w:rsid w:val="00B621A8"/>
    <w:rsid w:val="00B64C25"/>
    <w:rsid w:val="00B82A8F"/>
    <w:rsid w:val="00BB6B2A"/>
    <w:rsid w:val="00BC0685"/>
    <w:rsid w:val="00BD141A"/>
    <w:rsid w:val="00C30D78"/>
    <w:rsid w:val="00C3178B"/>
    <w:rsid w:val="00C5123C"/>
    <w:rsid w:val="00C552CA"/>
    <w:rsid w:val="00C84965"/>
    <w:rsid w:val="00CA5539"/>
    <w:rsid w:val="00CB52A2"/>
    <w:rsid w:val="00CD38B5"/>
    <w:rsid w:val="00CD40D0"/>
    <w:rsid w:val="00CF789B"/>
    <w:rsid w:val="00D47EF8"/>
    <w:rsid w:val="00D502BC"/>
    <w:rsid w:val="00D67990"/>
    <w:rsid w:val="00DB7C0F"/>
    <w:rsid w:val="00DD3CE8"/>
    <w:rsid w:val="00DD4E69"/>
    <w:rsid w:val="00DE1794"/>
    <w:rsid w:val="00DE2F1B"/>
    <w:rsid w:val="00DF6C72"/>
    <w:rsid w:val="00E13D7A"/>
    <w:rsid w:val="00E174F4"/>
    <w:rsid w:val="00E278D9"/>
    <w:rsid w:val="00E45E60"/>
    <w:rsid w:val="00E73207"/>
    <w:rsid w:val="00EB7823"/>
    <w:rsid w:val="00ED4528"/>
    <w:rsid w:val="00EF6229"/>
    <w:rsid w:val="00F048FF"/>
    <w:rsid w:val="00F10E67"/>
    <w:rsid w:val="00F36445"/>
    <w:rsid w:val="00F5562B"/>
    <w:rsid w:val="00F56ABE"/>
    <w:rsid w:val="00F65593"/>
    <w:rsid w:val="00FD0A67"/>
    <w:rsid w:val="00FE11D6"/>
    <w:rsid w:val="00FF39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66B54-BE35-4384-ABBC-EC9711CF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7D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F3644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6445"/>
    <w:rPr>
      <w:rFonts w:ascii="Segoe UI" w:hAnsi="Segoe UI" w:cs="Segoe UI"/>
      <w:sz w:val="18"/>
      <w:szCs w:val="18"/>
    </w:rPr>
  </w:style>
  <w:style w:type="character" w:styleId="Odkaznakomentr">
    <w:name w:val="annotation reference"/>
    <w:basedOn w:val="Predvolenpsmoodseku"/>
    <w:uiPriority w:val="99"/>
    <w:semiHidden/>
    <w:unhideWhenUsed/>
    <w:rsid w:val="005D4463"/>
    <w:rPr>
      <w:sz w:val="16"/>
      <w:szCs w:val="16"/>
    </w:rPr>
  </w:style>
  <w:style w:type="paragraph" w:styleId="Textkomentra">
    <w:name w:val="annotation text"/>
    <w:basedOn w:val="Normlny"/>
    <w:link w:val="TextkomentraChar"/>
    <w:uiPriority w:val="99"/>
    <w:semiHidden/>
    <w:unhideWhenUsed/>
    <w:rsid w:val="005D4463"/>
    <w:pPr>
      <w:spacing w:line="240" w:lineRule="auto"/>
    </w:pPr>
    <w:rPr>
      <w:sz w:val="20"/>
      <w:szCs w:val="20"/>
    </w:rPr>
  </w:style>
  <w:style w:type="character" w:customStyle="1" w:styleId="TextkomentraChar">
    <w:name w:val="Text komentára Char"/>
    <w:basedOn w:val="Predvolenpsmoodseku"/>
    <w:link w:val="Textkomentra"/>
    <w:uiPriority w:val="99"/>
    <w:semiHidden/>
    <w:rsid w:val="005D4463"/>
    <w:rPr>
      <w:sz w:val="20"/>
      <w:szCs w:val="20"/>
    </w:rPr>
  </w:style>
  <w:style w:type="paragraph" w:styleId="Predmetkomentra">
    <w:name w:val="annotation subject"/>
    <w:basedOn w:val="Textkomentra"/>
    <w:next w:val="Textkomentra"/>
    <w:link w:val="PredmetkomentraChar"/>
    <w:uiPriority w:val="99"/>
    <w:semiHidden/>
    <w:unhideWhenUsed/>
    <w:rsid w:val="005D4463"/>
    <w:rPr>
      <w:b/>
      <w:bCs/>
    </w:rPr>
  </w:style>
  <w:style w:type="character" w:customStyle="1" w:styleId="PredmetkomentraChar">
    <w:name w:val="Predmet komentára Char"/>
    <w:basedOn w:val="TextkomentraChar"/>
    <w:link w:val="Predmetkomentra"/>
    <w:uiPriority w:val="99"/>
    <w:semiHidden/>
    <w:rsid w:val="005D44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alýza-sociálnych-vplyvov"/>
    <f:field ref="objsubject" par="" edit="true" text=""/>
    <f:field ref="objcreatedby" par="" text="Hornáček, Vladimír, Mgr."/>
    <f:field ref="objcreatedat" par="" text="29.7.2021 15:40:34"/>
    <f:field ref="objchangedby" par="" text="Administrator, System"/>
    <f:field ref="objmodifiedat" par="" text="29.7.2021 15:40:3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2688</Words>
  <Characters>15324</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Drienikova Kristina</dc:creator>
  <cp:lastModifiedBy>Cebulakova Monika</cp:lastModifiedBy>
  <cp:revision>4</cp:revision>
  <cp:lastPrinted>2022-04-07T06:13:00Z</cp:lastPrinted>
  <dcterms:created xsi:type="dcterms:W3CDTF">2022-04-07T06:05:00Z</dcterms:created>
  <dcterms:modified xsi:type="dcterms:W3CDTF">2022-04-07T06:14:00Z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novely zákona č. 461/2003 Z. z. o&amp;nbsp;sociálnom poistení a&amp;nbsp;súvisiacich zákonov informovaná prostredníctvom predbežnej informácie k&amp;nbsp;predmetnému návrhu zverejnenej v&amp;nbsp;infor</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Právo sociálneho zabezpečenia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Vladimír Hornáček</vt:lpwstr>
  </property>
  <property fmtid="{D5CDD505-2E9C-101B-9397-08002B2CF9AE}" pid="12" name="FSC#SKEDITIONSLOVLEX@103.510:zodppredkladatel">
    <vt:lpwstr>Bc. Milan Krajniak</vt:lpwstr>
  </property>
  <property fmtid="{D5CDD505-2E9C-101B-9397-08002B2CF9AE}" pid="13" name="FSC#SKEDITIONSLOVLEX@103.510:dalsipredkladatel">
    <vt:lpwstr/>
  </property>
  <property fmtid="{D5CDD505-2E9C-101B-9397-08002B2CF9AE}" pid="14" name="FSC#SKEDITIONSLOVLEX@103.510:nazovpredpis">
    <vt:lpwstr>,ktorým sa mení a dopĺňa zákon č. 461/2003 Z. z. o sociálnom poistení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jún až december 2021</vt:lpwstr>
  </property>
  <property fmtid="{D5CDD505-2E9C-101B-9397-08002B2CF9AE}" pid="23" name="FSC#SKEDITIONSLOVLEX@103.510:plnynazovpredpis">
    <vt:lpwstr> Zákon,ktorým sa mení a dopĺňa zákon č. 461/2003 Z. z. o sociálnom poistení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24207/2021-M_OPVA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LP/2021/407</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151 a 153 Zmluvy o fungovaní Európskej únie (Ú. v. ES C 202, 7. 6. 2016),</vt:lpwstr>
  </property>
  <property fmtid="{D5CDD505-2E9C-101B-9397-08002B2CF9AE}" pid="47" name="FSC#SKEDITIONSLOVLEX@103.510:AttrStrListDocPropSekundarneLegPravoPO">
    <vt:lpwstr>	Nariadenie (ES) Európskeho parlamentu a Rady 883/2004 z 29. apríla 2004 o koordinácii systémov sociálneho zabezpečenia (Ú. v. EÚ L 166, 30.4.2004; Mimoriadne vydanie Ú. v. EÚ, kap. 5/zv. 5) v platnom znení, gestor: MPSVR SR,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Nariadenie Európskeho parlamentu a Rady (ES) č. 987/2009 zo 16. septembra 2009, ktorým sa stanovuje postup vykonávania nariadenia (ES) č. 883/2004 o koordinácii systémov sociálneho zabezpečenia (Ú. v. EÚ L 284, 30.10.2009) v platnom znení, gestor: MPSVR</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bezpredmetné,</vt:lpwstr>
  </property>
  <property fmtid="{D5CDD505-2E9C-101B-9397-08002B2CF9AE}" pid="55" name="FSC#SKEDITIONSLOVLEX@103.510:AttrStrListDocPropInfoUzPreberanePP">
    <vt:lpwstr>bezpredmetné.</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16. 7. 2021</vt:lpwstr>
  </property>
  <property fmtid="{D5CDD505-2E9C-101B-9397-08002B2CF9AE}" pid="59" name="FSC#SKEDITIONSLOVLEX@103.510:AttrDateDocPropUkonceniePKK">
    <vt:lpwstr>27. 7. 2021</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Navrhovaná právna úprava zakladá v&amp;nbsp;roku 2021 a&amp;nbsp;2022 pozitívny vplyv na rozpočet verejnej správy, ktorý súvisí predovšetkým so zrušením ročného zúčtovania, kde sa prejavuje pokles výdavkov na prevádzku informačných systémov a&amp;nbsp;nižší počet nov</vt:lpwstr>
  </property>
  <property fmtid="{D5CDD505-2E9C-101B-9397-08002B2CF9AE}" pid="66" name="FSC#SKEDITIONSLOVLEX@103.510:AttrStrListDocPropAltRiesenia">
    <vt:lpwstr>V prípade, že by neboli predložené opatrenia v predmetnom návrhu zákona, tak by neboli naplnené ústavné garancie vyplývajúce z novelizovaného čl. 39 ústavného zákona č. 460/1992 Zb. Ústava Slovenskej republiky v znení ústavného zákona č. 422/2020 Z., závä</vt:lpwstr>
  </property>
  <property fmtid="{D5CDD505-2E9C-101B-9397-08002B2CF9AE}" pid="67" name="FSC#SKEDITIONSLOVLEX@103.510:AttrStrListDocPropStanoviskoGest">
    <vt:lpwstr>&lt;table border="1" cellpadding="0" cellspacing="0" width="612"&gt;	&lt;tbody&gt;		&lt;tr&gt;			&lt;td style="width:612px;height:83px;"&gt;			&lt;p&gt;&amp;nbsp;&lt;/p&gt;			&lt;table border="0" cellpadding="0" cellspacing="0" width="594"&gt;				&lt;tbody&gt;					&lt;tr&gt;						&lt;td style="width:170px;height:26</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Bc. Milan Krajniak_x000d_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práce, sociálnych vecí a&amp;nbsp;rodiny Slovenskej republiky predkladá návrh zákona, ktorým sa mení a dopĺňa zákon č. 461/2003 Z. z. o&amp;nbsp;sociálnom poistení v&amp;nbsp;znení neskorších predpisov (ďalej len „návrh zá</vt:lpwstr>
  </property>
  <property fmtid="{D5CDD505-2E9C-101B-9397-08002B2CF9AE}" pid="150" name="FSC#SKEDITIONSLOVLEX@103.510:vytvorenedna">
    <vt:lpwstr>29. 7. 2021</vt:lpwstr>
  </property>
  <property fmtid="{D5CDD505-2E9C-101B-9397-08002B2CF9AE}" pid="151" name="FSC#COOSYSTEM@1.1:Container">
    <vt:lpwstr>COO.2145.1000.3.4483533</vt:lpwstr>
  </property>
  <property fmtid="{D5CDD505-2E9C-101B-9397-08002B2CF9AE}" pid="152" name="FSC#FSCFOLIO@1.1001:docpropproject">
    <vt:lpwstr/>
  </property>
</Properties>
</file>