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9F" w:rsidRPr="007D5748" w:rsidRDefault="00E47C9F" w:rsidP="00E47C9F">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7D5748">
        <w:rPr>
          <w:rFonts w:ascii="Times New Roman" w:eastAsia="Times New Roman" w:hAnsi="Times New Roman" w:cs="Times New Roman"/>
          <w:b/>
          <w:bCs/>
          <w:sz w:val="28"/>
          <w:szCs w:val="28"/>
          <w:lang w:eastAsia="sk-SK"/>
        </w:rPr>
        <w:t>Analýza vplyvov na rozpočet verejnej správy,</w:t>
      </w:r>
    </w:p>
    <w:p w:rsidR="00E47C9F" w:rsidRPr="007D5748" w:rsidRDefault="00E47C9F" w:rsidP="00E47C9F">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47C9F" w:rsidRDefault="00E47C9F" w:rsidP="00E47C9F">
      <w:pPr>
        <w:spacing w:after="0" w:line="240" w:lineRule="auto"/>
        <w:rPr>
          <w:rFonts w:ascii="Times New Roman" w:eastAsia="Times New Roman" w:hAnsi="Times New Roman" w:cs="Times New Roman"/>
          <w:b/>
          <w:bCs/>
          <w:sz w:val="24"/>
          <w:szCs w:val="24"/>
          <w:lang w:eastAsia="sk-SK"/>
        </w:rPr>
      </w:pPr>
    </w:p>
    <w:p w:rsidR="00E47C9F" w:rsidRPr="00212894" w:rsidRDefault="00E47C9F" w:rsidP="00E47C9F">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47C9F" w:rsidRDefault="00E47C9F" w:rsidP="00E47C9F">
      <w:pPr>
        <w:spacing w:after="0" w:line="240" w:lineRule="auto"/>
        <w:jc w:val="right"/>
        <w:rPr>
          <w:rFonts w:ascii="Times New Roman" w:eastAsia="Times New Roman" w:hAnsi="Times New Roman" w:cs="Times New Roman"/>
          <w:sz w:val="20"/>
          <w:szCs w:val="20"/>
          <w:lang w:eastAsia="sk-SK"/>
        </w:rPr>
      </w:pPr>
    </w:p>
    <w:p w:rsidR="00376963" w:rsidRPr="00806408" w:rsidRDefault="00E47C9F" w:rsidP="0028361B">
      <w:pPr>
        <w:spacing w:after="0" w:line="240" w:lineRule="auto"/>
        <w:jc w:val="right"/>
        <w:rPr>
          <w:rFonts w:ascii="Times New Roman" w:eastAsia="Times New Roman" w:hAnsi="Times New Roman" w:cs="Times New Roman"/>
          <w:sz w:val="20"/>
          <w:szCs w:val="20"/>
          <w:lang w:eastAsia="sk-SK"/>
        </w:rPr>
      </w:pPr>
      <w:r w:rsidRPr="0078327F">
        <w:rPr>
          <w:rFonts w:ascii="Times New Roman" w:eastAsia="Times New Roman" w:hAnsi="Times New Roman" w:cs="Times New Roman"/>
          <w:sz w:val="20"/>
          <w:szCs w:val="20"/>
          <w:lang w:eastAsia="sk-SK"/>
        </w:rPr>
        <w:t>Tabuľka č. 1</w:t>
      </w:r>
      <w:r w:rsidR="00D53DEE">
        <w:rPr>
          <w:rFonts w:ascii="Times New Roman" w:eastAsia="Times New Roman" w:hAnsi="Times New Roman" w:cs="Times New Roman"/>
          <w:sz w:val="20"/>
          <w:szCs w:val="20"/>
          <w:lang w:eastAsia="sk-SK"/>
        </w:rPr>
        <w:t xml:space="preserve"> v eur</w:t>
      </w:r>
      <w:r w:rsidRPr="0078327F">
        <w:rPr>
          <w:rFonts w:ascii="Times New Roman" w:eastAsia="Times New Roman" w:hAnsi="Times New Roman" w:cs="Times New Roman"/>
          <w:sz w:val="20"/>
          <w:szCs w:val="20"/>
          <w:lang w:eastAsia="sk-SK"/>
        </w:rPr>
        <w:t xml:space="preserve"> </w:t>
      </w:r>
    </w:p>
    <w:tbl>
      <w:tblPr>
        <w:tblW w:w="9062" w:type="dxa"/>
        <w:tblCellMar>
          <w:left w:w="70" w:type="dxa"/>
          <w:right w:w="70" w:type="dxa"/>
        </w:tblCellMar>
        <w:tblLook w:val="04A0" w:firstRow="1" w:lastRow="0" w:firstColumn="1" w:lastColumn="0" w:noHBand="0" w:noVBand="1"/>
      </w:tblPr>
      <w:tblGrid>
        <w:gridCol w:w="4526"/>
        <w:gridCol w:w="992"/>
        <w:gridCol w:w="1160"/>
        <w:gridCol w:w="1250"/>
        <w:gridCol w:w="1134"/>
      </w:tblGrid>
      <w:tr w:rsidR="004244D2" w:rsidRPr="004244D2" w:rsidTr="004244D2">
        <w:trPr>
          <w:trHeight w:val="48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Vplyvy na rozpočet verejnej správy</w:t>
            </w:r>
          </w:p>
        </w:tc>
        <w:tc>
          <w:tcPr>
            <w:tcW w:w="4536" w:type="dxa"/>
            <w:gridSpan w:val="4"/>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xml:space="preserve">Vplyv na rozpočet verejnej správy v eurách </w:t>
            </w:r>
          </w:p>
        </w:tc>
      </w:tr>
      <w:tr w:rsidR="004244D2" w:rsidRPr="004244D2" w:rsidTr="004244D2">
        <w:trPr>
          <w:trHeight w:val="270"/>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p>
        </w:tc>
        <w:tc>
          <w:tcPr>
            <w:tcW w:w="4536" w:type="dxa"/>
            <w:gridSpan w:val="4"/>
            <w:vMerge/>
            <w:tcBorders>
              <w:top w:val="single" w:sz="8" w:space="0" w:color="auto"/>
              <w:left w:val="single" w:sz="8" w:space="0" w:color="auto"/>
              <w:bottom w:val="single" w:sz="8" w:space="0" w:color="000000"/>
              <w:right w:val="single" w:sz="8" w:space="0" w:color="000000"/>
            </w:tcBorders>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p>
        </w:tc>
      </w:tr>
      <w:tr w:rsidR="004244D2" w:rsidRPr="004244D2" w:rsidTr="004244D2">
        <w:trPr>
          <w:trHeight w:val="270"/>
        </w:trPr>
        <w:tc>
          <w:tcPr>
            <w:tcW w:w="4526" w:type="dxa"/>
            <w:vMerge/>
            <w:tcBorders>
              <w:top w:val="single" w:sz="8" w:space="0" w:color="auto"/>
              <w:left w:val="single" w:sz="8" w:space="0" w:color="auto"/>
              <w:bottom w:val="single" w:sz="8" w:space="0" w:color="000000"/>
              <w:right w:val="single" w:sz="8" w:space="0" w:color="auto"/>
            </w:tcBorders>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p>
        </w:tc>
        <w:tc>
          <w:tcPr>
            <w:tcW w:w="992" w:type="dxa"/>
            <w:tcBorders>
              <w:top w:val="nil"/>
              <w:left w:val="nil"/>
              <w:bottom w:val="single" w:sz="8" w:space="0" w:color="auto"/>
              <w:right w:val="single" w:sz="8" w:space="0" w:color="auto"/>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2022</w:t>
            </w:r>
          </w:p>
        </w:tc>
        <w:tc>
          <w:tcPr>
            <w:tcW w:w="1160" w:type="dxa"/>
            <w:tcBorders>
              <w:top w:val="nil"/>
              <w:left w:val="nil"/>
              <w:bottom w:val="single" w:sz="8" w:space="0" w:color="auto"/>
              <w:right w:val="single" w:sz="8" w:space="0" w:color="auto"/>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2023</w:t>
            </w:r>
          </w:p>
        </w:tc>
        <w:tc>
          <w:tcPr>
            <w:tcW w:w="1250" w:type="dxa"/>
            <w:tcBorders>
              <w:top w:val="nil"/>
              <w:left w:val="nil"/>
              <w:bottom w:val="single" w:sz="8" w:space="0" w:color="auto"/>
              <w:right w:val="single" w:sz="8" w:space="0" w:color="auto"/>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2024</w:t>
            </w:r>
          </w:p>
        </w:tc>
        <w:tc>
          <w:tcPr>
            <w:tcW w:w="1134" w:type="dxa"/>
            <w:tcBorders>
              <w:top w:val="nil"/>
              <w:left w:val="nil"/>
              <w:bottom w:val="single" w:sz="8" w:space="0" w:color="auto"/>
              <w:right w:val="single" w:sz="8" w:space="0" w:color="auto"/>
            </w:tcBorders>
            <w:shd w:val="clear" w:color="000000" w:fill="BFBFBF"/>
            <w:vAlign w:val="center"/>
            <w:hideMark/>
          </w:tcPr>
          <w:p w:rsidR="004244D2" w:rsidRPr="004244D2" w:rsidRDefault="004244D2" w:rsidP="004244D2">
            <w:pPr>
              <w:spacing w:after="0" w:line="240" w:lineRule="auto"/>
              <w:jc w:val="center"/>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2025</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Príjmy verejnej správy celkom</w:t>
            </w:r>
          </w:p>
        </w:tc>
        <w:tc>
          <w:tcPr>
            <w:tcW w:w="992" w:type="dxa"/>
            <w:tcBorders>
              <w:top w:val="nil"/>
              <w:left w:val="nil"/>
              <w:bottom w:val="single" w:sz="8" w:space="0" w:color="auto"/>
              <w:right w:val="single" w:sz="8" w:space="0" w:color="auto"/>
            </w:tcBorders>
            <w:shd w:val="clear" w:color="000000" w:fill="C0C0C0"/>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60" w:type="dxa"/>
            <w:tcBorders>
              <w:top w:val="nil"/>
              <w:left w:val="nil"/>
              <w:bottom w:val="single" w:sz="8" w:space="0" w:color="auto"/>
              <w:right w:val="single" w:sz="8" w:space="0" w:color="auto"/>
            </w:tcBorders>
            <w:shd w:val="clear" w:color="000000" w:fill="C0C0C0"/>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-8 662 681</w:t>
            </w:r>
          </w:p>
        </w:tc>
        <w:tc>
          <w:tcPr>
            <w:tcW w:w="1250" w:type="dxa"/>
            <w:tcBorders>
              <w:top w:val="nil"/>
              <w:left w:val="nil"/>
              <w:bottom w:val="single" w:sz="8" w:space="0" w:color="auto"/>
              <w:right w:val="single" w:sz="8" w:space="0" w:color="auto"/>
            </w:tcBorders>
            <w:shd w:val="clear" w:color="000000" w:fill="C0C0C0"/>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-10 167 672</w:t>
            </w:r>
          </w:p>
        </w:tc>
        <w:tc>
          <w:tcPr>
            <w:tcW w:w="1134" w:type="dxa"/>
            <w:tcBorders>
              <w:top w:val="nil"/>
              <w:left w:val="nil"/>
              <w:bottom w:val="single" w:sz="8" w:space="0" w:color="auto"/>
              <w:right w:val="single" w:sz="8" w:space="0" w:color="auto"/>
            </w:tcBorders>
            <w:shd w:val="clear" w:color="000000" w:fill="C0C0C0"/>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-10 664 676</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v tom: za každý subjekt verejnej správy zvlášť</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xml:space="preserve">z toho:  </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ŠR (Všeobecná pokladničná správa)</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obce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-1 079 543</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-1 294 665</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-1 380 719</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vyššie územné celky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-462 661</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-554 856</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-591 737</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Sociálnu poisťovňu</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-5 069 255</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-5 921 887</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-6 188 195</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verejné zdravotné poistenie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-2 051 222</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-2 396 264</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-2 504 025</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Výdavky verejnej správy celkom</w:t>
            </w:r>
          </w:p>
        </w:tc>
        <w:tc>
          <w:tcPr>
            <w:tcW w:w="992"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914 042</w:t>
            </w:r>
          </w:p>
        </w:tc>
        <w:tc>
          <w:tcPr>
            <w:tcW w:w="1160"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270 826 441</w:t>
            </w:r>
          </w:p>
        </w:tc>
        <w:tc>
          <w:tcPr>
            <w:tcW w:w="1250"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332 793 364</w:t>
            </w:r>
          </w:p>
        </w:tc>
        <w:tc>
          <w:tcPr>
            <w:tcW w:w="1134"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396 767 122</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v tom: za každý subjekt verejnej správy / program zvlášť</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xml:space="preserve">z toho: </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ŠR (kapitola MPSVR SR)</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-476 119</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-1 759 191</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ind w:firstLineChars="100" w:firstLine="200"/>
              <w:rPr>
                <w:rFonts w:ascii="Arial Narrow" w:eastAsia="Times New Roman" w:hAnsi="Arial Narrow" w:cs="Arial"/>
                <w:i/>
                <w:iCs/>
                <w:color w:val="000000"/>
                <w:sz w:val="20"/>
                <w:szCs w:val="20"/>
                <w:lang w:eastAsia="sk-SK"/>
              </w:rPr>
            </w:pPr>
            <w:r w:rsidRPr="004244D2">
              <w:rPr>
                <w:rFonts w:ascii="Arial Narrow" w:eastAsia="Times New Roman" w:hAnsi="Arial Narrow" w:cs="Arial"/>
                <w:i/>
                <w:iCs/>
                <w:color w:val="000000"/>
                <w:sz w:val="20"/>
                <w:szCs w:val="20"/>
                <w:lang w:eastAsia="sk-SK"/>
              </w:rPr>
              <w:t>Rozpočtové prostriedky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i/>
                <w:iCs/>
                <w:color w:val="000000"/>
                <w:sz w:val="20"/>
                <w:szCs w:val="20"/>
                <w:lang w:eastAsia="sk-SK"/>
              </w:rPr>
            </w:pPr>
            <w:r w:rsidRPr="004244D2">
              <w:rPr>
                <w:rFonts w:ascii="Arial Narrow" w:eastAsia="Times New Roman" w:hAnsi="Arial Narrow" w:cs="Arial"/>
                <w:i/>
                <w:iCs/>
                <w:color w:val="000000"/>
                <w:sz w:val="20"/>
                <w:szCs w:val="20"/>
                <w:lang w:eastAsia="sk-SK"/>
              </w:rPr>
              <w:t xml:space="preserve">    EÚ zdroje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i/>
                <w:iCs/>
                <w:color w:val="000000"/>
                <w:sz w:val="20"/>
                <w:szCs w:val="20"/>
                <w:lang w:eastAsia="sk-SK"/>
              </w:rPr>
            </w:pPr>
            <w:r w:rsidRPr="004244D2">
              <w:rPr>
                <w:rFonts w:ascii="Arial Narrow" w:eastAsia="Times New Roman" w:hAnsi="Arial Narrow" w:cs="Arial"/>
                <w:i/>
                <w:iCs/>
                <w:color w:val="000000"/>
                <w:sz w:val="20"/>
                <w:szCs w:val="20"/>
                <w:lang w:eastAsia="sk-SK"/>
              </w:rPr>
              <w:t xml:space="preserve">    spolufinancovanie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obce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vyššie územné celky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Sociálnu poisťovňu</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914 042</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270 826 441</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333 269 483</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398 526 313</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verejné zdravotné poistenie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 xml:space="preserve">Vplyv na počet zamestnancov </w:t>
            </w:r>
          </w:p>
        </w:tc>
        <w:tc>
          <w:tcPr>
            <w:tcW w:w="992"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6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25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34"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xml:space="preserve">- vplyv na ŠR </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obce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vyššie územné celky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Sociálnu poisťovňu</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Vplyv na mzdové výdavky</w:t>
            </w:r>
          </w:p>
        </w:tc>
        <w:tc>
          <w:tcPr>
            <w:tcW w:w="992"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6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25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34"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ŠR</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obce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vyššie územné celky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 vplyv na Sociálnu poisťovňu</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Financovanie zabezpečené v rozpočte</w:t>
            </w:r>
          </w:p>
        </w:tc>
        <w:tc>
          <w:tcPr>
            <w:tcW w:w="992"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60"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250"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34" w:type="dxa"/>
            <w:tcBorders>
              <w:top w:val="nil"/>
              <w:left w:val="nil"/>
              <w:bottom w:val="single" w:sz="8" w:space="0" w:color="auto"/>
              <w:right w:val="single" w:sz="8" w:space="0" w:color="auto"/>
            </w:tcBorders>
            <w:shd w:val="clear" w:color="000000" w:fill="C0C0C0"/>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b/>
                <w:bCs/>
                <w:i/>
                <w:iCs/>
                <w:color w:val="000000"/>
                <w:sz w:val="20"/>
                <w:szCs w:val="20"/>
                <w:lang w:eastAsia="sk-SK"/>
              </w:rPr>
            </w:pPr>
            <w:r w:rsidRPr="004244D2">
              <w:rPr>
                <w:rFonts w:ascii="Arial Narrow" w:eastAsia="Times New Roman" w:hAnsi="Arial Narrow" w:cs="Arial"/>
                <w:b/>
                <w:bCs/>
                <w:i/>
                <w:iCs/>
                <w:color w:val="000000"/>
                <w:sz w:val="20"/>
                <w:szCs w:val="20"/>
                <w:lang w:eastAsia="sk-SK"/>
              </w:rPr>
              <w:t>z toho:</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 </w:t>
            </w:r>
          </w:p>
        </w:tc>
      </w:tr>
      <w:tr w:rsidR="004244D2" w:rsidRPr="004244D2" w:rsidTr="004244D2">
        <w:trPr>
          <w:trHeight w:val="28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18"/>
                <w:szCs w:val="18"/>
                <w:lang w:eastAsia="sk-SK"/>
              </w:rPr>
            </w:pPr>
            <w:r w:rsidRPr="004244D2">
              <w:rPr>
                <w:rFonts w:ascii="Arial Narrow" w:eastAsia="Times New Roman" w:hAnsi="Arial Narrow" w:cs="Arial"/>
                <w:color w:val="000000"/>
                <w:sz w:val="18"/>
                <w:szCs w:val="18"/>
                <w:lang w:eastAsia="sk-SK"/>
              </w:rPr>
              <w:t>-vplyv na štátny rozpočet</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8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18"/>
                <w:szCs w:val="18"/>
                <w:lang w:eastAsia="sk-SK"/>
              </w:rPr>
            </w:pPr>
            <w:r w:rsidRPr="004244D2">
              <w:rPr>
                <w:rFonts w:ascii="Arial Narrow" w:eastAsia="Times New Roman" w:hAnsi="Arial Narrow" w:cs="Arial"/>
                <w:color w:val="000000"/>
                <w:sz w:val="18"/>
                <w:szCs w:val="18"/>
                <w:lang w:eastAsia="sk-SK"/>
              </w:rPr>
              <w:t>- vplyv na obce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8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18"/>
                <w:szCs w:val="18"/>
                <w:lang w:eastAsia="sk-SK"/>
              </w:rPr>
            </w:pPr>
            <w:r w:rsidRPr="004244D2">
              <w:rPr>
                <w:rFonts w:ascii="Arial Narrow" w:eastAsia="Times New Roman" w:hAnsi="Arial Narrow" w:cs="Arial"/>
                <w:color w:val="000000"/>
                <w:sz w:val="18"/>
                <w:szCs w:val="18"/>
                <w:lang w:eastAsia="sk-SK"/>
              </w:rPr>
              <w:t>- vplyv na vyššie územné celky</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8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rPr>
                <w:rFonts w:ascii="Arial Narrow" w:eastAsia="Times New Roman" w:hAnsi="Arial Narrow" w:cs="Arial"/>
                <w:color w:val="000000"/>
                <w:sz w:val="18"/>
                <w:szCs w:val="18"/>
                <w:lang w:eastAsia="sk-SK"/>
              </w:rPr>
            </w:pPr>
            <w:r w:rsidRPr="004244D2">
              <w:rPr>
                <w:rFonts w:ascii="Arial Narrow" w:eastAsia="Times New Roman" w:hAnsi="Arial Narrow" w:cs="Arial"/>
                <w:color w:val="000000"/>
                <w:sz w:val="18"/>
                <w:szCs w:val="18"/>
                <w:lang w:eastAsia="sk-SK"/>
              </w:rPr>
              <w:t>- vplyv na rozpočet Sociálnej poisťovne</w:t>
            </w:r>
          </w:p>
        </w:tc>
        <w:tc>
          <w:tcPr>
            <w:tcW w:w="992"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6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250"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c>
          <w:tcPr>
            <w:tcW w:w="1134" w:type="dxa"/>
            <w:tcBorders>
              <w:top w:val="nil"/>
              <w:left w:val="nil"/>
              <w:bottom w:val="single" w:sz="8" w:space="0" w:color="auto"/>
              <w:right w:val="single" w:sz="8" w:space="0" w:color="auto"/>
            </w:tcBorders>
            <w:shd w:val="clear" w:color="auto" w:fill="auto"/>
            <w:noWrap/>
            <w:vAlign w:val="center"/>
            <w:hideMark/>
          </w:tcPr>
          <w:p w:rsidR="004244D2" w:rsidRPr="004244D2" w:rsidRDefault="004244D2" w:rsidP="004244D2">
            <w:pPr>
              <w:spacing w:after="0" w:line="240" w:lineRule="auto"/>
              <w:jc w:val="right"/>
              <w:rPr>
                <w:rFonts w:ascii="Arial Narrow" w:eastAsia="Times New Roman" w:hAnsi="Arial Narrow" w:cs="Arial"/>
                <w:color w:val="000000"/>
                <w:sz w:val="20"/>
                <w:szCs w:val="20"/>
                <w:lang w:eastAsia="sk-SK"/>
              </w:rPr>
            </w:pPr>
            <w:r w:rsidRPr="004244D2">
              <w:rPr>
                <w:rFonts w:ascii="Arial Narrow" w:eastAsia="Times New Roman" w:hAnsi="Arial Narrow" w:cs="Arial"/>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Iné ako rozpočtové zdroje</w:t>
            </w:r>
          </w:p>
        </w:tc>
        <w:tc>
          <w:tcPr>
            <w:tcW w:w="992"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6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250"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c>
          <w:tcPr>
            <w:tcW w:w="1134" w:type="dxa"/>
            <w:tcBorders>
              <w:top w:val="nil"/>
              <w:left w:val="nil"/>
              <w:bottom w:val="single" w:sz="8" w:space="0" w:color="auto"/>
              <w:right w:val="single" w:sz="8" w:space="0" w:color="auto"/>
            </w:tcBorders>
            <w:shd w:val="clear" w:color="000000" w:fill="BFBFBF"/>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0</w:t>
            </w:r>
          </w:p>
        </w:tc>
      </w:tr>
      <w:tr w:rsidR="004244D2" w:rsidRPr="004244D2" w:rsidTr="004244D2">
        <w:trPr>
          <w:trHeight w:val="270"/>
        </w:trPr>
        <w:tc>
          <w:tcPr>
            <w:tcW w:w="4526" w:type="dxa"/>
            <w:tcBorders>
              <w:top w:val="nil"/>
              <w:left w:val="single" w:sz="8" w:space="0" w:color="auto"/>
              <w:bottom w:val="single" w:sz="8" w:space="0" w:color="auto"/>
              <w:right w:val="single" w:sz="8" w:space="0" w:color="auto"/>
            </w:tcBorders>
            <w:shd w:val="clear" w:color="000000" w:fill="A6A6A6"/>
            <w:noWrap/>
            <w:vAlign w:val="center"/>
            <w:hideMark/>
          </w:tcPr>
          <w:p w:rsidR="004244D2" w:rsidRPr="004244D2" w:rsidRDefault="004244D2" w:rsidP="004244D2">
            <w:pPr>
              <w:spacing w:after="0" w:line="240" w:lineRule="auto"/>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Rozpočtovo nekrytý vplyv / úspora</w:t>
            </w:r>
          </w:p>
        </w:tc>
        <w:tc>
          <w:tcPr>
            <w:tcW w:w="992" w:type="dxa"/>
            <w:tcBorders>
              <w:top w:val="nil"/>
              <w:left w:val="nil"/>
              <w:bottom w:val="single" w:sz="8" w:space="0" w:color="auto"/>
              <w:right w:val="single" w:sz="8" w:space="0" w:color="auto"/>
            </w:tcBorders>
            <w:shd w:val="clear" w:color="000000" w:fill="A6A6A6"/>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914 042</w:t>
            </w:r>
          </w:p>
        </w:tc>
        <w:tc>
          <w:tcPr>
            <w:tcW w:w="1160" w:type="dxa"/>
            <w:tcBorders>
              <w:top w:val="nil"/>
              <w:left w:val="nil"/>
              <w:bottom w:val="single" w:sz="8" w:space="0" w:color="auto"/>
              <w:right w:val="single" w:sz="8" w:space="0" w:color="auto"/>
            </w:tcBorders>
            <w:shd w:val="clear" w:color="000000" w:fill="A6A6A6"/>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279 489 123</w:t>
            </w:r>
          </w:p>
        </w:tc>
        <w:tc>
          <w:tcPr>
            <w:tcW w:w="1250" w:type="dxa"/>
            <w:tcBorders>
              <w:top w:val="nil"/>
              <w:left w:val="nil"/>
              <w:bottom w:val="single" w:sz="8" w:space="0" w:color="auto"/>
              <w:right w:val="single" w:sz="8" w:space="0" w:color="auto"/>
            </w:tcBorders>
            <w:shd w:val="clear" w:color="000000" w:fill="A6A6A6"/>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342 961 036</w:t>
            </w:r>
          </w:p>
        </w:tc>
        <w:tc>
          <w:tcPr>
            <w:tcW w:w="1134" w:type="dxa"/>
            <w:tcBorders>
              <w:top w:val="nil"/>
              <w:left w:val="nil"/>
              <w:bottom w:val="single" w:sz="8" w:space="0" w:color="auto"/>
              <w:right w:val="single" w:sz="8" w:space="0" w:color="auto"/>
            </w:tcBorders>
            <w:shd w:val="clear" w:color="000000" w:fill="A6A6A6"/>
            <w:noWrap/>
            <w:vAlign w:val="center"/>
            <w:hideMark/>
          </w:tcPr>
          <w:p w:rsidR="004244D2" w:rsidRPr="004244D2" w:rsidRDefault="004244D2" w:rsidP="004244D2">
            <w:pPr>
              <w:spacing w:after="0" w:line="240" w:lineRule="auto"/>
              <w:jc w:val="right"/>
              <w:rPr>
                <w:rFonts w:ascii="Arial Narrow" w:eastAsia="Times New Roman" w:hAnsi="Arial Narrow" w:cs="Arial"/>
                <w:b/>
                <w:bCs/>
                <w:color w:val="000000"/>
                <w:sz w:val="20"/>
                <w:szCs w:val="20"/>
                <w:lang w:eastAsia="sk-SK"/>
              </w:rPr>
            </w:pPr>
            <w:r w:rsidRPr="004244D2">
              <w:rPr>
                <w:rFonts w:ascii="Arial Narrow" w:eastAsia="Times New Roman" w:hAnsi="Arial Narrow" w:cs="Arial"/>
                <w:b/>
                <w:bCs/>
                <w:color w:val="000000"/>
                <w:sz w:val="20"/>
                <w:szCs w:val="20"/>
                <w:lang w:eastAsia="sk-SK"/>
              </w:rPr>
              <w:t>407 431 797</w:t>
            </w:r>
          </w:p>
        </w:tc>
      </w:tr>
    </w:tbl>
    <w:p w:rsidR="00122FB4" w:rsidRPr="004244D2" w:rsidRDefault="0044326F" w:rsidP="00E47C9F">
      <w:pPr>
        <w:spacing w:after="0" w:line="240" w:lineRule="auto"/>
        <w:jc w:val="both"/>
        <w:rPr>
          <w:rFonts w:ascii="Times New Roman" w:eastAsia="Times New Roman" w:hAnsi="Times New Roman" w:cs="Times New Roman"/>
          <w:bCs/>
          <w:sz w:val="20"/>
          <w:szCs w:val="24"/>
          <w:lang w:eastAsia="sk-SK"/>
        </w:rPr>
      </w:pPr>
      <w:r w:rsidRPr="00F17EFD">
        <w:rPr>
          <w:rFonts w:ascii="Times New Roman" w:eastAsia="Times New Roman" w:hAnsi="Times New Roman" w:cs="Times New Roman"/>
          <w:bCs/>
          <w:sz w:val="20"/>
          <w:szCs w:val="24"/>
          <w:lang w:eastAsia="sk-SK"/>
        </w:rPr>
        <w:t>* (-) záporné znamienko predstavuje úsporu</w:t>
      </w:r>
    </w:p>
    <w:p w:rsidR="00E47C9F" w:rsidRPr="007D5748" w:rsidRDefault="00E47C9F" w:rsidP="00D75B37">
      <w:pPr>
        <w:spacing w:after="0" w:line="259"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E47C9F" w:rsidRPr="007D5748" w:rsidRDefault="00E47C9F" w:rsidP="00D75B37">
      <w:pPr>
        <w:spacing w:after="0" w:line="259" w:lineRule="auto"/>
        <w:jc w:val="both"/>
        <w:rPr>
          <w:rFonts w:ascii="Times New Roman" w:eastAsia="Times New Roman" w:hAnsi="Times New Roman" w:cs="Times New Roman"/>
          <w:b/>
          <w:bCs/>
          <w:sz w:val="12"/>
          <w:szCs w:val="24"/>
          <w:lang w:eastAsia="sk-SK"/>
        </w:rPr>
      </w:pPr>
    </w:p>
    <w:p w:rsidR="004A26BC" w:rsidRPr="00806408" w:rsidRDefault="002D232E" w:rsidP="001E6E4A">
      <w:pPr>
        <w:pBdr>
          <w:top w:val="single" w:sz="4" w:space="1" w:color="auto"/>
          <w:left w:val="single" w:sz="4" w:space="4" w:color="auto"/>
          <w:bottom w:val="single" w:sz="4" w:space="1" w:color="auto"/>
          <w:right w:val="single" w:sz="4" w:space="4" w:color="auto"/>
        </w:pBdr>
        <w:spacing w:after="0" w:line="264" w:lineRule="auto"/>
        <w:jc w:val="both"/>
        <w:rPr>
          <w:rFonts w:ascii="Times New Roman" w:hAnsi="Times New Roman" w:cs="Times New Roman"/>
        </w:rPr>
      </w:pPr>
      <w:r>
        <w:rPr>
          <w:rFonts w:ascii="Times New Roman" w:hAnsi="Times New Roman" w:cs="Times New Roman"/>
        </w:rPr>
        <w:t>Vládny n</w:t>
      </w:r>
      <w:r w:rsidRPr="00806408">
        <w:rPr>
          <w:rFonts w:ascii="Times New Roman" w:hAnsi="Times New Roman" w:cs="Times New Roman"/>
        </w:rPr>
        <w:t xml:space="preserve">ávrh </w:t>
      </w:r>
      <w:r w:rsidR="004A26BC" w:rsidRPr="00806408">
        <w:rPr>
          <w:rFonts w:ascii="Times New Roman" w:hAnsi="Times New Roman" w:cs="Times New Roman"/>
        </w:rPr>
        <w:t>zákona, ktorým sa mení a dopĺňa zákon č. 461/2003 Z. z. o sociálnom poistení v znení neskorších predpisov</w:t>
      </w:r>
      <w:r w:rsidR="00806408" w:rsidRPr="00806408">
        <w:rPr>
          <w:rFonts w:ascii="Times New Roman" w:hAnsi="Times New Roman" w:cs="Times New Roman"/>
        </w:rPr>
        <w:t xml:space="preserve"> </w:t>
      </w:r>
      <w:r w:rsidR="00806408" w:rsidRPr="00806408">
        <w:rPr>
          <w:rFonts w:ascii="Times New Roman" w:eastAsia="SimSun" w:hAnsi="Times New Roman" w:cs="Times New Roman"/>
          <w:kern w:val="2"/>
          <w:lang w:eastAsia="hi-IN" w:bidi="hi-IN"/>
        </w:rPr>
        <w:t>a ktorým sa menia a dopĺňajú niektoré zákony</w:t>
      </w:r>
      <w:r w:rsidR="004A26BC" w:rsidRPr="00E70116">
        <w:rPr>
          <w:rFonts w:ascii="Times New Roman" w:hAnsi="Times New Roman" w:cs="Times New Roman"/>
        </w:rPr>
        <w:t xml:space="preserve"> (ďalej len „návrh zákona“) zakladá v rokoch 202</w:t>
      </w:r>
      <w:r w:rsidR="00714B08">
        <w:rPr>
          <w:rFonts w:ascii="Times New Roman" w:hAnsi="Times New Roman" w:cs="Times New Roman"/>
        </w:rPr>
        <w:t>2</w:t>
      </w:r>
      <w:r w:rsidR="004A26BC" w:rsidRPr="00E70116">
        <w:rPr>
          <w:rFonts w:ascii="Times New Roman" w:hAnsi="Times New Roman" w:cs="Times New Roman"/>
        </w:rPr>
        <w:t xml:space="preserve"> a</w:t>
      </w:r>
      <w:r w:rsidR="00302208">
        <w:rPr>
          <w:rFonts w:ascii="Times New Roman" w:hAnsi="Times New Roman" w:cs="Times New Roman"/>
        </w:rPr>
        <w:t>ž</w:t>
      </w:r>
      <w:r w:rsidR="004A26BC" w:rsidRPr="00E70116">
        <w:rPr>
          <w:rFonts w:ascii="Times New Roman" w:hAnsi="Times New Roman" w:cs="Times New Roman"/>
        </w:rPr>
        <w:t> 202</w:t>
      </w:r>
      <w:r w:rsidR="00302208">
        <w:rPr>
          <w:rFonts w:ascii="Times New Roman" w:hAnsi="Times New Roman" w:cs="Times New Roman"/>
        </w:rPr>
        <w:t>5</w:t>
      </w:r>
      <w:r w:rsidR="004A26BC" w:rsidRPr="00806408">
        <w:rPr>
          <w:rFonts w:ascii="Times New Roman" w:hAnsi="Times New Roman" w:cs="Times New Roman"/>
        </w:rPr>
        <w:t xml:space="preserve"> negatívny vplyv na rozpočet verejnej správy, ktorý nie je zohľadnený v rozpočte verejnej správy na rok 202</w:t>
      </w:r>
      <w:r w:rsidR="00302208">
        <w:rPr>
          <w:rFonts w:ascii="Times New Roman" w:hAnsi="Times New Roman" w:cs="Times New Roman"/>
        </w:rPr>
        <w:t>2</w:t>
      </w:r>
      <w:r w:rsidR="004A26BC" w:rsidRPr="00806408">
        <w:rPr>
          <w:rFonts w:ascii="Times New Roman" w:hAnsi="Times New Roman" w:cs="Times New Roman"/>
        </w:rPr>
        <w:t xml:space="preserve"> a rozpočtovom výhľade na roky </w:t>
      </w:r>
      <w:r w:rsidR="005C14B6" w:rsidRPr="00806408">
        <w:rPr>
          <w:rFonts w:ascii="Times New Roman" w:hAnsi="Times New Roman" w:cs="Times New Roman"/>
        </w:rPr>
        <w:t>202</w:t>
      </w:r>
      <w:r w:rsidR="00302208">
        <w:rPr>
          <w:rFonts w:ascii="Times New Roman" w:hAnsi="Times New Roman" w:cs="Times New Roman"/>
        </w:rPr>
        <w:t>3</w:t>
      </w:r>
      <w:r w:rsidR="005C14B6" w:rsidRPr="00806408">
        <w:rPr>
          <w:rFonts w:ascii="Times New Roman" w:hAnsi="Times New Roman" w:cs="Times New Roman"/>
        </w:rPr>
        <w:t xml:space="preserve"> a 202</w:t>
      </w:r>
      <w:r w:rsidR="00302208">
        <w:rPr>
          <w:rFonts w:ascii="Times New Roman" w:hAnsi="Times New Roman" w:cs="Times New Roman"/>
        </w:rPr>
        <w:t>4</w:t>
      </w:r>
      <w:r w:rsidR="005C14B6" w:rsidRPr="00806408">
        <w:rPr>
          <w:rFonts w:ascii="Times New Roman" w:hAnsi="Times New Roman" w:cs="Times New Roman"/>
        </w:rPr>
        <w:t xml:space="preserve">. Z tohto dôvodu </w:t>
      </w:r>
      <w:r w:rsidR="00806408" w:rsidRPr="00806408">
        <w:rPr>
          <w:rFonts w:ascii="Times New Roman" w:hAnsi="Times New Roman" w:cs="Times New Roman"/>
        </w:rPr>
        <w:t xml:space="preserve"> </w:t>
      </w:r>
      <w:r w:rsidR="00244BA9">
        <w:rPr>
          <w:rFonts w:ascii="Times New Roman" w:hAnsi="Times New Roman" w:cs="Times New Roman"/>
        </w:rPr>
        <w:t>odporúčame</w:t>
      </w:r>
      <w:r w:rsidR="00806408" w:rsidRPr="00806408">
        <w:rPr>
          <w:rFonts w:ascii="Times New Roman" w:hAnsi="Times New Roman" w:cs="Times New Roman"/>
        </w:rPr>
        <w:t xml:space="preserve"> </w:t>
      </w:r>
      <w:r w:rsidR="004A26BC" w:rsidRPr="00806408">
        <w:rPr>
          <w:rFonts w:ascii="Times New Roman" w:hAnsi="Times New Roman" w:cs="Times New Roman"/>
        </w:rPr>
        <w:t>vplyv</w:t>
      </w:r>
      <w:r w:rsidR="00806408" w:rsidRPr="00806408">
        <w:rPr>
          <w:rFonts w:ascii="Times New Roman" w:hAnsi="Times New Roman" w:cs="Times New Roman"/>
        </w:rPr>
        <w:t>y</w:t>
      </w:r>
      <w:r w:rsidR="004A26BC" w:rsidRPr="00806408">
        <w:rPr>
          <w:rFonts w:ascii="Times New Roman" w:hAnsi="Times New Roman" w:cs="Times New Roman"/>
        </w:rPr>
        <w:t xml:space="preserve"> na rozpočet verejnej správy zapracova</w:t>
      </w:r>
      <w:r w:rsidR="00244BA9">
        <w:rPr>
          <w:rFonts w:ascii="Times New Roman" w:hAnsi="Times New Roman" w:cs="Times New Roman"/>
        </w:rPr>
        <w:t>ť</w:t>
      </w:r>
      <w:r w:rsidR="004A26BC" w:rsidRPr="00806408">
        <w:rPr>
          <w:rFonts w:ascii="Times New Roman" w:hAnsi="Times New Roman" w:cs="Times New Roman"/>
        </w:rPr>
        <w:t xml:space="preserve"> pri príprave rozpočtu verejnej správy na rok 202</w:t>
      </w:r>
      <w:r w:rsidR="00302208">
        <w:rPr>
          <w:rFonts w:ascii="Times New Roman" w:hAnsi="Times New Roman" w:cs="Times New Roman"/>
        </w:rPr>
        <w:t>3</w:t>
      </w:r>
      <w:r w:rsidR="004A26BC" w:rsidRPr="00806408">
        <w:rPr>
          <w:rFonts w:ascii="Times New Roman" w:hAnsi="Times New Roman" w:cs="Times New Roman"/>
        </w:rPr>
        <w:t xml:space="preserve"> a rozpočtovom výhľade na roky 202</w:t>
      </w:r>
      <w:r w:rsidR="00302208">
        <w:rPr>
          <w:rFonts w:ascii="Times New Roman" w:hAnsi="Times New Roman" w:cs="Times New Roman"/>
        </w:rPr>
        <w:t>4</w:t>
      </w:r>
      <w:r w:rsidR="004A26BC" w:rsidRPr="00806408">
        <w:rPr>
          <w:rFonts w:ascii="Times New Roman" w:hAnsi="Times New Roman" w:cs="Times New Roman"/>
        </w:rPr>
        <w:t xml:space="preserve"> a 202</w:t>
      </w:r>
      <w:r w:rsidR="00302208">
        <w:rPr>
          <w:rFonts w:ascii="Times New Roman" w:hAnsi="Times New Roman" w:cs="Times New Roman"/>
        </w:rPr>
        <w:t>5</w:t>
      </w:r>
      <w:r w:rsidR="004A26BC" w:rsidRPr="00806408">
        <w:rPr>
          <w:rFonts w:ascii="Times New Roman" w:hAnsi="Times New Roman" w:cs="Times New Roman"/>
        </w:rPr>
        <w:t xml:space="preserve">. </w:t>
      </w:r>
    </w:p>
    <w:p w:rsidR="00E47C9F" w:rsidRPr="0028361B" w:rsidRDefault="00B8370A" w:rsidP="001E6E4A">
      <w:pPr>
        <w:pBdr>
          <w:top w:val="single" w:sz="4" w:space="1" w:color="auto"/>
          <w:left w:val="single" w:sz="4" w:space="4" w:color="auto"/>
          <w:bottom w:val="single" w:sz="4" w:space="1" w:color="auto"/>
          <w:right w:val="single" w:sz="4" w:space="4" w:color="auto"/>
        </w:pBdr>
        <w:spacing w:after="0" w:line="264" w:lineRule="auto"/>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Z</w:t>
      </w:r>
      <w:r w:rsidR="002E00AC" w:rsidRPr="0028361B">
        <w:rPr>
          <w:rFonts w:ascii="Times New Roman" w:eastAsia="Times New Roman" w:hAnsi="Times New Roman" w:cs="Times New Roman"/>
          <w:bCs/>
          <w:lang w:eastAsia="sk-SK"/>
        </w:rPr>
        <w:t xml:space="preserve">výšenie výdavkov </w:t>
      </w:r>
      <w:r w:rsidR="00053B69">
        <w:rPr>
          <w:rFonts w:ascii="Times New Roman" w:eastAsia="Times New Roman" w:hAnsi="Times New Roman" w:cs="Times New Roman"/>
          <w:bCs/>
          <w:lang w:eastAsia="sk-SK"/>
        </w:rPr>
        <w:t xml:space="preserve">Sociálnej poisťovne </w:t>
      </w:r>
      <w:r w:rsidR="004A26BC" w:rsidRPr="0028361B">
        <w:rPr>
          <w:rFonts w:ascii="Times New Roman" w:eastAsia="Times New Roman" w:hAnsi="Times New Roman" w:cs="Times New Roman"/>
          <w:bCs/>
          <w:lang w:eastAsia="sk-SK"/>
        </w:rPr>
        <w:t>v rokoch 202</w:t>
      </w:r>
      <w:r w:rsidR="00714B08">
        <w:rPr>
          <w:rFonts w:ascii="Times New Roman" w:eastAsia="Times New Roman" w:hAnsi="Times New Roman" w:cs="Times New Roman"/>
          <w:bCs/>
          <w:lang w:eastAsia="sk-SK"/>
        </w:rPr>
        <w:t>2</w:t>
      </w:r>
      <w:r w:rsidR="004A26BC" w:rsidRPr="0028361B">
        <w:rPr>
          <w:rFonts w:ascii="Times New Roman" w:eastAsia="Times New Roman" w:hAnsi="Times New Roman" w:cs="Times New Roman"/>
          <w:bCs/>
          <w:lang w:eastAsia="sk-SK"/>
        </w:rPr>
        <w:t xml:space="preserve"> a</w:t>
      </w:r>
      <w:r w:rsidR="00302208">
        <w:rPr>
          <w:rFonts w:ascii="Times New Roman" w:eastAsia="Times New Roman" w:hAnsi="Times New Roman" w:cs="Times New Roman"/>
          <w:bCs/>
          <w:lang w:eastAsia="sk-SK"/>
        </w:rPr>
        <w:t>ž</w:t>
      </w:r>
      <w:r w:rsidR="00B503B3" w:rsidRPr="0028361B">
        <w:rPr>
          <w:rFonts w:ascii="Times New Roman" w:eastAsia="Times New Roman" w:hAnsi="Times New Roman" w:cs="Times New Roman"/>
          <w:bCs/>
          <w:lang w:eastAsia="sk-SK"/>
        </w:rPr>
        <w:t xml:space="preserve"> </w:t>
      </w:r>
      <w:r w:rsidR="00E47C9F" w:rsidRPr="0028361B">
        <w:rPr>
          <w:rFonts w:ascii="Times New Roman" w:eastAsia="Times New Roman" w:hAnsi="Times New Roman" w:cs="Times New Roman"/>
          <w:bCs/>
          <w:lang w:eastAsia="sk-SK"/>
        </w:rPr>
        <w:t>202</w:t>
      </w:r>
      <w:r w:rsidR="00302208">
        <w:rPr>
          <w:rFonts w:ascii="Times New Roman" w:eastAsia="Times New Roman" w:hAnsi="Times New Roman" w:cs="Times New Roman"/>
          <w:bCs/>
          <w:lang w:eastAsia="sk-SK"/>
        </w:rPr>
        <w:t>5</w:t>
      </w:r>
      <w:r w:rsidR="00E47C9F" w:rsidRPr="0028361B">
        <w:rPr>
          <w:rFonts w:ascii="Times New Roman" w:eastAsia="Times New Roman" w:hAnsi="Times New Roman" w:cs="Times New Roman"/>
          <w:bCs/>
          <w:lang w:eastAsia="sk-SK"/>
        </w:rPr>
        <w:t xml:space="preserve"> </w:t>
      </w:r>
      <w:r w:rsidR="00A52274" w:rsidRPr="0028361B">
        <w:rPr>
          <w:rFonts w:ascii="Times New Roman" w:eastAsia="Times New Roman" w:hAnsi="Times New Roman" w:cs="Times New Roman"/>
          <w:bCs/>
          <w:lang w:eastAsia="sk-SK"/>
        </w:rPr>
        <w:t>navrhujeme</w:t>
      </w:r>
      <w:r w:rsidR="002E00AC" w:rsidRPr="0028361B">
        <w:rPr>
          <w:rFonts w:ascii="Times New Roman" w:eastAsia="Times New Roman" w:hAnsi="Times New Roman" w:cs="Times New Roman"/>
          <w:bCs/>
          <w:lang w:eastAsia="sk-SK"/>
        </w:rPr>
        <w:t xml:space="preserve"> riešiť navýšením transferu zo štátneho rozpočtu, ktorý slúži na krytie deficitu v základnom </w:t>
      </w:r>
      <w:r w:rsidR="0078327F" w:rsidRPr="0028361B">
        <w:rPr>
          <w:rFonts w:ascii="Times New Roman" w:eastAsia="Times New Roman" w:hAnsi="Times New Roman" w:cs="Times New Roman"/>
          <w:bCs/>
          <w:lang w:eastAsia="sk-SK"/>
        </w:rPr>
        <w:t xml:space="preserve">fonde starobného </w:t>
      </w:r>
      <w:r w:rsidR="0078327F" w:rsidRPr="0028361B">
        <w:rPr>
          <w:rFonts w:ascii="Times New Roman" w:eastAsia="Times New Roman" w:hAnsi="Times New Roman" w:cs="Times New Roman"/>
          <w:bCs/>
          <w:lang w:eastAsia="sk-SK"/>
        </w:rPr>
        <w:lastRenderedPageBreak/>
        <w:t xml:space="preserve">poistenia. </w:t>
      </w:r>
      <w:r w:rsidR="00B05D79">
        <w:rPr>
          <w:rFonts w:ascii="Times New Roman" w:eastAsia="Times New Roman" w:hAnsi="Times New Roman" w:cs="Times New Roman"/>
          <w:bCs/>
          <w:lang w:eastAsia="sk-SK"/>
        </w:rPr>
        <w:t>Negatívny finančný vplyv na obce a VÚC navrhujeme riešiť efektívnejším výberom dane z príjmu fyzických osôb</w:t>
      </w:r>
      <w:r w:rsidR="0021449D">
        <w:rPr>
          <w:rFonts w:ascii="Times New Roman" w:eastAsia="Times New Roman" w:hAnsi="Times New Roman" w:cs="Times New Roman"/>
          <w:bCs/>
          <w:lang w:eastAsia="sk-SK"/>
        </w:rPr>
        <w:t>.</w:t>
      </w:r>
    </w:p>
    <w:p w:rsidR="00E47C9F" w:rsidRDefault="00E47C9F" w:rsidP="00D75B37">
      <w:pPr>
        <w:spacing w:after="0" w:line="259" w:lineRule="auto"/>
        <w:rPr>
          <w:rFonts w:ascii="Times New Roman" w:eastAsia="Times New Roman" w:hAnsi="Times New Roman" w:cs="Times New Roman"/>
          <w:b/>
          <w:bCs/>
          <w:sz w:val="24"/>
          <w:szCs w:val="24"/>
          <w:lang w:eastAsia="sk-SK"/>
        </w:rPr>
      </w:pPr>
    </w:p>
    <w:p w:rsidR="00E47C9F" w:rsidRPr="007D5748" w:rsidRDefault="00E47C9F" w:rsidP="00D75B37">
      <w:pPr>
        <w:spacing w:after="0" w:line="259"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E47C9F" w:rsidRPr="007D5748" w:rsidRDefault="00E47C9F" w:rsidP="00D75B37">
      <w:pPr>
        <w:spacing w:after="0" w:line="259" w:lineRule="auto"/>
        <w:rPr>
          <w:rFonts w:ascii="Times New Roman" w:eastAsia="Times New Roman" w:hAnsi="Times New Roman" w:cs="Times New Roman"/>
          <w:sz w:val="24"/>
          <w:szCs w:val="24"/>
          <w:lang w:eastAsia="sk-SK"/>
        </w:rPr>
      </w:pPr>
    </w:p>
    <w:p w:rsidR="00E47C9F" w:rsidRPr="007D5748" w:rsidRDefault="00E47C9F" w:rsidP="00D75B37">
      <w:pPr>
        <w:spacing w:after="0" w:line="259"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E47C9F" w:rsidRPr="007D5748" w:rsidRDefault="00E47C9F" w:rsidP="00D75B37">
      <w:pPr>
        <w:spacing w:after="0" w:line="259" w:lineRule="auto"/>
        <w:jc w:val="both"/>
        <w:rPr>
          <w:rFonts w:ascii="Times New Roman" w:eastAsia="Times New Roman" w:hAnsi="Times New Roman" w:cs="Times New Roman"/>
          <w:b/>
          <w:bCs/>
          <w:sz w:val="24"/>
          <w:szCs w:val="24"/>
          <w:lang w:eastAsia="sk-SK"/>
        </w:rPr>
      </w:pPr>
    </w:p>
    <w:p w:rsidR="002E00AC" w:rsidRPr="00B94369" w:rsidRDefault="002E00AC" w:rsidP="001E6E4A">
      <w:pPr>
        <w:spacing w:line="264" w:lineRule="auto"/>
        <w:ind w:firstLine="708"/>
        <w:jc w:val="both"/>
        <w:rPr>
          <w:rFonts w:ascii="Times New Roman" w:hAnsi="Times New Roman" w:cs="Times New Roman"/>
        </w:rPr>
      </w:pPr>
      <w:r w:rsidRPr="00B94369">
        <w:rPr>
          <w:rFonts w:ascii="Times New Roman" w:hAnsi="Times New Roman" w:cs="Times New Roman"/>
        </w:rPr>
        <w:t>Návrh zákona, je vypracovaný na základe ústavných garancií vyplývajúcich z novelizovaného čl. 39 ústavného zákona č. 460/1992 Zb. Ústava Slovenskej republiky v znení ústavného zákona č. 422/2020 Z. z. (ďalej len „Ústava SR“), záväzkov vlády SR v oblasti sociálneho poistenia vyplývajúcich z Programového vyhlásenia vlády SR na roky 2021-2024, Plánu obnovy a odolnosti Slovenskej republiky</w:t>
      </w:r>
      <w:r w:rsidR="002C2100">
        <w:rPr>
          <w:rFonts w:ascii="Times New Roman" w:hAnsi="Times New Roman" w:cs="Times New Roman"/>
        </w:rPr>
        <w:t xml:space="preserve"> a zo špecifických</w:t>
      </w:r>
      <w:r w:rsidR="002C2100" w:rsidRPr="0010567E">
        <w:rPr>
          <w:rFonts w:ascii="Times New Roman" w:hAnsi="Times New Roman" w:cs="Times New Roman"/>
        </w:rPr>
        <w:t xml:space="preserve"> odporúčan</w:t>
      </w:r>
      <w:r w:rsidR="002C2100">
        <w:rPr>
          <w:rFonts w:ascii="Times New Roman" w:hAnsi="Times New Roman" w:cs="Times New Roman"/>
        </w:rPr>
        <w:t>í</w:t>
      </w:r>
      <w:r w:rsidR="002C2100" w:rsidRPr="0010567E">
        <w:rPr>
          <w:rFonts w:ascii="Times New Roman" w:hAnsi="Times New Roman" w:cs="Times New Roman"/>
        </w:rPr>
        <w:t xml:space="preserve"> Rady EÚ z roku 2019</w:t>
      </w:r>
      <w:r w:rsidR="002C2100">
        <w:rPr>
          <w:rFonts w:ascii="Times New Roman" w:hAnsi="Times New Roman" w:cs="Times New Roman"/>
        </w:rPr>
        <w:t xml:space="preserve"> </w:t>
      </w:r>
      <w:r w:rsidR="002C2100" w:rsidRPr="000A020C">
        <w:rPr>
          <w:rFonts w:ascii="Times New Roman" w:hAnsi="Times New Roman" w:cs="Times New Roman"/>
        </w:rPr>
        <w:t>„zabezpečiť dlhodobú udržateľnosť verejných financií, a to najmä systému zdravotnej starostlivosti a dôchodkového systému“.</w:t>
      </w:r>
    </w:p>
    <w:p w:rsidR="00302EFD" w:rsidRPr="00B94369" w:rsidRDefault="002E00AC" w:rsidP="001E6E4A">
      <w:pPr>
        <w:spacing w:line="264" w:lineRule="auto"/>
        <w:ind w:firstLine="708"/>
        <w:jc w:val="both"/>
        <w:rPr>
          <w:rFonts w:ascii="Times New Roman" w:hAnsi="Times New Roman" w:cs="Times New Roman"/>
        </w:rPr>
      </w:pPr>
      <w:r w:rsidRPr="00B94369">
        <w:rPr>
          <w:rFonts w:ascii="Times New Roman" w:eastAsia="Times New Roman" w:hAnsi="Times New Roman" w:cs="Times New Roman"/>
          <w:bCs/>
          <w:color w:val="000000"/>
          <w:lang w:eastAsia="sk-SK"/>
        </w:rPr>
        <w:t xml:space="preserve">Hlavným účelom návrhu zákona je zabezpečiť spôsob a formu vykonávania a realizácie ústavných garancií obsiahnutých </w:t>
      </w:r>
      <w:r w:rsidRPr="00B94369">
        <w:rPr>
          <w:rFonts w:ascii="Times New Roman" w:hAnsi="Times New Roman" w:cs="Times New Roman"/>
        </w:rPr>
        <w:t xml:space="preserve">v čl. </w:t>
      </w:r>
      <w:r w:rsidRPr="00B94369">
        <w:rPr>
          <w:rFonts w:ascii="Times New Roman" w:eastAsia="Times New Roman" w:hAnsi="Times New Roman" w:cs="Times New Roman"/>
          <w:bCs/>
          <w:color w:val="000000"/>
          <w:lang w:eastAsia="sk-SK"/>
        </w:rPr>
        <w:t>39 Ústavy SR s účinnosťou od 1. januára 2023 vo vykonávacom predpise, ktorým je zákon č. 461/2003 Z. z. o sociálnom poistení v znení neskorších predpisov (ďalej len „zákon o sociálnom poistení“), ktoré s</w:t>
      </w:r>
      <w:r w:rsidRPr="00B94369">
        <w:rPr>
          <w:rFonts w:ascii="Times New Roman" w:hAnsi="Times New Roman" w:cs="Times New Roman"/>
        </w:rPr>
        <w:t>účasný právny stav nezohľadňuje.</w:t>
      </w:r>
    </w:p>
    <w:p w:rsidR="002E00AC" w:rsidRPr="00B94369" w:rsidRDefault="002E00AC" w:rsidP="001E6E4A">
      <w:pPr>
        <w:spacing w:line="264" w:lineRule="auto"/>
        <w:jc w:val="both"/>
        <w:rPr>
          <w:rFonts w:ascii="Times New Roman" w:eastAsia="Times New Roman" w:hAnsi="Times New Roman" w:cs="Times New Roman"/>
          <w:sz w:val="24"/>
          <w:szCs w:val="24"/>
          <w:lang w:eastAsia="sk-SK"/>
        </w:rPr>
      </w:pPr>
      <w:r w:rsidRPr="00B94369">
        <w:rPr>
          <w:rFonts w:ascii="Times New Roman" w:hAnsi="Times New Roman" w:cs="Times New Roman"/>
        </w:rPr>
        <w:t>Ústavné garancie, ktoré reflektuje návrh zákona:</w:t>
      </w:r>
    </w:p>
    <w:p w:rsidR="002E00AC" w:rsidRDefault="002E00AC" w:rsidP="001E6E4A">
      <w:pPr>
        <w:pStyle w:val="Odsekzoznamu"/>
        <w:numPr>
          <w:ilvl w:val="0"/>
          <w:numId w:val="14"/>
        </w:numPr>
        <w:spacing w:line="264" w:lineRule="auto"/>
        <w:jc w:val="both"/>
        <w:rPr>
          <w:rFonts w:ascii="Times New Roman" w:hAnsi="Times New Roman" w:cs="Times New Roman"/>
          <w:bCs/>
        </w:rPr>
      </w:pPr>
      <w:r w:rsidRPr="00B94369">
        <w:rPr>
          <w:rFonts w:ascii="Times New Roman" w:hAnsi="Times New Roman" w:cs="Times New Roman"/>
        </w:rPr>
        <w:t xml:space="preserve">V súvislosti s vypustením tzv. „dôchodkového stropu“ z Ústavy SR a záväzkami vyplývajúcimi z návrhu Plánu obnovy a odolnosti Slovenskej republiky sa navrhuje </w:t>
      </w:r>
      <w:r w:rsidRPr="00B94369">
        <w:rPr>
          <w:rFonts w:ascii="Times New Roman" w:hAnsi="Times New Roman" w:cs="Times New Roman"/>
          <w:bCs/>
        </w:rPr>
        <w:t>obnovenie väzby dôchodkového veku na rast strednej dĺžky života. Uvedené sa navrhuje s cieľom zlepšiť finančnú udržateľnosť priebežne financovaného I. piliera dôchodkového systému a stabilizovať výplatnú fázu dôchodkov.</w:t>
      </w:r>
      <w:r w:rsidR="000B5C0D" w:rsidRPr="00B94369">
        <w:rPr>
          <w:rFonts w:ascii="Times New Roman" w:hAnsi="Times New Roman" w:cs="Times New Roman"/>
          <w:bCs/>
        </w:rPr>
        <w:t xml:space="preserve"> </w:t>
      </w:r>
    </w:p>
    <w:p w:rsidR="00EF7B49" w:rsidRPr="00B94369" w:rsidRDefault="00EF7B49" w:rsidP="001E6E4A">
      <w:pPr>
        <w:pStyle w:val="Odsekzoznamu"/>
        <w:spacing w:line="264" w:lineRule="auto"/>
        <w:jc w:val="both"/>
        <w:rPr>
          <w:rFonts w:ascii="Times New Roman" w:hAnsi="Times New Roman" w:cs="Times New Roman"/>
          <w:bCs/>
        </w:rPr>
      </w:pPr>
    </w:p>
    <w:p w:rsidR="002E00AC" w:rsidRPr="00EF7B49" w:rsidRDefault="00B82D38" w:rsidP="001E6E4A">
      <w:pPr>
        <w:pStyle w:val="Odsekzoznamu"/>
        <w:numPr>
          <w:ilvl w:val="0"/>
          <w:numId w:val="14"/>
        </w:numPr>
        <w:spacing w:line="264" w:lineRule="auto"/>
        <w:jc w:val="both"/>
        <w:rPr>
          <w:rFonts w:ascii="Times New Roman" w:hAnsi="Times New Roman" w:cs="Times New Roman"/>
          <w:bCs/>
        </w:rPr>
      </w:pPr>
      <w:r w:rsidRPr="00B94369">
        <w:rPr>
          <w:rFonts w:ascii="Times New Roman" w:hAnsi="Times New Roman" w:cs="Times New Roman"/>
          <w:bCs/>
        </w:rPr>
        <w:t xml:space="preserve">Garancia odchodu do dôchodku za stanovený počet odpracovaných rokov, t. j. aby osobe, ktorá </w:t>
      </w:r>
      <w:r w:rsidRPr="00B94369">
        <w:rPr>
          <w:rFonts w:ascii="Times New Roman" w:hAnsi="Times New Roman" w:cs="Times New Roman"/>
        </w:rPr>
        <w:t>dosiahla ustanovený počet odpracovaných rokov, vznikol nárok na primerané hmotné zabezpečenie v starobe.</w:t>
      </w:r>
      <w:r w:rsidR="000B5C0D" w:rsidRPr="00B94369">
        <w:rPr>
          <w:rFonts w:ascii="Times New Roman" w:hAnsi="Times New Roman" w:cs="Times New Roman"/>
        </w:rPr>
        <w:t xml:space="preserve"> </w:t>
      </w:r>
      <w:r w:rsidR="00302208">
        <w:rPr>
          <w:rFonts w:ascii="Times New Roman" w:hAnsi="Times New Roman" w:cs="Times New Roman"/>
        </w:rPr>
        <w:t>V rámci uvedeného opatrenia sa navrh</w:t>
      </w:r>
      <w:r w:rsidR="00043B6E">
        <w:rPr>
          <w:rFonts w:ascii="Times New Roman" w:hAnsi="Times New Roman" w:cs="Times New Roman"/>
        </w:rPr>
        <w:t xml:space="preserve">uje zavedenie aktuárne </w:t>
      </w:r>
      <w:r w:rsidR="00244BA9">
        <w:rPr>
          <w:rFonts w:ascii="Times New Roman" w:hAnsi="Times New Roman" w:cs="Times New Roman"/>
        </w:rPr>
        <w:t>neutrálneho</w:t>
      </w:r>
      <w:r w:rsidR="00302208">
        <w:rPr>
          <w:rFonts w:ascii="Times New Roman" w:hAnsi="Times New Roman" w:cs="Times New Roman"/>
        </w:rPr>
        <w:t xml:space="preserve"> krátenia </w:t>
      </w:r>
      <w:r w:rsidR="00043B6E">
        <w:rPr>
          <w:rFonts w:ascii="Times New Roman" w:hAnsi="Times New Roman" w:cs="Times New Roman"/>
        </w:rPr>
        <w:t xml:space="preserve">predčasného starobného dôchodku </w:t>
      </w:r>
      <w:r w:rsidR="00302208">
        <w:rPr>
          <w:rFonts w:ascii="Times New Roman" w:hAnsi="Times New Roman" w:cs="Times New Roman"/>
        </w:rPr>
        <w:t>pre osoby</w:t>
      </w:r>
      <w:r w:rsidR="00043B6E">
        <w:rPr>
          <w:rFonts w:ascii="Times New Roman" w:hAnsi="Times New Roman" w:cs="Times New Roman"/>
        </w:rPr>
        <w:t>, ktoré spĺňajú</w:t>
      </w:r>
      <w:r w:rsidR="00120CF4">
        <w:rPr>
          <w:rFonts w:ascii="Times New Roman" w:hAnsi="Times New Roman" w:cs="Times New Roman"/>
        </w:rPr>
        <w:t>/splnia</w:t>
      </w:r>
      <w:r w:rsidR="00043B6E">
        <w:rPr>
          <w:rFonts w:ascii="Times New Roman" w:hAnsi="Times New Roman" w:cs="Times New Roman"/>
        </w:rPr>
        <w:t xml:space="preserve"> podmienku 40-tich odpracovaných rokov. Uvedená </w:t>
      </w:r>
      <w:r w:rsidR="002133A2">
        <w:rPr>
          <w:rFonts w:ascii="Times New Roman" w:hAnsi="Times New Roman" w:cs="Times New Roman"/>
        </w:rPr>
        <w:t xml:space="preserve">právna úprava </w:t>
      </w:r>
      <w:r w:rsidR="00043B6E">
        <w:rPr>
          <w:rFonts w:ascii="Times New Roman" w:hAnsi="Times New Roman" w:cs="Times New Roman"/>
        </w:rPr>
        <w:t>sa bude</w:t>
      </w:r>
      <w:r w:rsidR="002133A2">
        <w:rPr>
          <w:rFonts w:ascii="Times New Roman" w:hAnsi="Times New Roman" w:cs="Times New Roman"/>
        </w:rPr>
        <w:t xml:space="preserve"> vzťahovať</w:t>
      </w:r>
      <w:r w:rsidR="00302208">
        <w:rPr>
          <w:rFonts w:ascii="Times New Roman" w:hAnsi="Times New Roman" w:cs="Times New Roman"/>
        </w:rPr>
        <w:t xml:space="preserve"> </w:t>
      </w:r>
      <w:r w:rsidR="00302208" w:rsidRPr="00CB6ACF">
        <w:rPr>
          <w:rFonts w:ascii="Times New Roman" w:hAnsi="Times New Roman" w:cs="Times New Roman"/>
        </w:rPr>
        <w:t>aj</w:t>
      </w:r>
      <w:r w:rsidR="00302208">
        <w:rPr>
          <w:rFonts w:ascii="Times New Roman" w:hAnsi="Times New Roman" w:cs="Times New Roman"/>
        </w:rPr>
        <w:t xml:space="preserve"> </w:t>
      </w:r>
      <w:r w:rsidR="002133A2">
        <w:rPr>
          <w:rFonts w:ascii="Times New Roman" w:hAnsi="Times New Roman" w:cs="Times New Roman"/>
        </w:rPr>
        <w:t>na osoby</w:t>
      </w:r>
      <w:r w:rsidR="00302208">
        <w:rPr>
          <w:rFonts w:ascii="Times New Roman" w:hAnsi="Times New Roman" w:cs="Times New Roman"/>
        </w:rPr>
        <w:t xml:space="preserve">, ktorým </w:t>
      </w:r>
      <w:r w:rsidR="0075778A">
        <w:rPr>
          <w:rFonts w:ascii="Times New Roman" w:hAnsi="Times New Roman" w:cs="Times New Roman"/>
        </w:rPr>
        <w:t xml:space="preserve">bol </w:t>
      </w:r>
      <w:r w:rsidR="00302208">
        <w:rPr>
          <w:rFonts w:ascii="Times New Roman" w:hAnsi="Times New Roman" w:cs="Times New Roman"/>
        </w:rPr>
        <w:t>priznaný predčasný starobný dôchodok</w:t>
      </w:r>
      <w:r w:rsidR="0075778A">
        <w:rPr>
          <w:rFonts w:ascii="Times New Roman" w:hAnsi="Times New Roman" w:cs="Times New Roman"/>
        </w:rPr>
        <w:t xml:space="preserve"> pred 1. januárom 2023</w:t>
      </w:r>
      <w:r w:rsidR="00302208">
        <w:rPr>
          <w:rFonts w:ascii="Times New Roman" w:hAnsi="Times New Roman" w:cs="Times New Roman"/>
        </w:rPr>
        <w:t xml:space="preserve"> a splnili podmienku 40-tich odpracovaných rokov.</w:t>
      </w:r>
      <w:r w:rsidR="00043B6E">
        <w:rPr>
          <w:rFonts w:ascii="Times New Roman" w:hAnsi="Times New Roman" w:cs="Times New Roman"/>
        </w:rPr>
        <w:t xml:space="preserve"> U týchto poistencov vykoná Sociálna poisťovňa prepočet ich dôchodku so zohľadnením aktuárne neutrálneho krátenia</w:t>
      </w:r>
      <w:r w:rsidR="00244BA9">
        <w:rPr>
          <w:rFonts w:ascii="Times New Roman" w:hAnsi="Times New Roman" w:cs="Times New Roman"/>
        </w:rPr>
        <w:t xml:space="preserve"> a od účinnosti uvedeného opatrenia im vznikne nárok na upravenú sumu dôchodku</w:t>
      </w:r>
      <w:r w:rsidR="00043B6E">
        <w:rPr>
          <w:rFonts w:ascii="Times New Roman" w:hAnsi="Times New Roman" w:cs="Times New Roman"/>
        </w:rPr>
        <w:t>.</w:t>
      </w:r>
      <w:r w:rsidR="00302208" w:rsidRPr="00302208">
        <w:rPr>
          <w:rFonts w:ascii="Times New Roman" w:hAnsi="Times New Roman" w:cs="Times New Roman"/>
        </w:rPr>
        <w:t xml:space="preserve"> </w:t>
      </w:r>
      <w:r w:rsidR="00302208" w:rsidRPr="00B94369">
        <w:rPr>
          <w:rFonts w:ascii="Times New Roman" w:hAnsi="Times New Roman" w:cs="Times New Roman"/>
        </w:rPr>
        <w:t>Účinnosť uvedeného opatrenia sa navrhuje od 1. januára 2023.</w:t>
      </w:r>
    </w:p>
    <w:p w:rsidR="00EF7B49" w:rsidRPr="00B94369" w:rsidRDefault="00EF7B49" w:rsidP="001E6E4A">
      <w:pPr>
        <w:pStyle w:val="Odsekzoznamu"/>
        <w:spacing w:line="264" w:lineRule="auto"/>
        <w:jc w:val="both"/>
        <w:rPr>
          <w:rFonts w:ascii="Times New Roman" w:hAnsi="Times New Roman" w:cs="Times New Roman"/>
          <w:bCs/>
        </w:rPr>
      </w:pPr>
    </w:p>
    <w:p w:rsidR="00244BA9" w:rsidRPr="00013C45" w:rsidRDefault="0078327F" w:rsidP="00013C45">
      <w:pPr>
        <w:pStyle w:val="Odsekzoznamu"/>
        <w:numPr>
          <w:ilvl w:val="0"/>
          <w:numId w:val="14"/>
        </w:numPr>
        <w:spacing w:line="264" w:lineRule="auto"/>
        <w:jc w:val="both"/>
        <w:rPr>
          <w:rFonts w:ascii="Times New Roman" w:hAnsi="Times New Roman" w:cs="Times New Roman"/>
          <w:bCs/>
        </w:rPr>
      </w:pPr>
      <w:r w:rsidRPr="00B94369">
        <w:rPr>
          <w:rFonts w:ascii="Times New Roman" w:hAnsi="Times New Roman" w:cs="Times New Roman"/>
        </w:rPr>
        <w:t xml:space="preserve">Právo rozhodnúť sa, že časť uhradenej dane alebo časť uhradenej platby spojenej s účasťou na systéme primeraného hmotného zabezpečenia v starobe bude poskytnutá osobe, ktorá </w:t>
      </w:r>
      <w:r w:rsidR="00414F6F">
        <w:rPr>
          <w:rFonts w:ascii="Times New Roman" w:hAnsi="Times New Roman" w:cs="Times New Roman"/>
        </w:rPr>
        <w:t>poistenca</w:t>
      </w:r>
      <w:r w:rsidR="00414F6F" w:rsidRPr="00B94369">
        <w:rPr>
          <w:rFonts w:ascii="Times New Roman" w:hAnsi="Times New Roman" w:cs="Times New Roman"/>
        </w:rPr>
        <w:t xml:space="preserve"> </w:t>
      </w:r>
      <w:r w:rsidRPr="00B94369">
        <w:rPr>
          <w:rFonts w:ascii="Times New Roman" w:hAnsi="Times New Roman" w:cs="Times New Roman"/>
        </w:rPr>
        <w:t xml:space="preserve">vychovala a ktorej je poskytované hmotné zabezpečenie v starobe. V zmysle aktuálne účinnej právnej úpravy platenia poistného nie je možné, aby časť uhradenej platby spojenej s účasťou na systéme primeraného hmotného zabezpečenia v starobe poistenec poskytoval osobe, ktorá </w:t>
      </w:r>
      <w:r w:rsidR="00414F6F">
        <w:rPr>
          <w:rFonts w:ascii="Times New Roman" w:hAnsi="Times New Roman" w:cs="Times New Roman"/>
        </w:rPr>
        <w:t>poistenca</w:t>
      </w:r>
      <w:r w:rsidR="00414F6F" w:rsidRPr="00B94369">
        <w:rPr>
          <w:rFonts w:ascii="Times New Roman" w:hAnsi="Times New Roman" w:cs="Times New Roman"/>
        </w:rPr>
        <w:t xml:space="preserve"> </w:t>
      </w:r>
      <w:r w:rsidRPr="00B94369">
        <w:rPr>
          <w:rFonts w:ascii="Times New Roman" w:hAnsi="Times New Roman" w:cs="Times New Roman"/>
        </w:rPr>
        <w:t>vychovala a ktorej je poskytované hmotné zabezpečenie v starobe (asignácia odvodov).</w:t>
      </w:r>
      <w:r w:rsidRPr="00B94369" w:rsidDel="00D13E21">
        <w:rPr>
          <w:rFonts w:ascii="Times New Roman" w:hAnsi="Times New Roman" w:cs="Times New Roman"/>
        </w:rPr>
        <w:t xml:space="preserve"> </w:t>
      </w:r>
      <w:r w:rsidRPr="00B94369">
        <w:rPr>
          <w:rFonts w:ascii="Times New Roman" w:hAnsi="Times New Roman" w:cs="Times New Roman"/>
        </w:rPr>
        <w:t xml:space="preserve">V zmysle uvedeného sa navrhuje zaviesť tzv. rodičovský dôchodok, ktorý by uvedené zohľadňoval. </w:t>
      </w:r>
      <w:r w:rsidR="00414F6F">
        <w:rPr>
          <w:rFonts w:ascii="Times New Roman" w:hAnsi="Times New Roman" w:cs="Times New Roman"/>
        </w:rPr>
        <w:t xml:space="preserve">Rodičovský dôchodok sa navrhuje vyplácať </w:t>
      </w:r>
      <w:r w:rsidR="000B5C0D" w:rsidRPr="00B94369">
        <w:rPr>
          <w:rFonts w:ascii="Times New Roman" w:hAnsi="Times New Roman" w:cs="Times New Roman"/>
        </w:rPr>
        <w:t xml:space="preserve"> od 1. januára 2023.</w:t>
      </w:r>
    </w:p>
    <w:p w:rsidR="00244BA9" w:rsidRPr="00414F6F" w:rsidRDefault="00244BA9" w:rsidP="00414F6F">
      <w:pPr>
        <w:ind w:left="360"/>
        <w:jc w:val="both"/>
        <w:rPr>
          <w:rFonts w:ascii="Times New Roman" w:hAnsi="Times New Roman" w:cs="Times New Roman"/>
          <w:bCs/>
        </w:rPr>
      </w:pPr>
      <w:r w:rsidRPr="00414F6F">
        <w:rPr>
          <w:rFonts w:ascii="Times New Roman" w:hAnsi="Times New Roman" w:cs="Times New Roman"/>
          <w:bCs/>
        </w:rPr>
        <w:lastRenderedPageBreak/>
        <w:t xml:space="preserve">V nadväznosti na špecifické odporúčanie Rady EÚ pre Slovenskú republiku z roku 2019  „zabezpečiť dlhodobú udržateľnosť verejných financií, a to najmä systému zdravotnej starostlivosti a dôchodkového systému“ sa navrhuje:  </w:t>
      </w:r>
    </w:p>
    <w:p w:rsidR="00414F6F" w:rsidRDefault="00414F6F" w:rsidP="00414F6F">
      <w:pPr>
        <w:pStyle w:val="Odsekzoznamu"/>
        <w:numPr>
          <w:ilvl w:val="0"/>
          <w:numId w:val="14"/>
        </w:numPr>
        <w:spacing w:line="240" w:lineRule="auto"/>
        <w:jc w:val="both"/>
        <w:rPr>
          <w:rFonts w:ascii="Times New Roman" w:hAnsi="Times New Roman" w:cs="Times New Roman"/>
        </w:rPr>
      </w:pPr>
      <w:r>
        <w:rPr>
          <w:rFonts w:ascii="Times New Roman" w:hAnsi="Times New Roman" w:cs="Times New Roman"/>
          <w:kern w:val="3"/>
        </w:rPr>
        <w:t xml:space="preserve">Sprísnenie podmienok pri posudzovaní vzniku nároku na predčasný starobný dôchodok. Novela zákona navrhuje, aby nárok na predčasný starobný dôchodok vznikal len tým poistencom, ktorých suma predčasného starobného dôchodku bude najmenej na úrovni sumy minimálneho dôchodku pre príslušnú úroveň získaných kvalifikovaných rokov dôchodkového poistenia. V prípade poistencov, ktorí získali menej ako 30 kvalifikovaných rokov dôchodkového poistenia je stanovená hranica nároku na úrovni minimálneho dôchodku, ktorý patrí za 30 kvalifikovaných rokov dôchodkového poistenia. </w:t>
      </w:r>
      <w:r w:rsidRPr="0010567E">
        <w:rPr>
          <w:rFonts w:ascii="Times New Roman" w:hAnsi="Times New Roman" w:cs="Times New Roman"/>
        </w:rPr>
        <w:t xml:space="preserve">Účinnosť uvedeného opatrenia sa navrhuje od 1. </w:t>
      </w:r>
      <w:r>
        <w:rPr>
          <w:rFonts w:ascii="Times New Roman" w:hAnsi="Times New Roman" w:cs="Times New Roman"/>
        </w:rPr>
        <w:t>augusta</w:t>
      </w:r>
      <w:r w:rsidRPr="0010567E">
        <w:rPr>
          <w:rFonts w:ascii="Times New Roman" w:hAnsi="Times New Roman" w:cs="Times New Roman"/>
        </w:rPr>
        <w:t xml:space="preserve"> 202</w:t>
      </w:r>
      <w:r>
        <w:rPr>
          <w:rFonts w:ascii="Times New Roman" w:hAnsi="Times New Roman" w:cs="Times New Roman"/>
        </w:rPr>
        <w:t>2</w:t>
      </w:r>
      <w:r w:rsidRPr="0010567E">
        <w:rPr>
          <w:rFonts w:ascii="Times New Roman" w:hAnsi="Times New Roman" w:cs="Times New Roman"/>
        </w:rPr>
        <w:t>.</w:t>
      </w:r>
    </w:p>
    <w:p w:rsidR="00013C45" w:rsidRDefault="00013C45" w:rsidP="00013C45">
      <w:pPr>
        <w:pStyle w:val="Odsekzoznamu"/>
        <w:spacing w:line="240" w:lineRule="auto"/>
        <w:jc w:val="both"/>
        <w:rPr>
          <w:rFonts w:ascii="Times New Roman" w:hAnsi="Times New Roman" w:cs="Times New Roman"/>
        </w:rPr>
      </w:pPr>
    </w:p>
    <w:p w:rsidR="009C7D41" w:rsidRPr="00013C45" w:rsidRDefault="00244BA9" w:rsidP="00013C45">
      <w:pPr>
        <w:pStyle w:val="Odsekzoznamu"/>
        <w:numPr>
          <w:ilvl w:val="0"/>
          <w:numId w:val="14"/>
        </w:numPr>
        <w:spacing w:line="240" w:lineRule="auto"/>
        <w:jc w:val="both"/>
        <w:rPr>
          <w:rFonts w:ascii="Times New Roman" w:hAnsi="Times New Roman" w:cs="Times New Roman"/>
        </w:rPr>
      </w:pPr>
      <w:r w:rsidRPr="00013C45">
        <w:rPr>
          <w:rFonts w:ascii="Times New Roman" w:hAnsi="Times New Roman" w:cs="Times New Roman"/>
          <w:kern w:val="3"/>
        </w:rPr>
        <w:t xml:space="preserve">Korekcia aktuálnej dôchodkovej hodnoty. V súčasnosti je aktuálna dôchodková hodnota každoročne k 1. januáru upravovaná vzhľadom na medziročnú zmenu priemernej mzdy v národnom hospodárstve zistenú Štatistickým úradom SR za 3. štvrťrok kalendárneho roka. Korekčný mechanizmus spočíva v tom, že z medziročnej zmeny priemernej mzdy  sa na účely určenia indexu úpravy aktuálnej dôchodkovej hodnoty od 1. januára 2023 použije len 95 % tejto hodnoty.  Účinnosť predmetného opatrenia sa navrhuje od 1. januára 2023.  </w:t>
      </w:r>
    </w:p>
    <w:p w:rsidR="00E47C9F" w:rsidRPr="007D5748" w:rsidRDefault="00E47C9F" w:rsidP="001E6E4A">
      <w:pPr>
        <w:spacing w:after="0" w:line="264"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E47C9F" w:rsidRPr="007D5748" w:rsidRDefault="00E47C9F" w:rsidP="001E6E4A">
      <w:pPr>
        <w:spacing w:after="0" w:line="264" w:lineRule="auto"/>
        <w:rPr>
          <w:rFonts w:ascii="Times New Roman" w:eastAsia="Times New Roman" w:hAnsi="Times New Roman" w:cs="Times New Roman"/>
          <w:sz w:val="24"/>
          <w:szCs w:val="24"/>
          <w:lang w:eastAsia="sk-SK"/>
        </w:rPr>
      </w:pPr>
    </w:p>
    <w:p w:rsidR="00E47C9F" w:rsidRPr="007D5748" w:rsidRDefault="00E47C9F" w:rsidP="001E6E4A">
      <w:pPr>
        <w:spacing w:after="0" w:line="264"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E47C9F" w:rsidRPr="007D5748" w:rsidRDefault="00E47C9F" w:rsidP="001E6E4A">
      <w:pPr>
        <w:spacing w:after="0" w:line="264"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E47C9F" w:rsidRPr="007D5748" w:rsidRDefault="00E47C9F" w:rsidP="001E6E4A">
      <w:pPr>
        <w:spacing w:after="0" w:line="264"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E0143E">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E47C9F" w:rsidRPr="007D5748" w:rsidRDefault="00E47C9F" w:rsidP="001E6E4A">
      <w:pPr>
        <w:spacing w:after="0" w:line="264"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FB6734">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E47C9F" w:rsidRPr="007D5748" w:rsidRDefault="00FB6734" w:rsidP="001E6E4A">
      <w:pPr>
        <w:spacing w:after="0" w:line="264"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E47C9F" w:rsidRPr="007D5748">
        <w:rPr>
          <w:rFonts w:ascii="Times New Roman" w:eastAsia="Times New Roman" w:hAnsi="Times New Roman" w:cs="Times New Roman"/>
          <w:sz w:val="24"/>
          <w:szCs w:val="24"/>
          <w:bdr w:val="single" w:sz="4" w:space="0" w:color="auto"/>
          <w:lang w:eastAsia="sk-SK"/>
        </w:rPr>
        <w:t xml:space="preserve"> </w:t>
      </w:r>
      <w:r w:rsidR="00E47C9F" w:rsidRPr="007D5748">
        <w:rPr>
          <w:rFonts w:ascii="Times New Roman" w:eastAsia="Times New Roman" w:hAnsi="Times New Roman" w:cs="Times New Roman"/>
          <w:sz w:val="24"/>
          <w:szCs w:val="24"/>
          <w:lang w:eastAsia="sk-SK"/>
        </w:rPr>
        <w:t xml:space="preserve">  iné </w:t>
      </w:r>
    </w:p>
    <w:p w:rsidR="0051374A" w:rsidRPr="007D5748" w:rsidRDefault="0051374A" w:rsidP="001E6E4A">
      <w:pPr>
        <w:spacing w:after="0" w:line="264" w:lineRule="auto"/>
        <w:rPr>
          <w:rFonts w:ascii="Times New Roman" w:eastAsia="Times New Roman" w:hAnsi="Times New Roman" w:cs="Times New Roman"/>
          <w:sz w:val="24"/>
          <w:szCs w:val="24"/>
          <w:lang w:eastAsia="sk-SK"/>
        </w:rPr>
      </w:pPr>
    </w:p>
    <w:p w:rsidR="00E47C9F" w:rsidRDefault="00E47C9F" w:rsidP="001E6E4A">
      <w:pPr>
        <w:spacing w:after="0" w:line="264" w:lineRule="auto"/>
        <w:rPr>
          <w:rFonts w:ascii="Times New Roman" w:eastAsia="Times New Roman" w:hAnsi="Times New Roman" w:cs="Times New Roman"/>
          <w:b/>
          <w:bCs/>
          <w:sz w:val="24"/>
          <w:szCs w:val="24"/>
          <w:lang w:eastAsia="sk-SK"/>
        </w:rPr>
      </w:pPr>
      <w:bookmarkStart w:id="1" w:name="informacne_systemy"/>
      <w:r w:rsidRPr="007D5748">
        <w:rPr>
          <w:rFonts w:ascii="Times New Roman" w:eastAsia="Times New Roman" w:hAnsi="Times New Roman" w:cs="Times New Roman"/>
          <w:b/>
          <w:bCs/>
          <w:sz w:val="24"/>
          <w:szCs w:val="24"/>
          <w:lang w:eastAsia="sk-SK"/>
        </w:rPr>
        <w:t>2.2.3. Predpoklady vývoja objemu aktivít</w:t>
      </w:r>
      <w:bookmarkEnd w:id="1"/>
      <w:r w:rsidRPr="007D5748">
        <w:rPr>
          <w:rFonts w:ascii="Times New Roman" w:eastAsia="Times New Roman" w:hAnsi="Times New Roman" w:cs="Times New Roman"/>
          <w:b/>
          <w:bCs/>
          <w:sz w:val="24"/>
          <w:szCs w:val="24"/>
          <w:lang w:eastAsia="sk-SK"/>
        </w:rPr>
        <w:t>:</w:t>
      </w:r>
    </w:p>
    <w:p w:rsidR="00E47C9F" w:rsidRDefault="00E47C9F" w:rsidP="001E6E4A">
      <w:pPr>
        <w:spacing w:after="0" w:line="264" w:lineRule="auto"/>
        <w:rPr>
          <w:rFonts w:ascii="Times New Roman" w:eastAsia="Times New Roman" w:hAnsi="Times New Roman" w:cs="Times New Roman"/>
          <w:b/>
          <w:bCs/>
          <w:sz w:val="24"/>
          <w:szCs w:val="24"/>
          <w:lang w:eastAsia="sk-SK"/>
        </w:rPr>
      </w:pPr>
    </w:p>
    <w:p w:rsidR="00B94369" w:rsidRPr="00B94369" w:rsidRDefault="00FB6734" w:rsidP="001E6E4A">
      <w:pPr>
        <w:spacing w:after="0" w:line="264" w:lineRule="auto"/>
        <w:ind w:firstLine="708"/>
        <w:jc w:val="both"/>
        <w:rPr>
          <w:rFonts w:ascii="Times New Roman" w:eastAsia="Times New Roman" w:hAnsi="Times New Roman" w:cs="Times New Roman"/>
          <w:szCs w:val="24"/>
          <w:lang w:eastAsia="sk-SK"/>
        </w:rPr>
      </w:pPr>
      <w:r w:rsidRPr="00B94369">
        <w:rPr>
          <w:rFonts w:ascii="Times New Roman" w:eastAsia="Times New Roman" w:hAnsi="Times New Roman" w:cs="Times New Roman"/>
          <w:szCs w:val="24"/>
          <w:lang w:eastAsia="sk-SK"/>
        </w:rPr>
        <w:t xml:space="preserve">Navrhovaná právna úprava </w:t>
      </w:r>
      <w:r w:rsidR="00807369">
        <w:rPr>
          <w:rFonts w:ascii="Times New Roman" w:eastAsia="Times New Roman" w:hAnsi="Times New Roman" w:cs="Times New Roman"/>
          <w:szCs w:val="24"/>
          <w:lang w:eastAsia="sk-SK"/>
        </w:rPr>
        <w:t>zakladá</w:t>
      </w:r>
      <w:r w:rsidRPr="00B94369">
        <w:rPr>
          <w:rFonts w:ascii="Times New Roman" w:eastAsia="Times New Roman" w:hAnsi="Times New Roman" w:cs="Times New Roman"/>
          <w:szCs w:val="24"/>
          <w:lang w:eastAsia="sk-SK"/>
        </w:rPr>
        <w:t xml:space="preserve">  vplyv</w:t>
      </w:r>
      <w:r w:rsidR="00807369">
        <w:rPr>
          <w:rFonts w:ascii="Times New Roman" w:eastAsia="Times New Roman" w:hAnsi="Times New Roman" w:cs="Times New Roman"/>
          <w:szCs w:val="24"/>
          <w:lang w:eastAsia="sk-SK"/>
        </w:rPr>
        <w:t>y</w:t>
      </w:r>
      <w:r w:rsidRPr="00B94369">
        <w:rPr>
          <w:rFonts w:ascii="Times New Roman" w:eastAsia="Times New Roman" w:hAnsi="Times New Roman" w:cs="Times New Roman"/>
          <w:szCs w:val="24"/>
          <w:lang w:eastAsia="sk-SK"/>
        </w:rPr>
        <w:t xml:space="preserve"> na</w:t>
      </w:r>
      <w:r w:rsidR="00806408">
        <w:rPr>
          <w:rFonts w:ascii="Times New Roman" w:eastAsia="Times New Roman" w:hAnsi="Times New Roman" w:cs="Times New Roman"/>
          <w:szCs w:val="24"/>
          <w:lang w:eastAsia="sk-SK"/>
        </w:rPr>
        <w:t xml:space="preserve"> výdavky</w:t>
      </w:r>
      <w:r w:rsidR="00807369">
        <w:rPr>
          <w:rFonts w:ascii="Times New Roman" w:eastAsia="Times New Roman" w:hAnsi="Times New Roman" w:cs="Times New Roman"/>
          <w:szCs w:val="24"/>
          <w:lang w:eastAsia="sk-SK"/>
        </w:rPr>
        <w:t xml:space="preserve"> spojené s nastavením</w:t>
      </w:r>
      <w:r w:rsidRPr="00B94369">
        <w:rPr>
          <w:rFonts w:ascii="Times New Roman" w:eastAsia="Times New Roman" w:hAnsi="Times New Roman" w:cs="Times New Roman"/>
          <w:szCs w:val="24"/>
          <w:lang w:eastAsia="sk-SK"/>
        </w:rPr>
        <w:t xml:space="preserve"> informačn</w:t>
      </w:r>
      <w:r w:rsidR="00807369">
        <w:rPr>
          <w:rFonts w:ascii="Times New Roman" w:eastAsia="Times New Roman" w:hAnsi="Times New Roman" w:cs="Times New Roman"/>
          <w:szCs w:val="24"/>
          <w:lang w:eastAsia="sk-SK"/>
        </w:rPr>
        <w:t>ých</w:t>
      </w:r>
      <w:r w:rsidRPr="00B94369">
        <w:rPr>
          <w:rFonts w:ascii="Times New Roman" w:eastAsia="Times New Roman" w:hAnsi="Times New Roman" w:cs="Times New Roman"/>
          <w:szCs w:val="24"/>
          <w:lang w:eastAsia="sk-SK"/>
        </w:rPr>
        <w:t xml:space="preserve"> systém</w:t>
      </w:r>
      <w:r w:rsidR="00807369">
        <w:rPr>
          <w:rFonts w:ascii="Times New Roman" w:eastAsia="Times New Roman" w:hAnsi="Times New Roman" w:cs="Times New Roman"/>
          <w:szCs w:val="24"/>
          <w:lang w:eastAsia="sk-SK"/>
        </w:rPr>
        <w:t>ov</w:t>
      </w:r>
      <w:r w:rsidRPr="00B94369">
        <w:rPr>
          <w:rFonts w:ascii="Times New Roman" w:eastAsia="Times New Roman" w:hAnsi="Times New Roman" w:cs="Times New Roman"/>
          <w:szCs w:val="24"/>
          <w:lang w:eastAsia="sk-SK"/>
        </w:rPr>
        <w:t xml:space="preserve"> inštitúcií  verejnej správy. </w:t>
      </w:r>
    </w:p>
    <w:p w:rsidR="00EE1B8B" w:rsidRDefault="00C36D15" w:rsidP="009D2F86">
      <w:pPr>
        <w:spacing w:after="0" w:line="264" w:lineRule="auto"/>
        <w:ind w:firstLine="708"/>
        <w:jc w:val="both"/>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 xml:space="preserve"> Nárast výdavkov</w:t>
      </w:r>
      <w:r w:rsidR="009E07AC" w:rsidRPr="00B94369">
        <w:rPr>
          <w:rFonts w:ascii="Times New Roman" w:eastAsia="Times New Roman" w:hAnsi="Times New Roman" w:cs="Times New Roman"/>
          <w:szCs w:val="24"/>
          <w:lang w:eastAsia="sk-SK"/>
        </w:rPr>
        <w:t xml:space="preserve"> na informačné systémy</w:t>
      </w:r>
      <w:r w:rsidR="00302EFD" w:rsidRPr="00B94369">
        <w:rPr>
          <w:rFonts w:ascii="Times New Roman" w:eastAsia="Times New Roman" w:hAnsi="Times New Roman" w:cs="Times New Roman"/>
          <w:szCs w:val="24"/>
          <w:lang w:eastAsia="sk-SK"/>
        </w:rPr>
        <w:t xml:space="preserve"> </w:t>
      </w:r>
      <w:r w:rsidR="009E07AC" w:rsidRPr="00B94369">
        <w:rPr>
          <w:rFonts w:ascii="Times New Roman" w:eastAsia="Times New Roman" w:hAnsi="Times New Roman" w:cs="Times New Roman"/>
          <w:szCs w:val="24"/>
          <w:lang w:eastAsia="sk-SK"/>
        </w:rPr>
        <w:t xml:space="preserve">súvisí </w:t>
      </w:r>
      <w:r w:rsidR="00BE3092">
        <w:rPr>
          <w:rFonts w:ascii="Times New Roman" w:eastAsia="Times New Roman" w:hAnsi="Times New Roman" w:cs="Times New Roman"/>
          <w:szCs w:val="24"/>
          <w:lang w:eastAsia="sk-SK"/>
        </w:rPr>
        <w:t xml:space="preserve">so zavedením tzv. rodičovského </w:t>
      </w:r>
      <w:r w:rsidR="0028361B">
        <w:rPr>
          <w:rFonts w:ascii="Times New Roman" w:eastAsia="Times New Roman" w:hAnsi="Times New Roman" w:cs="Times New Roman"/>
          <w:szCs w:val="24"/>
          <w:lang w:eastAsia="sk-SK"/>
        </w:rPr>
        <w:t>dôchodku</w:t>
      </w:r>
      <w:r w:rsidR="009E07AC" w:rsidRPr="00B94369">
        <w:rPr>
          <w:rFonts w:ascii="Times New Roman" w:eastAsia="Times New Roman" w:hAnsi="Times New Roman" w:cs="Times New Roman"/>
          <w:szCs w:val="24"/>
          <w:lang w:eastAsia="sk-SK"/>
        </w:rPr>
        <w:t xml:space="preserve">. Podrobnejší prehľad </w:t>
      </w:r>
      <w:r w:rsidR="00725B63" w:rsidRPr="00B94369">
        <w:rPr>
          <w:rFonts w:ascii="Times New Roman" w:eastAsia="Times New Roman" w:hAnsi="Times New Roman" w:cs="Times New Roman"/>
          <w:szCs w:val="24"/>
          <w:lang w:eastAsia="sk-SK"/>
        </w:rPr>
        <w:t xml:space="preserve">kapitálových a prevádzkových </w:t>
      </w:r>
      <w:r w:rsidR="009E07AC" w:rsidRPr="00B94369">
        <w:rPr>
          <w:rFonts w:ascii="Times New Roman" w:eastAsia="Times New Roman" w:hAnsi="Times New Roman" w:cs="Times New Roman"/>
          <w:szCs w:val="24"/>
          <w:lang w:eastAsia="sk-SK"/>
        </w:rPr>
        <w:t>výdavkov na informačné systémy</w:t>
      </w:r>
      <w:r w:rsidR="00577CF3" w:rsidRPr="00B94369">
        <w:rPr>
          <w:rFonts w:ascii="Times New Roman" w:eastAsia="Times New Roman" w:hAnsi="Times New Roman" w:cs="Times New Roman"/>
          <w:szCs w:val="24"/>
          <w:lang w:eastAsia="sk-SK"/>
        </w:rPr>
        <w:t xml:space="preserve"> jednotlivých inštitúcií verejnej správy</w:t>
      </w:r>
      <w:r w:rsidR="009E07AC" w:rsidRPr="00B94369">
        <w:rPr>
          <w:rFonts w:ascii="Times New Roman" w:eastAsia="Times New Roman" w:hAnsi="Times New Roman" w:cs="Times New Roman"/>
          <w:szCs w:val="24"/>
          <w:lang w:eastAsia="sk-SK"/>
        </w:rPr>
        <w:t xml:space="preserve"> je uvedený v tabuľke nižšie (znamienko mínus znamená úsporu</w:t>
      </w:r>
      <w:r w:rsidR="00577CF3" w:rsidRPr="00B94369">
        <w:rPr>
          <w:rFonts w:ascii="Times New Roman" w:eastAsia="Times New Roman" w:hAnsi="Times New Roman" w:cs="Times New Roman"/>
          <w:szCs w:val="24"/>
          <w:lang w:eastAsia="sk-SK"/>
        </w:rPr>
        <w:t xml:space="preserve"> vo výdavkoch</w:t>
      </w:r>
      <w:r w:rsidR="009E07AC" w:rsidRPr="00B94369">
        <w:rPr>
          <w:rFonts w:ascii="Times New Roman" w:eastAsia="Times New Roman" w:hAnsi="Times New Roman" w:cs="Times New Roman"/>
          <w:szCs w:val="24"/>
          <w:lang w:eastAsia="sk-SK"/>
        </w:rPr>
        <w:t xml:space="preserve">). </w:t>
      </w:r>
    </w:p>
    <w:p w:rsidR="00EE1B8B" w:rsidRPr="00B94369" w:rsidRDefault="00EE1B8B" w:rsidP="00577CF3">
      <w:pPr>
        <w:spacing w:after="0" w:line="240" w:lineRule="auto"/>
        <w:ind w:firstLine="708"/>
        <w:jc w:val="both"/>
        <w:rPr>
          <w:rFonts w:ascii="Times New Roman" w:eastAsia="Times New Roman" w:hAnsi="Times New Roman" w:cs="Times New Roman"/>
          <w:szCs w:val="24"/>
          <w:lang w:eastAsia="sk-SK"/>
        </w:rPr>
      </w:pPr>
    </w:p>
    <w:p w:rsidR="00725B63" w:rsidRPr="00A7007C" w:rsidRDefault="00725B63" w:rsidP="00A7007C">
      <w:pPr>
        <w:spacing w:after="0" w:line="240" w:lineRule="auto"/>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Tabuľky</w:t>
      </w:r>
      <w:r w:rsidR="00E47C9F" w:rsidRPr="007D5748">
        <w:rPr>
          <w:rFonts w:ascii="Times New Roman" w:eastAsia="Times New Roman" w:hAnsi="Times New Roman" w:cs="Times New Roman"/>
          <w:sz w:val="20"/>
          <w:szCs w:val="20"/>
          <w:lang w:eastAsia="sk-SK"/>
        </w:rPr>
        <w:t xml:space="preserve"> č. 2</w:t>
      </w:r>
      <w:r>
        <w:rPr>
          <w:rFonts w:ascii="Times New Roman" w:eastAsia="Times New Roman" w:hAnsi="Times New Roman" w:cs="Times New Roman"/>
          <w:sz w:val="20"/>
          <w:szCs w:val="20"/>
          <w:lang w:eastAsia="sk-SK"/>
        </w:rPr>
        <w:t xml:space="preserve"> v eur</w:t>
      </w:r>
      <w:r w:rsidR="00E47C9F" w:rsidRPr="007D5748">
        <w:rPr>
          <w:rFonts w:ascii="Times New Roman" w:eastAsia="Times New Roman" w:hAnsi="Times New Roman" w:cs="Times New Roman"/>
          <w:sz w:val="20"/>
          <w:szCs w:val="20"/>
          <w:lang w:eastAsia="sk-SK"/>
        </w:rPr>
        <w:t xml:space="preserve"> </w:t>
      </w:r>
    </w:p>
    <w:tbl>
      <w:tblPr>
        <w:tblW w:w="9150" w:type="dxa"/>
        <w:tblInd w:w="-5" w:type="dxa"/>
        <w:tblCellMar>
          <w:left w:w="70" w:type="dxa"/>
          <w:right w:w="70" w:type="dxa"/>
        </w:tblCellMar>
        <w:tblLook w:val="04A0" w:firstRow="1" w:lastRow="0" w:firstColumn="1" w:lastColumn="0" w:noHBand="0" w:noVBand="1"/>
      </w:tblPr>
      <w:tblGrid>
        <w:gridCol w:w="5200"/>
        <w:gridCol w:w="960"/>
        <w:gridCol w:w="1070"/>
        <w:gridCol w:w="960"/>
        <w:gridCol w:w="960"/>
      </w:tblGrid>
      <w:tr w:rsidR="00BE3092" w:rsidRPr="00725B63" w:rsidTr="00685314">
        <w:trPr>
          <w:trHeight w:val="255"/>
        </w:trPr>
        <w:tc>
          <w:tcPr>
            <w:tcW w:w="52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BE3092" w:rsidRPr="00A7007C" w:rsidRDefault="00797CAB" w:rsidP="00685314">
            <w:pPr>
              <w:spacing w:after="0" w:line="240" w:lineRule="auto"/>
              <w:rPr>
                <w:rFonts w:ascii="Arial Narrow" w:eastAsia="Times New Roman" w:hAnsi="Arial Narrow" w:cs="Arial"/>
                <w:b/>
                <w:color w:val="000000"/>
                <w:sz w:val="20"/>
                <w:szCs w:val="20"/>
                <w:lang w:eastAsia="sk-SK"/>
              </w:rPr>
            </w:pPr>
            <w:r w:rsidRPr="00A7007C">
              <w:rPr>
                <w:rFonts w:ascii="Arial Narrow" w:eastAsia="Times New Roman" w:hAnsi="Arial Narrow" w:cs="Arial"/>
                <w:b/>
                <w:color w:val="000000"/>
                <w:sz w:val="20"/>
                <w:szCs w:val="20"/>
                <w:lang w:eastAsia="sk-SK"/>
              </w:rPr>
              <w:t>R</w:t>
            </w:r>
            <w:r w:rsidR="00BE3092" w:rsidRPr="00A7007C">
              <w:rPr>
                <w:rFonts w:ascii="Arial Narrow" w:eastAsia="Times New Roman" w:hAnsi="Arial Narrow" w:cs="Arial"/>
                <w:b/>
                <w:color w:val="000000"/>
                <w:sz w:val="20"/>
                <w:szCs w:val="20"/>
                <w:lang w:eastAsia="sk-SK"/>
              </w:rPr>
              <w:t>ok</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BE3092" w:rsidRPr="00725B63" w:rsidRDefault="00BE3092" w:rsidP="00685314">
            <w:pPr>
              <w:spacing w:after="0" w:line="240" w:lineRule="auto"/>
              <w:jc w:val="center"/>
              <w:rPr>
                <w:rFonts w:ascii="Arial Narrow" w:eastAsia="Times New Roman" w:hAnsi="Arial Narrow" w:cs="Arial"/>
                <w:b/>
                <w:bCs/>
                <w:color w:val="000000"/>
                <w:sz w:val="20"/>
                <w:szCs w:val="20"/>
                <w:lang w:eastAsia="sk-SK"/>
              </w:rPr>
            </w:pPr>
            <w:r w:rsidRPr="00725B63">
              <w:rPr>
                <w:rFonts w:ascii="Arial Narrow" w:eastAsia="Times New Roman" w:hAnsi="Arial Narrow" w:cs="Arial"/>
                <w:b/>
                <w:bCs/>
                <w:color w:val="000000"/>
                <w:sz w:val="20"/>
                <w:szCs w:val="20"/>
                <w:lang w:eastAsia="sk-SK"/>
              </w:rPr>
              <w:t>202</w:t>
            </w:r>
            <w:r w:rsidR="00807369">
              <w:rPr>
                <w:rFonts w:ascii="Arial Narrow" w:eastAsia="Times New Roman" w:hAnsi="Arial Narrow" w:cs="Arial"/>
                <w:b/>
                <w:bCs/>
                <w:color w:val="000000"/>
                <w:sz w:val="20"/>
                <w:szCs w:val="20"/>
                <w:lang w:eastAsia="sk-SK"/>
              </w:rPr>
              <w:t>2</w:t>
            </w:r>
          </w:p>
        </w:tc>
        <w:tc>
          <w:tcPr>
            <w:tcW w:w="1070" w:type="dxa"/>
            <w:tcBorders>
              <w:top w:val="single" w:sz="4" w:space="0" w:color="auto"/>
              <w:left w:val="nil"/>
              <w:bottom w:val="single" w:sz="4" w:space="0" w:color="auto"/>
              <w:right w:val="single" w:sz="4" w:space="0" w:color="auto"/>
            </w:tcBorders>
            <w:shd w:val="clear" w:color="000000" w:fill="A6A6A6"/>
            <w:noWrap/>
            <w:vAlign w:val="center"/>
            <w:hideMark/>
          </w:tcPr>
          <w:p w:rsidR="00BE3092" w:rsidRPr="00725B63" w:rsidRDefault="00BE3092" w:rsidP="00685314">
            <w:pPr>
              <w:spacing w:after="0" w:line="240" w:lineRule="auto"/>
              <w:jc w:val="center"/>
              <w:rPr>
                <w:rFonts w:ascii="Arial Narrow" w:eastAsia="Times New Roman" w:hAnsi="Arial Narrow" w:cs="Arial"/>
                <w:b/>
                <w:bCs/>
                <w:color w:val="000000"/>
                <w:sz w:val="20"/>
                <w:szCs w:val="20"/>
                <w:lang w:eastAsia="sk-SK"/>
              </w:rPr>
            </w:pPr>
            <w:r w:rsidRPr="00725B63">
              <w:rPr>
                <w:rFonts w:ascii="Arial Narrow" w:eastAsia="Times New Roman" w:hAnsi="Arial Narrow" w:cs="Arial"/>
                <w:b/>
                <w:bCs/>
                <w:color w:val="000000"/>
                <w:sz w:val="20"/>
                <w:szCs w:val="20"/>
                <w:lang w:eastAsia="sk-SK"/>
              </w:rPr>
              <w:t>202</w:t>
            </w:r>
            <w:r w:rsidR="00807369">
              <w:rPr>
                <w:rFonts w:ascii="Arial Narrow" w:eastAsia="Times New Roman" w:hAnsi="Arial Narrow" w:cs="Arial"/>
                <w:b/>
                <w:bCs/>
                <w:color w:val="000000"/>
                <w:sz w:val="20"/>
                <w:szCs w:val="20"/>
                <w:lang w:eastAsia="sk-SK"/>
              </w:rPr>
              <w:t>3</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BE3092" w:rsidRPr="00725B63" w:rsidRDefault="00BE3092" w:rsidP="00685314">
            <w:pPr>
              <w:spacing w:after="0" w:line="240" w:lineRule="auto"/>
              <w:jc w:val="center"/>
              <w:rPr>
                <w:rFonts w:ascii="Arial Narrow" w:eastAsia="Times New Roman" w:hAnsi="Arial Narrow" w:cs="Arial"/>
                <w:b/>
                <w:bCs/>
                <w:color w:val="000000"/>
                <w:sz w:val="20"/>
                <w:szCs w:val="20"/>
                <w:lang w:eastAsia="sk-SK"/>
              </w:rPr>
            </w:pPr>
            <w:r w:rsidRPr="00725B63">
              <w:rPr>
                <w:rFonts w:ascii="Arial Narrow" w:eastAsia="Times New Roman" w:hAnsi="Arial Narrow" w:cs="Arial"/>
                <w:b/>
                <w:bCs/>
                <w:color w:val="000000"/>
                <w:sz w:val="20"/>
                <w:szCs w:val="20"/>
                <w:lang w:eastAsia="sk-SK"/>
              </w:rPr>
              <w:t>202</w:t>
            </w:r>
            <w:r w:rsidR="00807369">
              <w:rPr>
                <w:rFonts w:ascii="Arial Narrow" w:eastAsia="Times New Roman" w:hAnsi="Arial Narrow" w:cs="Arial"/>
                <w:b/>
                <w:bCs/>
                <w:color w:val="000000"/>
                <w:sz w:val="20"/>
                <w:szCs w:val="20"/>
                <w:lang w:eastAsia="sk-SK"/>
              </w:rPr>
              <w:t>4</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BE3092" w:rsidRPr="00725B63" w:rsidRDefault="00BE3092" w:rsidP="00685314">
            <w:pPr>
              <w:spacing w:after="0" w:line="240" w:lineRule="auto"/>
              <w:jc w:val="center"/>
              <w:rPr>
                <w:rFonts w:ascii="Arial Narrow" w:eastAsia="Times New Roman" w:hAnsi="Arial Narrow" w:cs="Arial"/>
                <w:b/>
                <w:bCs/>
                <w:color w:val="000000"/>
                <w:sz w:val="20"/>
                <w:szCs w:val="20"/>
                <w:lang w:eastAsia="sk-SK"/>
              </w:rPr>
            </w:pPr>
            <w:r w:rsidRPr="00725B63">
              <w:rPr>
                <w:rFonts w:ascii="Arial Narrow" w:eastAsia="Times New Roman" w:hAnsi="Arial Narrow" w:cs="Arial"/>
                <w:b/>
                <w:bCs/>
                <w:color w:val="000000"/>
                <w:sz w:val="20"/>
                <w:szCs w:val="20"/>
                <w:lang w:eastAsia="sk-SK"/>
              </w:rPr>
              <w:t>202</w:t>
            </w:r>
            <w:r w:rsidR="00807369">
              <w:rPr>
                <w:rFonts w:ascii="Arial Narrow" w:eastAsia="Times New Roman" w:hAnsi="Arial Narrow" w:cs="Arial"/>
                <w:b/>
                <w:bCs/>
                <w:color w:val="000000"/>
                <w:sz w:val="20"/>
                <w:szCs w:val="20"/>
                <w:lang w:eastAsia="sk-SK"/>
              </w:rPr>
              <w:t>5</w:t>
            </w:r>
          </w:p>
        </w:tc>
      </w:tr>
      <w:tr w:rsidR="00BE3092" w:rsidRPr="00725B63" w:rsidTr="00685314">
        <w:trPr>
          <w:trHeight w:val="255"/>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Sociálna poisťovňa</w:t>
            </w:r>
            <w:r>
              <w:rPr>
                <w:rFonts w:ascii="Arial Narrow" w:eastAsia="Times New Roman" w:hAnsi="Arial Narrow" w:cs="Arial"/>
                <w:color w:val="000000"/>
                <w:sz w:val="20"/>
                <w:szCs w:val="20"/>
                <w:lang w:eastAsia="sk-SK"/>
              </w:rPr>
              <w:t xml:space="preserve"> vplyv zavedenia </w:t>
            </w:r>
            <w:r w:rsidR="0028361B">
              <w:rPr>
                <w:rFonts w:ascii="Arial Narrow" w:eastAsia="Times New Roman" w:hAnsi="Arial Narrow" w:cs="Arial"/>
                <w:color w:val="000000"/>
                <w:sz w:val="20"/>
                <w:szCs w:val="20"/>
                <w:lang w:eastAsia="sk-SK"/>
              </w:rPr>
              <w:t xml:space="preserve">rodičovského dôchodku </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807369" w:rsidP="00685314">
            <w:pPr>
              <w:spacing w:after="0" w:line="240" w:lineRule="auto"/>
              <w:jc w:val="center"/>
              <w:rPr>
                <w:rFonts w:ascii="Arial Narrow" w:eastAsia="Times New Roman" w:hAnsi="Arial Narrow" w:cs="Arial"/>
                <w:color w:val="000000"/>
                <w:sz w:val="20"/>
                <w:szCs w:val="20"/>
                <w:lang w:eastAsia="sk-SK"/>
              </w:rPr>
            </w:pPr>
            <w:r>
              <w:rPr>
                <w:rFonts w:ascii="Arial Narrow" w:eastAsia="Times New Roman" w:hAnsi="Arial Narrow" w:cs="Arial"/>
                <w:color w:val="000000"/>
                <w:sz w:val="20"/>
                <w:szCs w:val="20"/>
                <w:lang w:eastAsia="sk-SK"/>
              </w:rPr>
              <w:t>300 000</w:t>
            </w:r>
          </w:p>
        </w:tc>
        <w:tc>
          <w:tcPr>
            <w:tcW w:w="1070" w:type="dxa"/>
            <w:tcBorders>
              <w:top w:val="nil"/>
              <w:left w:val="nil"/>
              <w:bottom w:val="single" w:sz="4" w:space="0" w:color="auto"/>
              <w:right w:val="single" w:sz="4" w:space="0" w:color="auto"/>
            </w:tcBorders>
            <w:shd w:val="clear" w:color="auto" w:fill="auto"/>
            <w:noWrap/>
            <w:vAlign w:val="center"/>
            <w:hideMark/>
          </w:tcPr>
          <w:p w:rsidR="00BE3092" w:rsidRPr="00725B63" w:rsidRDefault="00807369" w:rsidP="00685314">
            <w:pPr>
              <w:spacing w:after="0" w:line="240" w:lineRule="auto"/>
              <w:jc w:val="center"/>
              <w:rPr>
                <w:rFonts w:ascii="Arial Narrow" w:eastAsia="Times New Roman" w:hAnsi="Arial Narrow" w:cs="Arial"/>
                <w:color w:val="000000"/>
                <w:sz w:val="20"/>
                <w:szCs w:val="20"/>
                <w:lang w:eastAsia="sk-SK"/>
              </w:rPr>
            </w:pPr>
            <w:r>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r>
      <w:tr w:rsidR="00BE3092" w:rsidRPr="00725B63" w:rsidTr="00685314">
        <w:trPr>
          <w:trHeight w:val="255"/>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z toho:</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 </w:t>
            </w:r>
          </w:p>
        </w:tc>
        <w:tc>
          <w:tcPr>
            <w:tcW w:w="107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 </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 </w:t>
            </w:r>
          </w:p>
        </w:tc>
      </w:tr>
      <w:tr w:rsidR="00BE3092" w:rsidRPr="00725B63" w:rsidTr="00685314">
        <w:trPr>
          <w:trHeight w:val="255"/>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  kapitálové výdavky</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c>
          <w:tcPr>
            <w:tcW w:w="107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r>
      <w:tr w:rsidR="00BE3092" w:rsidRPr="00725B63" w:rsidTr="00685314">
        <w:trPr>
          <w:trHeight w:val="255"/>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rPr>
                <w:rFonts w:ascii="Arial Narrow" w:eastAsia="Times New Roman" w:hAnsi="Arial Narrow" w:cs="Arial"/>
                <w:color w:val="000000"/>
                <w:sz w:val="20"/>
                <w:szCs w:val="20"/>
                <w:lang w:eastAsia="sk-SK"/>
              </w:rPr>
            </w:pP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807369" w:rsidP="00685314">
            <w:pPr>
              <w:spacing w:after="0" w:line="240" w:lineRule="auto"/>
              <w:jc w:val="center"/>
              <w:rPr>
                <w:rFonts w:ascii="Arial Narrow" w:eastAsia="Times New Roman" w:hAnsi="Arial Narrow" w:cs="Arial"/>
                <w:color w:val="000000"/>
                <w:sz w:val="20"/>
                <w:szCs w:val="20"/>
                <w:lang w:eastAsia="sk-SK"/>
              </w:rPr>
            </w:pPr>
            <w:r>
              <w:rPr>
                <w:rFonts w:ascii="Arial Narrow" w:eastAsia="Times New Roman" w:hAnsi="Arial Narrow" w:cs="Arial"/>
                <w:color w:val="000000"/>
                <w:sz w:val="20"/>
                <w:szCs w:val="20"/>
                <w:lang w:eastAsia="sk-SK"/>
              </w:rPr>
              <w:t>300 000</w:t>
            </w:r>
          </w:p>
        </w:tc>
        <w:tc>
          <w:tcPr>
            <w:tcW w:w="1070" w:type="dxa"/>
            <w:tcBorders>
              <w:top w:val="nil"/>
              <w:left w:val="nil"/>
              <w:bottom w:val="single" w:sz="4" w:space="0" w:color="auto"/>
              <w:right w:val="single" w:sz="4" w:space="0" w:color="auto"/>
            </w:tcBorders>
            <w:shd w:val="clear" w:color="auto" w:fill="auto"/>
            <w:noWrap/>
            <w:vAlign w:val="center"/>
            <w:hideMark/>
          </w:tcPr>
          <w:p w:rsidR="00BE3092" w:rsidRPr="00725B63" w:rsidRDefault="00807369" w:rsidP="00685314">
            <w:pPr>
              <w:spacing w:after="0" w:line="240" w:lineRule="auto"/>
              <w:jc w:val="center"/>
              <w:rPr>
                <w:rFonts w:ascii="Arial Narrow" w:eastAsia="Times New Roman" w:hAnsi="Arial Narrow" w:cs="Arial"/>
                <w:color w:val="000000"/>
                <w:sz w:val="20"/>
                <w:szCs w:val="20"/>
                <w:lang w:eastAsia="sk-SK"/>
              </w:rPr>
            </w:pPr>
            <w:r>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center"/>
            <w:hideMark/>
          </w:tcPr>
          <w:p w:rsidR="00BE3092" w:rsidRPr="00725B63" w:rsidRDefault="00BE3092" w:rsidP="00685314">
            <w:pPr>
              <w:spacing w:after="0" w:line="240" w:lineRule="auto"/>
              <w:jc w:val="center"/>
              <w:rPr>
                <w:rFonts w:ascii="Arial Narrow" w:eastAsia="Times New Roman" w:hAnsi="Arial Narrow" w:cs="Arial"/>
                <w:color w:val="000000"/>
                <w:sz w:val="20"/>
                <w:szCs w:val="20"/>
                <w:lang w:eastAsia="sk-SK"/>
              </w:rPr>
            </w:pPr>
            <w:r w:rsidRPr="00725B63">
              <w:rPr>
                <w:rFonts w:ascii="Arial Narrow" w:eastAsia="Times New Roman" w:hAnsi="Arial Narrow" w:cs="Arial"/>
                <w:color w:val="000000"/>
                <w:sz w:val="20"/>
                <w:szCs w:val="20"/>
                <w:lang w:eastAsia="sk-SK"/>
              </w:rPr>
              <w:t>0</w:t>
            </w:r>
          </w:p>
        </w:tc>
      </w:tr>
    </w:tbl>
    <w:p w:rsidR="00725B63" w:rsidRPr="007D5748" w:rsidRDefault="00725B63" w:rsidP="00725B63">
      <w:pPr>
        <w:spacing w:after="0" w:line="240" w:lineRule="auto"/>
        <w:rPr>
          <w:rFonts w:ascii="Times New Roman" w:eastAsia="Times New Roman" w:hAnsi="Times New Roman" w:cs="Times New Roman"/>
          <w:sz w:val="20"/>
          <w:szCs w:val="20"/>
          <w:lang w:eastAsia="sk-SK"/>
        </w:rPr>
      </w:pPr>
    </w:p>
    <w:p w:rsidR="00497730" w:rsidRPr="00006AA1" w:rsidRDefault="0093736A" w:rsidP="00006AA1">
      <w:pPr>
        <w:spacing w:after="0" w:line="264" w:lineRule="auto"/>
        <w:ind w:firstLine="709"/>
        <w:jc w:val="both"/>
        <w:rPr>
          <w:rFonts w:ascii="Times New Roman" w:eastAsia="Times New Roman" w:hAnsi="Times New Roman" w:cs="Times New Roman"/>
          <w:szCs w:val="24"/>
          <w:lang w:eastAsia="sk-SK"/>
        </w:rPr>
      </w:pPr>
      <w:r w:rsidRPr="00B94369">
        <w:rPr>
          <w:rFonts w:ascii="Times New Roman" w:eastAsia="Times New Roman" w:hAnsi="Times New Roman" w:cs="Times New Roman"/>
          <w:szCs w:val="24"/>
          <w:lang w:eastAsia="sk-SK"/>
        </w:rPr>
        <w:t>Celkov</w:t>
      </w:r>
      <w:r w:rsidR="00806408">
        <w:rPr>
          <w:rFonts w:ascii="Times New Roman" w:eastAsia="Times New Roman" w:hAnsi="Times New Roman" w:cs="Times New Roman"/>
          <w:szCs w:val="24"/>
          <w:lang w:eastAsia="sk-SK"/>
        </w:rPr>
        <w:t xml:space="preserve">o sa predpokladá </w:t>
      </w:r>
      <w:r w:rsidR="00807369">
        <w:rPr>
          <w:rFonts w:ascii="Times New Roman" w:eastAsia="Times New Roman" w:hAnsi="Times New Roman" w:cs="Times New Roman"/>
          <w:szCs w:val="24"/>
          <w:lang w:eastAsia="sk-SK"/>
        </w:rPr>
        <w:t>zvýšenie</w:t>
      </w:r>
      <w:r w:rsidR="00806408">
        <w:rPr>
          <w:rFonts w:ascii="Times New Roman" w:eastAsia="Times New Roman" w:hAnsi="Times New Roman" w:cs="Times New Roman"/>
          <w:szCs w:val="24"/>
          <w:lang w:eastAsia="sk-SK"/>
        </w:rPr>
        <w:t xml:space="preserve"> výdavkov </w:t>
      </w:r>
      <w:r w:rsidRPr="00B94369">
        <w:rPr>
          <w:rFonts w:ascii="Times New Roman" w:eastAsia="Times New Roman" w:hAnsi="Times New Roman" w:cs="Times New Roman"/>
          <w:szCs w:val="24"/>
          <w:lang w:eastAsia="sk-SK"/>
        </w:rPr>
        <w:t xml:space="preserve"> na informačné systémy verejnej správy</w:t>
      </w:r>
      <w:r w:rsidR="0051374A">
        <w:rPr>
          <w:rFonts w:ascii="Times New Roman" w:eastAsia="Times New Roman" w:hAnsi="Times New Roman" w:cs="Times New Roman"/>
          <w:szCs w:val="24"/>
          <w:lang w:eastAsia="sk-SK"/>
        </w:rPr>
        <w:t xml:space="preserve"> (Sociálnej poisťovne)</w:t>
      </w:r>
      <w:r w:rsidRPr="00B94369">
        <w:rPr>
          <w:rFonts w:ascii="Times New Roman" w:eastAsia="Times New Roman" w:hAnsi="Times New Roman" w:cs="Times New Roman"/>
          <w:szCs w:val="24"/>
          <w:lang w:eastAsia="sk-SK"/>
        </w:rPr>
        <w:t xml:space="preserve"> v roku 202</w:t>
      </w:r>
      <w:r w:rsidR="00807369">
        <w:rPr>
          <w:rFonts w:ascii="Times New Roman" w:eastAsia="Times New Roman" w:hAnsi="Times New Roman" w:cs="Times New Roman"/>
          <w:szCs w:val="24"/>
          <w:lang w:eastAsia="sk-SK"/>
        </w:rPr>
        <w:t xml:space="preserve">2 </w:t>
      </w:r>
      <w:r w:rsidRPr="00B94369">
        <w:rPr>
          <w:rFonts w:ascii="Times New Roman" w:eastAsia="Times New Roman" w:hAnsi="Times New Roman" w:cs="Times New Roman"/>
          <w:szCs w:val="24"/>
          <w:lang w:eastAsia="sk-SK"/>
        </w:rPr>
        <w:t xml:space="preserve">na úrovni približne </w:t>
      </w:r>
      <w:r w:rsidR="00807369">
        <w:rPr>
          <w:rFonts w:ascii="Times New Roman" w:eastAsia="Times New Roman" w:hAnsi="Times New Roman" w:cs="Times New Roman"/>
          <w:szCs w:val="24"/>
          <w:lang w:eastAsia="sk-SK"/>
        </w:rPr>
        <w:t>0</w:t>
      </w:r>
      <w:r w:rsidRPr="00B94369">
        <w:rPr>
          <w:rFonts w:ascii="Times New Roman" w:eastAsia="Times New Roman" w:hAnsi="Times New Roman" w:cs="Times New Roman"/>
          <w:szCs w:val="24"/>
          <w:lang w:eastAsia="sk-SK"/>
        </w:rPr>
        <w:t>,</w:t>
      </w:r>
      <w:r w:rsidR="00685314">
        <w:rPr>
          <w:rFonts w:ascii="Times New Roman" w:eastAsia="Times New Roman" w:hAnsi="Times New Roman" w:cs="Times New Roman"/>
          <w:szCs w:val="24"/>
          <w:lang w:eastAsia="sk-SK"/>
        </w:rPr>
        <w:t>3</w:t>
      </w:r>
      <w:r w:rsidRPr="00B94369">
        <w:rPr>
          <w:rFonts w:ascii="Times New Roman" w:eastAsia="Times New Roman" w:hAnsi="Times New Roman" w:cs="Times New Roman"/>
          <w:szCs w:val="24"/>
          <w:lang w:eastAsia="sk-SK"/>
        </w:rPr>
        <w:t xml:space="preserve"> mil. eur</w:t>
      </w:r>
      <w:r w:rsidR="00807369">
        <w:rPr>
          <w:rFonts w:ascii="Times New Roman" w:eastAsia="Times New Roman" w:hAnsi="Times New Roman" w:cs="Times New Roman"/>
          <w:szCs w:val="24"/>
          <w:lang w:eastAsia="sk-SK"/>
        </w:rPr>
        <w:t>.</w:t>
      </w:r>
      <w:r w:rsidRPr="00B94369">
        <w:rPr>
          <w:rFonts w:ascii="Times New Roman" w:eastAsia="Times New Roman" w:hAnsi="Times New Roman" w:cs="Times New Roman"/>
          <w:szCs w:val="24"/>
          <w:lang w:eastAsia="sk-SK"/>
        </w:rPr>
        <w:t xml:space="preserve"> </w:t>
      </w:r>
    </w:p>
    <w:p w:rsidR="00E47C9F" w:rsidRPr="007D5748" w:rsidRDefault="00E47C9F" w:rsidP="00E47C9F">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E47C9F" w:rsidRPr="007D5748" w:rsidRDefault="00E47C9F" w:rsidP="00E47C9F">
      <w:pPr>
        <w:spacing w:after="0" w:line="240" w:lineRule="auto"/>
        <w:rPr>
          <w:rFonts w:ascii="Times New Roman" w:eastAsia="Times New Roman" w:hAnsi="Times New Roman" w:cs="Times New Roman"/>
          <w:sz w:val="24"/>
          <w:szCs w:val="24"/>
          <w:lang w:eastAsia="sk-SK"/>
        </w:rPr>
      </w:pPr>
    </w:p>
    <w:p w:rsidR="00E47C9F" w:rsidRPr="00B94369" w:rsidRDefault="00E47C9F" w:rsidP="00D75B37">
      <w:pPr>
        <w:spacing w:after="0" w:line="264" w:lineRule="auto"/>
        <w:ind w:firstLine="708"/>
        <w:jc w:val="both"/>
        <w:rPr>
          <w:rFonts w:ascii="Times New Roman" w:hAnsi="Times New Roman" w:cs="Verdana"/>
          <w:b/>
          <w:bCs/>
          <w:iCs/>
          <w:szCs w:val="24"/>
        </w:rPr>
      </w:pPr>
      <w:r w:rsidRPr="00B94369">
        <w:rPr>
          <w:rFonts w:ascii="Times New Roman" w:eastAsia="Times New Roman" w:hAnsi="Times New Roman" w:cs="Times New Roman"/>
          <w:szCs w:val="24"/>
          <w:lang w:eastAsia="sk-SK"/>
        </w:rPr>
        <w:t xml:space="preserve">Navrhovaná právna úprava </w:t>
      </w:r>
      <w:r w:rsidR="000B5C0D" w:rsidRPr="00B94369">
        <w:rPr>
          <w:rFonts w:ascii="Times New Roman" w:eastAsia="Times New Roman" w:hAnsi="Times New Roman" w:cs="Times New Roman"/>
          <w:szCs w:val="24"/>
          <w:lang w:eastAsia="sk-SK"/>
        </w:rPr>
        <w:t>zakladá pozitívne aj negatívne vplyvy na rozpočet verejnej správy</w:t>
      </w:r>
      <w:r w:rsidR="00C54FA3" w:rsidRPr="00B94369">
        <w:rPr>
          <w:rFonts w:ascii="Times New Roman" w:eastAsia="Times New Roman" w:hAnsi="Times New Roman" w:cs="Times New Roman"/>
          <w:szCs w:val="24"/>
          <w:lang w:eastAsia="sk-SK"/>
        </w:rPr>
        <w:t>, ktoré sú podrobnejšie popísané v</w:t>
      </w:r>
      <w:r w:rsidR="00704176" w:rsidRPr="00B94369">
        <w:rPr>
          <w:rFonts w:ascii="Times New Roman" w:eastAsia="Times New Roman" w:hAnsi="Times New Roman" w:cs="Times New Roman"/>
          <w:szCs w:val="24"/>
          <w:lang w:eastAsia="sk-SK"/>
        </w:rPr>
        <w:t> </w:t>
      </w:r>
      <w:r w:rsidR="00C54FA3" w:rsidRPr="00B94369">
        <w:rPr>
          <w:rFonts w:ascii="Times New Roman" w:eastAsia="Times New Roman" w:hAnsi="Times New Roman" w:cs="Times New Roman"/>
          <w:szCs w:val="24"/>
          <w:lang w:eastAsia="sk-SK"/>
        </w:rPr>
        <w:t>časti</w:t>
      </w:r>
      <w:r w:rsidR="00704176" w:rsidRPr="00B94369">
        <w:rPr>
          <w:rFonts w:ascii="Times New Roman" w:eastAsia="Times New Roman" w:hAnsi="Times New Roman" w:cs="Times New Roman"/>
          <w:szCs w:val="24"/>
          <w:lang w:eastAsia="sk-SK"/>
        </w:rPr>
        <w:t xml:space="preserve"> 2.2.4.1 Kvantifikácia príjmov</w:t>
      </w:r>
      <w:r w:rsidR="0028361B">
        <w:rPr>
          <w:rFonts w:ascii="Times New Roman" w:eastAsia="Times New Roman" w:hAnsi="Times New Roman" w:cs="Times New Roman"/>
          <w:szCs w:val="24"/>
          <w:lang w:eastAsia="sk-SK"/>
        </w:rPr>
        <w:t xml:space="preserve"> a 2.2.4.2 Kvantifikácia výdavkov</w:t>
      </w:r>
      <w:r w:rsidR="000B5C0D" w:rsidRPr="00B94369">
        <w:rPr>
          <w:rFonts w:ascii="Times New Roman" w:eastAsia="Times New Roman" w:hAnsi="Times New Roman" w:cs="Times New Roman"/>
          <w:szCs w:val="24"/>
          <w:lang w:eastAsia="sk-SK"/>
        </w:rPr>
        <w:t xml:space="preserve">. </w:t>
      </w:r>
      <w:r w:rsidR="00807369">
        <w:rPr>
          <w:rFonts w:ascii="Times New Roman" w:eastAsia="Times New Roman" w:hAnsi="Times New Roman" w:cs="Times New Roman"/>
          <w:szCs w:val="24"/>
          <w:lang w:eastAsia="sk-SK"/>
        </w:rPr>
        <w:t>Predpokladá sa, že celkový vplyv na rozp</w:t>
      </w:r>
      <w:r w:rsidR="0051374A">
        <w:rPr>
          <w:rFonts w:ascii="Times New Roman" w:eastAsia="Times New Roman" w:hAnsi="Times New Roman" w:cs="Times New Roman"/>
          <w:szCs w:val="24"/>
          <w:lang w:eastAsia="sk-SK"/>
        </w:rPr>
        <w:t xml:space="preserve">očet verejnej správy bude </w:t>
      </w:r>
      <w:r w:rsidR="0051374A">
        <w:rPr>
          <w:rFonts w:ascii="Times New Roman" w:eastAsia="Times New Roman" w:hAnsi="Times New Roman" w:cs="Times New Roman"/>
          <w:szCs w:val="24"/>
          <w:lang w:eastAsia="sk-SK"/>
        </w:rPr>
        <w:lastRenderedPageBreak/>
        <w:t>v rokoch</w:t>
      </w:r>
      <w:r w:rsidR="00807369">
        <w:rPr>
          <w:rFonts w:ascii="Times New Roman" w:eastAsia="Times New Roman" w:hAnsi="Times New Roman" w:cs="Times New Roman"/>
          <w:szCs w:val="24"/>
          <w:lang w:eastAsia="sk-SK"/>
        </w:rPr>
        <w:t xml:space="preserve"> 2022 </w:t>
      </w:r>
      <w:r w:rsidR="0051374A">
        <w:rPr>
          <w:rFonts w:ascii="Times New Roman" w:eastAsia="Times New Roman" w:hAnsi="Times New Roman" w:cs="Times New Roman"/>
          <w:szCs w:val="24"/>
          <w:lang w:eastAsia="sk-SK"/>
        </w:rPr>
        <w:t>až 2025 negatívny</w:t>
      </w:r>
      <w:r w:rsidR="00807369">
        <w:rPr>
          <w:rFonts w:ascii="Times New Roman" w:eastAsia="Times New Roman" w:hAnsi="Times New Roman" w:cs="Times New Roman"/>
          <w:szCs w:val="24"/>
          <w:lang w:eastAsia="sk-SK"/>
        </w:rPr>
        <w:t>.</w:t>
      </w:r>
      <w:r w:rsidR="00453E3F" w:rsidRPr="00B94369">
        <w:rPr>
          <w:rFonts w:ascii="Times New Roman" w:eastAsia="Times New Roman" w:hAnsi="Times New Roman" w:cs="Times New Roman"/>
          <w:szCs w:val="24"/>
          <w:lang w:eastAsia="sk-SK"/>
        </w:rPr>
        <w:t xml:space="preserve"> </w:t>
      </w:r>
      <w:r w:rsidR="009B3B22">
        <w:rPr>
          <w:rFonts w:ascii="Times New Roman" w:eastAsia="Times New Roman" w:hAnsi="Times New Roman" w:cs="Times New Roman"/>
          <w:szCs w:val="24"/>
          <w:lang w:eastAsia="sk-SK"/>
        </w:rPr>
        <w:t>Kvantifikácie vplyvov zohľadňujú makroekonomickú prognózu IFP z </w:t>
      </w:r>
      <w:r w:rsidR="00807369">
        <w:rPr>
          <w:rFonts w:ascii="Times New Roman" w:eastAsia="Times New Roman" w:hAnsi="Times New Roman" w:cs="Times New Roman"/>
          <w:szCs w:val="24"/>
          <w:lang w:eastAsia="sk-SK"/>
        </w:rPr>
        <w:t xml:space="preserve">februára </w:t>
      </w:r>
      <w:r w:rsidR="009B3B22">
        <w:rPr>
          <w:rFonts w:ascii="Times New Roman" w:eastAsia="Times New Roman" w:hAnsi="Times New Roman" w:cs="Times New Roman"/>
          <w:szCs w:val="24"/>
          <w:lang w:eastAsia="sk-SK"/>
        </w:rPr>
        <w:t>202</w:t>
      </w:r>
      <w:r w:rsidR="00807369">
        <w:rPr>
          <w:rFonts w:ascii="Times New Roman" w:eastAsia="Times New Roman" w:hAnsi="Times New Roman" w:cs="Times New Roman"/>
          <w:szCs w:val="24"/>
          <w:lang w:eastAsia="sk-SK"/>
        </w:rPr>
        <w:t>2</w:t>
      </w:r>
      <w:r w:rsidR="0021449D">
        <w:rPr>
          <w:rFonts w:ascii="Times New Roman" w:eastAsia="Times New Roman" w:hAnsi="Times New Roman" w:cs="Times New Roman"/>
          <w:szCs w:val="24"/>
          <w:lang w:eastAsia="sk-SK"/>
        </w:rPr>
        <w:t>.</w:t>
      </w:r>
    </w:p>
    <w:p w:rsidR="00E47C9F" w:rsidRDefault="00E47C9F" w:rsidP="00D75B37">
      <w:pPr>
        <w:tabs>
          <w:tab w:val="num" w:pos="1080"/>
        </w:tabs>
        <w:spacing w:after="0" w:line="264" w:lineRule="auto"/>
        <w:jc w:val="both"/>
        <w:rPr>
          <w:rFonts w:ascii="Times New Roman" w:eastAsia="Times New Roman" w:hAnsi="Times New Roman" w:cs="Times New Roman"/>
          <w:bCs/>
          <w:sz w:val="24"/>
          <w:szCs w:val="24"/>
          <w:lang w:eastAsia="sk-SK"/>
        </w:rPr>
      </w:pPr>
    </w:p>
    <w:p w:rsidR="00EE1B8B" w:rsidRPr="00440C97" w:rsidRDefault="00453509" w:rsidP="00440C97">
      <w:pPr>
        <w:tabs>
          <w:tab w:val="num" w:pos="1080"/>
        </w:tabs>
        <w:spacing w:after="0" w:line="264" w:lineRule="auto"/>
        <w:jc w:val="both"/>
        <w:rPr>
          <w:rFonts w:ascii="Times New Roman" w:eastAsia="Times New Roman" w:hAnsi="Times New Roman" w:cs="Times New Roman"/>
          <w:bCs/>
          <w:szCs w:val="24"/>
          <w:lang w:eastAsia="sk-SK"/>
        </w:rPr>
      </w:pPr>
      <w:r w:rsidRPr="00B94369">
        <w:rPr>
          <w:rFonts w:ascii="Times New Roman" w:eastAsia="Times New Roman" w:hAnsi="Times New Roman" w:cs="Times New Roman"/>
          <w:b/>
          <w:bCs/>
          <w:szCs w:val="24"/>
          <w:u w:val="single"/>
          <w:lang w:eastAsia="sk-SK"/>
        </w:rPr>
        <w:t>Tabuľka</w:t>
      </w:r>
      <w:r w:rsidR="00704176" w:rsidRPr="00B94369">
        <w:rPr>
          <w:rFonts w:ascii="Times New Roman" w:eastAsia="Times New Roman" w:hAnsi="Times New Roman" w:cs="Times New Roman"/>
          <w:b/>
          <w:bCs/>
          <w:szCs w:val="24"/>
          <w:u w:val="single"/>
          <w:lang w:eastAsia="sk-SK"/>
        </w:rPr>
        <w:t xml:space="preserve"> celkových vplyvov 2A</w:t>
      </w:r>
      <w:r w:rsidRPr="00B94369">
        <w:rPr>
          <w:rFonts w:ascii="Times New Roman" w:eastAsia="Times New Roman" w:hAnsi="Times New Roman" w:cs="Times New Roman"/>
          <w:b/>
          <w:bCs/>
          <w:szCs w:val="24"/>
          <w:u w:val="single"/>
          <w:lang w:eastAsia="sk-SK"/>
        </w:rPr>
        <w:t>:</w:t>
      </w:r>
      <w:r w:rsidRPr="00B94369">
        <w:rPr>
          <w:rFonts w:ascii="Times New Roman" w:eastAsia="Times New Roman" w:hAnsi="Times New Roman" w:cs="Times New Roman"/>
          <w:bCs/>
          <w:szCs w:val="24"/>
          <w:lang w:eastAsia="sk-SK"/>
        </w:rPr>
        <w:t xml:space="preserve"> Bilancia verejnej správy podľa jednotlivých subjektov verejnej správy</w:t>
      </w:r>
    </w:p>
    <w:tbl>
      <w:tblPr>
        <w:tblW w:w="9063" w:type="dxa"/>
        <w:tblCellMar>
          <w:left w:w="70" w:type="dxa"/>
          <w:right w:w="70" w:type="dxa"/>
        </w:tblCellMar>
        <w:tblLook w:val="04A0" w:firstRow="1" w:lastRow="0" w:firstColumn="1" w:lastColumn="0" w:noHBand="0" w:noVBand="1"/>
      </w:tblPr>
      <w:tblGrid>
        <w:gridCol w:w="4243"/>
        <w:gridCol w:w="992"/>
        <w:gridCol w:w="1276"/>
        <w:gridCol w:w="1276"/>
        <w:gridCol w:w="1276"/>
      </w:tblGrid>
      <w:tr w:rsidR="0051374A" w:rsidRPr="0051374A" w:rsidTr="001116CF">
        <w:trPr>
          <w:trHeight w:val="375"/>
        </w:trPr>
        <w:tc>
          <w:tcPr>
            <w:tcW w:w="424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51374A" w:rsidRPr="00440C97" w:rsidRDefault="0051374A" w:rsidP="0051374A">
            <w:pPr>
              <w:spacing w:after="0" w:line="240" w:lineRule="auto"/>
              <w:jc w:val="both"/>
              <w:rPr>
                <w:rFonts w:ascii="Arial Narrow" w:eastAsia="Times New Roman" w:hAnsi="Arial Narrow" w:cs="Times New Roman"/>
                <w:sz w:val="20"/>
                <w:szCs w:val="20"/>
                <w:lang w:eastAsia="sk-SK"/>
              </w:rPr>
            </w:pPr>
            <w:r w:rsidRPr="00440C97">
              <w:rPr>
                <w:rFonts w:ascii="Arial Narrow" w:eastAsia="Times New Roman" w:hAnsi="Arial Narrow" w:cs="Times New Roman"/>
                <w:sz w:val="20"/>
                <w:szCs w:val="20"/>
                <w:lang w:eastAsia="sk-SK"/>
              </w:rPr>
              <w:t> </w:t>
            </w:r>
          </w:p>
        </w:tc>
        <w:tc>
          <w:tcPr>
            <w:tcW w:w="992"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51374A" w:rsidRPr="00440C97" w:rsidRDefault="0051374A" w:rsidP="0051374A">
            <w:pPr>
              <w:spacing w:after="0" w:line="240" w:lineRule="auto"/>
              <w:jc w:val="center"/>
              <w:rPr>
                <w:rFonts w:ascii="Arial Narrow" w:eastAsia="Times New Roman" w:hAnsi="Arial Narrow" w:cs="Times New Roman"/>
                <w:b/>
                <w:bCs/>
                <w:sz w:val="20"/>
                <w:szCs w:val="20"/>
                <w:lang w:eastAsia="sk-SK"/>
              </w:rPr>
            </w:pPr>
            <w:r w:rsidRPr="00440C97">
              <w:rPr>
                <w:rFonts w:ascii="Arial Narrow" w:eastAsia="Times New Roman" w:hAnsi="Arial Narrow" w:cs="Times New Roman"/>
                <w:b/>
                <w:bCs/>
                <w:sz w:val="20"/>
                <w:szCs w:val="20"/>
                <w:lang w:eastAsia="sk-SK"/>
              </w:rPr>
              <w:t>2022</w:t>
            </w:r>
          </w:p>
        </w:tc>
        <w:tc>
          <w:tcPr>
            <w:tcW w:w="1276"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51374A" w:rsidRPr="00440C97" w:rsidRDefault="0051374A" w:rsidP="0051374A">
            <w:pPr>
              <w:spacing w:after="0" w:line="240" w:lineRule="auto"/>
              <w:jc w:val="center"/>
              <w:rPr>
                <w:rFonts w:ascii="Arial Narrow" w:eastAsia="Times New Roman" w:hAnsi="Arial Narrow" w:cs="Times New Roman"/>
                <w:b/>
                <w:bCs/>
                <w:sz w:val="20"/>
                <w:szCs w:val="20"/>
                <w:lang w:eastAsia="sk-SK"/>
              </w:rPr>
            </w:pPr>
            <w:r w:rsidRPr="00440C97">
              <w:rPr>
                <w:rFonts w:ascii="Arial Narrow" w:eastAsia="Times New Roman" w:hAnsi="Arial Narrow" w:cs="Times New Roman"/>
                <w:b/>
                <w:bCs/>
                <w:sz w:val="20"/>
                <w:szCs w:val="20"/>
                <w:lang w:eastAsia="sk-SK"/>
              </w:rPr>
              <w:t>2023</w:t>
            </w:r>
          </w:p>
        </w:tc>
        <w:tc>
          <w:tcPr>
            <w:tcW w:w="1276"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51374A" w:rsidRPr="00440C97" w:rsidRDefault="0051374A" w:rsidP="0051374A">
            <w:pPr>
              <w:spacing w:after="0" w:line="240" w:lineRule="auto"/>
              <w:jc w:val="center"/>
              <w:rPr>
                <w:rFonts w:ascii="Arial Narrow" w:eastAsia="Times New Roman" w:hAnsi="Arial Narrow" w:cs="Times New Roman"/>
                <w:b/>
                <w:bCs/>
                <w:sz w:val="20"/>
                <w:szCs w:val="20"/>
                <w:lang w:eastAsia="sk-SK"/>
              </w:rPr>
            </w:pPr>
            <w:r w:rsidRPr="00440C97">
              <w:rPr>
                <w:rFonts w:ascii="Arial Narrow" w:eastAsia="Times New Roman" w:hAnsi="Arial Narrow" w:cs="Times New Roman"/>
                <w:b/>
                <w:bCs/>
                <w:sz w:val="20"/>
                <w:szCs w:val="20"/>
                <w:lang w:eastAsia="sk-SK"/>
              </w:rPr>
              <w:t>2024</w:t>
            </w:r>
          </w:p>
        </w:tc>
        <w:tc>
          <w:tcPr>
            <w:tcW w:w="1276" w:type="dxa"/>
            <w:tcBorders>
              <w:top w:val="single" w:sz="8" w:space="0" w:color="auto"/>
              <w:left w:val="nil"/>
              <w:bottom w:val="single" w:sz="8" w:space="0" w:color="auto"/>
              <w:right w:val="single" w:sz="8" w:space="0" w:color="auto"/>
            </w:tcBorders>
            <w:shd w:val="clear" w:color="auto" w:fill="A6A6A6" w:themeFill="background1" w:themeFillShade="A6"/>
            <w:vAlign w:val="center"/>
            <w:hideMark/>
          </w:tcPr>
          <w:p w:rsidR="0051374A" w:rsidRPr="00440C97" w:rsidRDefault="0051374A" w:rsidP="0051374A">
            <w:pPr>
              <w:spacing w:after="0" w:line="240" w:lineRule="auto"/>
              <w:jc w:val="center"/>
              <w:rPr>
                <w:rFonts w:ascii="Arial Narrow" w:eastAsia="Times New Roman" w:hAnsi="Arial Narrow" w:cs="Times New Roman"/>
                <w:b/>
                <w:bCs/>
                <w:sz w:val="20"/>
                <w:szCs w:val="20"/>
                <w:lang w:eastAsia="sk-SK"/>
              </w:rPr>
            </w:pPr>
            <w:r w:rsidRPr="00440C97">
              <w:rPr>
                <w:rFonts w:ascii="Arial Narrow" w:eastAsia="Times New Roman" w:hAnsi="Arial Narrow" w:cs="Times New Roman"/>
                <w:b/>
                <w:bCs/>
                <w:sz w:val="20"/>
                <w:szCs w:val="20"/>
                <w:lang w:eastAsia="sk-SK"/>
              </w:rPr>
              <w:t>2025</w:t>
            </w:r>
          </w:p>
        </w:tc>
      </w:tr>
      <w:tr w:rsidR="00923EE6" w:rsidRPr="0051374A" w:rsidTr="00414F6F">
        <w:trPr>
          <w:trHeight w:val="375"/>
        </w:trPr>
        <w:tc>
          <w:tcPr>
            <w:tcW w:w="4243" w:type="dxa"/>
            <w:tcBorders>
              <w:top w:val="nil"/>
              <w:left w:val="single" w:sz="8" w:space="0" w:color="auto"/>
              <w:bottom w:val="nil"/>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b/>
                <w:bCs/>
                <w:sz w:val="20"/>
                <w:szCs w:val="20"/>
                <w:lang w:eastAsia="sk-SK"/>
              </w:rPr>
            </w:pPr>
            <w:r w:rsidRPr="00440C97">
              <w:rPr>
                <w:rFonts w:ascii="Arial Narrow" w:eastAsia="Times New Roman" w:hAnsi="Arial Narrow" w:cs="Arial"/>
                <w:b/>
                <w:bCs/>
                <w:sz w:val="20"/>
                <w:szCs w:val="20"/>
                <w:lang w:eastAsia="sk-SK"/>
              </w:rPr>
              <w:t xml:space="preserve">Celkový vplyv na rozpočet verejnej správy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b/>
                <w:bCs/>
                <w:color w:val="000000"/>
                <w:sz w:val="20"/>
                <w:szCs w:val="20"/>
                <w:lang w:eastAsia="sk-SK"/>
              </w:rPr>
            </w:pPr>
            <w:r w:rsidRPr="00923EE6">
              <w:rPr>
                <w:rFonts w:ascii="Arial Narrow" w:hAnsi="Arial Narrow" w:cs="Arial"/>
                <w:b/>
                <w:bCs/>
                <w:color w:val="000000"/>
                <w:sz w:val="20"/>
              </w:rPr>
              <w:t>-914 042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b/>
                <w:bCs/>
                <w:color w:val="000000"/>
                <w:sz w:val="20"/>
                <w:szCs w:val="20"/>
                <w:lang w:eastAsia="sk-SK"/>
              </w:rPr>
            </w:pPr>
            <w:r w:rsidRPr="00923EE6">
              <w:rPr>
                <w:rFonts w:ascii="Arial Narrow" w:hAnsi="Arial Narrow" w:cs="Arial"/>
                <w:b/>
                <w:bCs/>
                <w:color w:val="000000"/>
                <w:sz w:val="20"/>
              </w:rPr>
              <w:t>-279 489 123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b/>
                <w:bCs/>
                <w:color w:val="000000"/>
                <w:sz w:val="20"/>
                <w:szCs w:val="20"/>
                <w:lang w:eastAsia="sk-SK"/>
              </w:rPr>
            </w:pPr>
            <w:r w:rsidRPr="00923EE6">
              <w:rPr>
                <w:rFonts w:ascii="Arial Narrow" w:hAnsi="Arial Narrow" w:cs="Arial"/>
                <w:b/>
                <w:bCs/>
                <w:color w:val="000000"/>
                <w:sz w:val="20"/>
              </w:rPr>
              <w:t>-342 961 036</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b/>
                <w:bCs/>
                <w:color w:val="000000"/>
                <w:sz w:val="20"/>
                <w:szCs w:val="20"/>
                <w:lang w:eastAsia="sk-SK"/>
              </w:rPr>
            </w:pPr>
            <w:r w:rsidRPr="00923EE6">
              <w:rPr>
                <w:rFonts w:ascii="Arial Narrow" w:hAnsi="Arial Narrow" w:cs="Arial"/>
                <w:b/>
                <w:bCs/>
                <w:color w:val="000000"/>
                <w:sz w:val="20"/>
              </w:rPr>
              <w:t>-407 431 797</w:t>
            </w:r>
          </w:p>
        </w:tc>
      </w:tr>
      <w:tr w:rsidR="00923EE6" w:rsidRPr="0051374A" w:rsidTr="0051374A">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b/>
                <w:bCs/>
                <w:sz w:val="20"/>
                <w:szCs w:val="20"/>
                <w:lang w:eastAsia="sk-SK"/>
              </w:rPr>
            </w:pPr>
            <w:r w:rsidRPr="00440C97">
              <w:rPr>
                <w:rFonts w:ascii="Arial Narrow" w:eastAsia="Times New Roman" w:hAnsi="Arial Narrow" w:cs="Arial"/>
                <w:b/>
                <w:bCs/>
                <w:sz w:val="20"/>
                <w:szCs w:val="20"/>
                <w:lang w:eastAsia="sk-SK"/>
              </w:rPr>
              <w:t>(-) negatívny / (+) pozitívny</w:t>
            </w:r>
          </w:p>
        </w:tc>
        <w:tc>
          <w:tcPr>
            <w:tcW w:w="992" w:type="dxa"/>
            <w:vMerge/>
            <w:tcBorders>
              <w:top w:val="nil"/>
              <w:left w:val="single" w:sz="8" w:space="0" w:color="auto"/>
              <w:bottom w:val="single" w:sz="8" w:space="0" w:color="000000"/>
              <w:right w:val="single" w:sz="8" w:space="0" w:color="auto"/>
            </w:tcBorders>
            <w:vAlign w:val="center"/>
            <w:hideMark/>
          </w:tcPr>
          <w:p w:rsidR="00923EE6" w:rsidRPr="00923EE6" w:rsidRDefault="00923EE6" w:rsidP="00923EE6">
            <w:pPr>
              <w:spacing w:after="0" w:line="240" w:lineRule="auto"/>
              <w:rPr>
                <w:rFonts w:ascii="Arial Narrow" w:eastAsia="Times New Roman" w:hAnsi="Arial Narrow" w:cs="Arial"/>
                <w:b/>
                <w:bCs/>
                <w:color w:val="000000"/>
                <w:sz w:val="20"/>
                <w:szCs w:val="20"/>
                <w:lang w:eastAsia="sk-SK"/>
              </w:rPr>
            </w:pPr>
          </w:p>
        </w:tc>
        <w:tc>
          <w:tcPr>
            <w:tcW w:w="1276" w:type="dxa"/>
            <w:vMerge/>
            <w:tcBorders>
              <w:top w:val="nil"/>
              <w:left w:val="single" w:sz="8" w:space="0" w:color="auto"/>
              <w:bottom w:val="single" w:sz="8" w:space="0" w:color="000000"/>
              <w:right w:val="single" w:sz="8" w:space="0" w:color="auto"/>
            </w:tcBorders>
            <w:vAlign w:val="center"/>
            <w:hideMark/>
          </w:tcPr>
          <w:p w:rsidR="00923EE6" w:rsidRPr="00923EE6" w:rsidRDefault="00923EE6" w:rsidP="00923EE6">
            <w:pPr>
              <w:spacing w:after="0" w:line="240" w:lineRule="auto"/>
              <w:rPr>
                <w:rFonts w:ascii="Arial Narrow" w:eastAsia="Times New Roman" w:hAnsi="Arial Narrow" w:cs="Arial"/>
                <w:b/>
                <w:bCs/>
                <w:color w:val="000000"/>
                <w:sz w:val="20"/>
                <w:szCs w:val="20"/>
                <w:lang w:eastAsia="sk-SK"/>
              </w:rPr>
            </w:pPr>
          </w:p>
        </w:tc>
        <w:tc>
          <w:tcPr>
            <w:tcW w:w="1276" w:type="dxa"/>
            <w:vMerge/>
            <w:tcBorders>
              <w:top w:val="nil"/>
              <w:left w:val="single" w:sz="8" w:space="0" w:color="auto"/>
              <w:bottom w:val="single" w:sz="8" w:space="0" w:color="000000"/>
              <w:right w:val="single" w:sz="8" w:space="0" w:color="auto"/>
            </w:tcBorders>
            <w:vAlign w:val="center"/>
            <w:hideMark/>
          </w:tcPr>
          <w:p w:rsidR="00923EE6" w:rsidRPr="00923EE6" w:rsidRDefault="00923EE6" w:rsidP="00923EE6">
            <w:pPr>
              <w:spacing w:after="0" w:line="240" w:lineRule="auto"/>
              <w:rPr>
                <w:rFonts w:ascii="Arial Narrow" w:eastAsia="Times New Roman" w:hAnsi="Arial Narrow" w:cs="Arial"/>
                <w:b/>
                <w:bCs/>
                <w:color w:val="000000"/>
                <w:sz w:val="20"/>
                <w:szCs w:val="20"/>
                <w:lang w:eastAsia="sk-SK"/>
              </w:rPr>
            </w:pPr>
          </w:p>
        </w:tc>
        <w:tc>
          <w:tcPr>
            <w:tcW w:w="1276" w:type="dxa"/>
            <w:vMerge/>
            <w:tcBorders>
              <w:top w:val="nil"/>
              <w:left w:val="single" w:sz="8" w:space="0" w:color="auto"/>
              <w:bottom w:val="single" w:sz="8" w:space="0" w:color="000000"/>
              <w:right w:val="single" w:sz="8" w:space="0" w:color="auto"/>
            </w:tcBorders>
            <w:vAlign w:val="center"/>
            <w:hideMark/>
          </w:tcPr>
          <w:p w:rsidR="00923EE6" w:rsidRPr="00923EE6" w:rsidRDefault="00923EE6" w:rsidP="00923EE6">
            <w:pPr>
              <w:spacing w:after="0" w:line="240" w:lineRule="auto"/>
              <w:rPr>
                <w:rFonts w:ascii="Arial Narrow" w:eastAsia="Times New Roman" w:hAnsi="Arial Narrow" w:cs="Arial"/>
                <w:b/>
                <w:bCs/>
                <w:color w:val="000000"/>
                <w:sz w:val="20"/>
                <w:szCs w:val="20"/>
                <w:lang w:eastAsia="sk-SK"/>
              </w:rPr>
            </w:pPr>
          </w:p>
        </w:tc>
      </w:tr>
      <w:tr w:rsidR="00923EE6" w:rsidRPr="0051374A" w:rsidTr="00414F6F">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color w:val="000000"/>
                <w:sz w:val="20"/>
                <w:szCs w:val="20"/>
                <w:lang w:eastAsia="sk-SK"/>
              </w:rPr>
            </w:pPr>
            <w:r w:rsidRPr="00440C97">
              <w:rPr>
                <w:rFonts w:ascii="Arial Narrow" w:eastAsia="Times New Roman" w:hAnsi="Arial Narrow" w:cs="Arial"/>
                <w:color w:val="000000"/>
                <w:sz w:val="20"/>
                <w:szCs w:val="20"/>
                <w:lang w:eastAsia="sk-SK"/>
              </w:rPr>
              <w:t xml:space="preserve"> - v tom: Sociálna poisťovňa</w:t>
            </w:r>
          </w:p>
        </w:tc>
        <w:tc>
          <w:tcPr>
            <w:tcW w:w="992"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-914 042</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-275 895 697</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-339 191 370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-404 714 508</w:t>
            </w:r>
          </w:p>
        </w:tc>
      </w:tr>
      <w:tr w:rsidR="00923EE6" w:rsidRPr="0051374A" w:rsidTr="00414F6F">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color w:val="000000"/>
                <w:sz w:val="20"/>
                <w:szCs w:val="20"/>
                <w:lang w:eastAsia="sk-SK"/>
              </w:rPr>
            </w:pPr>
            <w:r w:rsidRPr="00440C97">
              <w:rPr>
                <w:rFonts w:ascii="Arial Narrow" w:eastAsia="Times New Roman" w:hAnsi="Arial Narrow" w:cs="Arial"/>
                <w:color w:val="000000"/>
                <w:sz w:val="20"/>
                <w:szCs w:val="20"/>
                <w:lang w:eastAsia="sk-SK"/>
              </w:rPr>
              <w:t xml:space="preserve"> - v tom: zdravotné poisťovne</w:t>
            </w:r>
          </w:p>
        </w:tc>
        <w:tc>
          <w:tcPr>
            <w:tcW w:w="992"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-2 051 222</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-2 396 264</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-2 504 025</w:t>
            </w:r>
          </w:p>
        </w:tc>
      </w:tr>
      <w:tr w:rsidR="00923EE6" w:rsidRPr="0051374A" w:rsidTr="00414F6F">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color w:val="000000"/>
                <w:sz w:val="20"/>
                <w:szCs w:val="20"/>
                <w:lang w:eastAsia="sk-SK"/>
              </w:rPr>
            </w:pPr>
            <w:r w:rsidRPr="00440C97">
              <w:rPr>
                <w:rFonts w:ascii="Arial Narrow" w:eastAsia="Times New Roman" w:hAnsi="Arial Narrow" w:cs="Arial"/>
                <w:color w:val="000000"/>
                <w:sz w:val="20"/>
                <w:szCs w:val="20"/>
                <w:lang w:eastAsia="sk-SK"/>
              </w:rPr>
              <w:t xml:space="preserve"> - v tom: obce</w:t>
            </w:r>
          </w:p>
        </w:tc>
        <w:tc>
          <w:tcPr>
            <w:tcW w:w="992"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-1 079 543</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-1 294 665</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-1 380 719</w:t>
            </w:r>
          </w:p>
        </w:tc>
      </w:tr>
      <w:tr w:rsidR="00923EE6" w:rsidRPr="0051374A" w:rsidTr="00414F6F">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color w:val="000000"/>
                <w:sz w:val="20"/>
                <w:szCs w:val="20"/>
                <w:lang w:eastAsia="sk-SK"/>
              </w:rPr>
            </w:pPr>
            <w:r w:rsidRPr="00440C97">
              <w:rPr>
                <w:rFonts w:ascii="Arial Narrow" w:eastAsia="Times New Roman" w:hAnsi="Arial Narrow" w:cs="Arial"/>
                <w:color w:val="000000"/>
                <w:sz w:val="20"/>
                <w:szCs w:val="20"/>
                <w:lang w:eastAsia="sk-SK"/>
              </w:rPr>
              <w:t xml:space="preserve"> - v tom: VÚC</w:t>
            </w:r>
          </w:p>
        </w:tc>
        <w:tc>
          <w:tcPr>
            <w:tcW w:w="992"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-462 661</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-554 856</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-591 737</w:t>
            </w:r>
          </w:p>
        </w:tc>
      </w:tr>
      <w:tr w:rsidR="00923EE6" w:rsidRPr="0051374A" w:rsidTr="00414F6F">
        <w:trPr>
          <w:trHeight w:val="37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923EE6" w:rsidRPr="00440C97" w:rsidRDefault="00923EE6" w:rsidP="00923EE6">
            <w:pPr>
              <w:spacing w:after="0" w:line="240" w:lineRule="auto"/>
              <w:rPr>
                <w:rFonts w:ascii="Arial Narrow" w:eastAsia="Times New Roman" w:hAnsi="Arial Narrow" w:cs="Arial"/>
                <w:color w:val="000000"/>
                <w:sz w:val="20"/>
                <w:szCs w:val="20"/>
                <w:lang w:eastAsia="sk-SK"/>
              </w:rPr>
            </w:pPr>
            <w:r w:rsidRPr="00440C97">
              <w:rPr>
                <w:rFonts w:ascii="Arial Narrow" w:eastAsia="Times New Roman" w:hAnsi="Arial Narrow" w:cs="Arial"/>
                <w:color w:val="000000"/>
                <w:sz w:val="20"/>
                <w:szCs w:val="20"/>
                <w:lang w:eastAsia="sk-SK"/>
              </w:rPr>
              <w:t xml:space="preserve"> - v tom: MPSVR SR</w:t>
            </w:r>
          </w:p>
        </w:tc>
        <w:tc>
          <w:tcPr>
            <w:tcW w:w="992"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0</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476 119</w:t>
            </w:r>
          </w:p>
        </w:tc>
        <w:tc>
          <w:tcPr>
            <w:tcW w:w="1276" w:type="dxa"/>
            <w:tcBorders>
              <w:top w:val="nil"/>
              <w:left w:val="nil"/>
              <w:bottom w:val="single" w:sz="8" w:space="0" w:color="auto"/>
              <w:right w:val="single" w:sz="8" w:space="0" w:color="auto"/>
            </w:tcBorders>
            <w:shd w:val="clear" w:color="auto" w:fill="auto"/>
            <w:vAlign w:val="center"/>
            <w:hideMark/>
          </w:tcPr>
          <w:p w:rsidR="00923EE6" w:rsidRPr="00923EE6" w:rsidRDefault="00923EE6" w:rsidP="00923EE6">
            <w:pPr>
              <w:spacing w:after="0" w:line="240" w:lineRule="auto"/>
              <w:jc w:val="right"/>
              <w:rPr>
                <w:rFonts w:ascii="Arial Narrow" w:eastAsia="Times New Roman" w:hAnsi="Arial Narrow" w:cs="Arial"/>
                <w:color w:val="000000"/>
                <w:sz w:val="20"/>
                <w:szCs w:val="20"/>
                <w:lang w:eastAsia="sk-SK"/>
              </w:rPr>
            </w:pPr>
            <w:r w:rsidRPr="00923EE6">
              <w:rPr>
                <w:rFonts w:ascii="Arial Narrow" w:hAnsi="Arial Narrow" w:cs="Arial"/>
                <w:color w:val="000000"/>
                <w:sz w:val="20"/>
              </w:rPr>
              <w:t>1 759 191</w:t>
            </w:r>
          </w:p>
        </w:tc>
      </w:tr>
    </w:tbl>
    <w:p w:rsidR="008D27D5" w:rsidRPr="00065D19" w:rsidRDefault="00BF72E6" w:rsidP="00E47C9F">
      <w:pPr>
        <w:tabs>
          <w:tab w:val="num" w:pos="1080"/>
        </w:tabs>
        <w:spacing w:after="0" w:line="240" w:lineRule="auto"/>
        <w:jc w:val="both"/>
        <w:rPr>
          <w:rFonts w:ascii="Times New Roman" w:eastAsia="Times New Roman" w:hAnsi="Times New Roman" w:cs="Times New Roman"/>
          <w:bCs/>
          <w:sz w:val="20"/>
          <w:szCs w:val="24"/>
          <w:lang w:eastAsia="sk-SK"/>
        </w:rPr>
      </w:pPr>
      <w:r>
        <w:rPr>
          <w:rFonts w:ascii="Times New Roman" w:eastAsia="Times New Roman" w:hAnsi="Times New Roman" w:cs="Times New Roman"/>
          <w:bCs/>
          <w:sz w:val="20"/>
          <w:szCs w:val="24"/>
          <w:lang w:eastAsia="sk-SK"/>
        </w:rPr>
        <w:t>MPSVR SR – Ministerstvo práce, sociálnych vecí a rodiny SR</w:t>
      </w:r>
      <w:r w:rsidR="00685314">
        <w:rPr>
          <w:rFonts w:ascii="Times New Roman" w:eastAsia="Times New Roman" w:hAnsi="Times New Roman" w:cs="Times New Roman"/>
          <w:bCs/>
          <w:sz w:val="20"/>
          <w:szCs w:val="24"/>
          <w:lang w:eastAsia="sk-SK"/>
        </w:rPr>
        <w:t xml:space="preserve">, </w:t>
      </w:r>
      <w:r w:rsidR="00EE1B8B">
        <w:rPr>
          <w:rFonts w:ascii="Times New Roman" w:eastAsia="Times New Roman" w:hAnsi="Times New Roman" w:cs="Times New Roman"/>
          <w:bCs/>
          <w:sz w:val="20"/>
          <w:szCs w:val="24"/>
          <w:lang w:eastAsia="sk-SK"/>
        </w:rPr>
        <w:t>VÚC</w:t>
      </w:r>
      <w:r w:rsidR="00685314">
        <w:rPr>
          <w:rFonts w:ascii="Times New Roman" w:eastAsia="Times New Roman" w:hAnsi="Times New Roman" w:cs="Times New Roman"/>
          <w:bCs/>
          <w:sz w:val="20"/>
          <w:szCs w:val="24"/>
          <w:lang w:eastAsia="sk-SK"/>
        </w:rPr>
        <w:t xml:space="preserve"> –</w:t>
      </w:r>
      <w:r w:rsidR="00EE1B8B">
        <w:rPr>
          <w:rFonts w:ascii="Times New Roman" w:eastAsia="Times New Roman" w:hAnsi="Times New Roman" w:cs="Times New Roman"/>
          <w:bCs/>
          <w:sz w:val="20"/>
          <w:szCs w:val="24"/>
          <w:lang w:eastAsia="sk-SK"/>
        </w:rPr>
        <w:t xml:space="preserve"> vyššie územné celky</w:t>
      </w:r>
    </w:p>
    <w:p w:rsidR="00453509" w:rsidRDefault="00453509" w:rsidP="00E47C9F">
      <w:pPr>
        <w:tabs>
          <w:tab w:val="num" w:pos="1080"/>
        </w:tabs>
        <w:spacing w:after="0" w:line="240" w:lineRule="auto"/>
        <w:jc w:val="both"/>
        <w:rPr>
          <w:rFonts w:ascii="Times New Roman" w:eastAsia="Times New Roman" w:hAnsi="Times New Roman" w:cs="Times New Roman"/>
          <w:bCs/>
          <w:sz w:val="24"/>
          <w:szCs w:val="24"/>
          <w:lang w:eastAsia="sk-SK"/>
        </w:rPr>
      </w:pPr>
    </w:p>
    <w:p w:rsidR="00714B08" w:rsidRPr="001116CF" w:rsidRDefault="00453509" w:rsidP="001116CF">
      <w:pPr>
        <w:tabs>
          <w:tab w:val="num" w:pos="1080"/>
        </w:tabs>
        <w:spacing w:after="0" w:line="264" w:lineRule="auto"/>
        <w:jc w:val="both"/>
        <w:rPr>
          <w:rFonts w:ascii="Times New Roman" w:eastAsia="Times New Roman" w:hAnsi="Times New Roman" w:cs="Times New Roman"/>
          <w:bCs/>
          <w:szCs w:val="24"/>
          <w:lang w:eastAsia="sk-SK"/>
        </w:rPr>
      </w:pPr>
      <w:r w:rsidRPr="00B94369">
        <w:rPr>
          <w:rFonts w:ascii="Times New Roman" w:eastAsia="Times New Roman" w:hAnsi="Times New Roman" w:cs="Times New Roman"/>
          <w:b/>
          <w:bCs/>
          <w:szCs w:val="24"/>
          <w:u w:val="single"/>
          <w:lang w:eastAsia="sk-SK"/>
        </w:rPr>
        <w:t>Tabuľka</w:t>
      </w:r>
      <w:r w:rsidR="00704176" w:rsidRPr="00B94369">
        <w:rPr>
          <w:rFonts w:ascii="Times New Roman" w:eastAsia="Times New Roman" w:hAnsi="Times New Roman" w:cs="Times New Roman"/>
          <w:b/>
          <w:bCs/>
          <w:szCs w:val="24"/>
          <w:u w:val="single"/>
          <w:lang w:eastAsia="sk-SK"/>
        </w:rPr>
        <w:t xml:space="preserve"> celkových vplyvov 2B</w:t>
      </w:r>
      <w:r w:rsidRPr="00B94369">
        <w:rPr>
          <w:rFonts w:ascii="Times New Roman" w:eastAsia="Times New Roman" w:hAnsi="Times New Roman" w:cs="Times New Roman"/>
          <w:b/>
          <w:bCs/>
          <w:szCs w:val="24"/>
          <w:u w:val="single"/>
          <w:lang w:eastAsia="sk-SK"/>
        </w:rPr>
        <w:t>:</w:t>
      </w:r>
      <w:r w:rsidRPr="00B94369">
        <w:rPr>
          <w:rFonts w:ascii="Times New Roman" w:eastAsia="Times New Roman" w:hAnsi="Times New Roman" w:cs="Times New Roman"/>
          <w:bCs/>
          <w:szCs w:val="24"/>
          <w:lang w:eastAsia="sk-SK"/>
        </w:rPr>
        <w:t xml:space="preserve"> Bilancia verejnej správy podľa jednotlivých opatrení a vplyvu na subjekty verejnej správy, ktoré zakladá navrhovaná právna úprava</w:t>
      </w:r>
      <w:r w:rsidR="005810A3">
        <w:rPr>
          <w:rFonts w:ascii="Times New Roman" w:eastAsia="Times New Roman" w:hAnsi="Times New Roman" w:cs="Times New Roman"/>
          <w:bCs/>
          <w:szCs w:val="24"/>
          <w:lang w:eastAsia="sk-SK"/>
        </w:rPr>
        <w:t xml:space="preserve"> – záporné znamienko (-) predstavuje zhoršenie bilancie</w:t>
      </w:r>
      <w:r w:rsidRPr="00B94369">
        <w:rPr>
          <w:rFonts w:ascii="Times New Roman" w:eastAsia="Times New Roman" w:hAnsi="Times New Roman" w:cs="Times New Roman"/>
          <w:bCs/>
          <w:szCs w:val="24"/>
          <w:lang w:eastAsia="sk-SK"/>
        </w:rPr>
        <w:t>.</w:t>
      </w:r>
    </w:p>
    <w:tbl>
      <w:tblPr>
        <w:tblW w:w="9062" w:type="dxa"/>
        <w:tblCellMar>
          <w:left w:w="70" w:type="dxa"/>
          <w:right w:w="70" w:type="dxa"/>
        </w:tblCellMar>
        <w:tblLook w:val="04A0" w:firstRow="1" w:lastRow="0" w:firstColumn="1" w:lastColumn="0" w:noHBand="0" w:noVBand="1"/>
      </w:tblPr>
      <w:tblGrid>
        <w:gridCol w:w="1000"/>
        <w:gridCol w:w="3243"/>
        <w:gridCol w:w="992"/>
        <w:gridCol w:w="1276"/>
        <w:gridCol w:w="1276"/>
        <w:gridCol w:w="1275"/>
      </w:tblGrid>
      <w:tr w:rsidR="0051374A" w:rsidRPr="0051374A" w:rsidTr="00414F6F">
        <w:trPr>
          <w:trHeight w:val="300"/>
        </w:trPr>
        <w:tc>
          <w:tcPr>
            <w:tcW w:w="1000"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rsidR="0051374A" w:rsidRPr="0051374A" w:rsidRDefault="0051374A" w:rsidP="0051374A">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 </w:t>
            </w:r>
          </w:p>
        </w:tc>
        <w:tc>
          <w:tcPr>
            <w:tcW w:w="3243" w:type="dxa"/>
            <w:tcBorders>
              <w:top w:val="single" w:sz="8" w:space="0" w:color="auto"/>
              <w:left w:val="nil"/>
              <w:bottom w:val="nil"/>
              <w:right w:val="single" w:sz="8" w:space="0" w:color="auto"/>
            </w:tcBorders>
            <w:shd w:val="clear" w:color="000000" w:fill="808080"/>
            <w:noWrap/>
            <w:vAlign w:val="center"/>
            <w:hideMark/>
          </w:tcPr>
          <w:p w:rsidR="0051374A" w:rsidRPr="001116CF" w:rsidRDefault="0051374A" w:rsidP="0051374A">
            <w:pPr>
              <w:spacing w:after="0" w:line="240" w:lineRule="auto"/>
              <w:jc w:val="center"/>
              <w:rPr>
                <w:rFonts w:ascii="Arial Narrow" w:eastAsia="Times New Roman" w:hAnsi="Arial Narrow" w:cs="Arial"/>
                <w:b/>
                <w:bCs/>
                <w:sz w:val="20"/>
                <w:szCs w:val="20"/>
                <w:lang w:eastAsia="sk-SK"/>
              </w:rPr>
            </w:pPr>
            <w:r w:rsidRPr="001116CF">
              <w:rPr>
                <w:rFonts w:ascii="Arial Narrow" w:eastAsia="Times New Roman" w:hAnsi="Arial Narrow" w:cs="Arial"/>
                <w:b/>
                <w:bCs/>
                <w:sz w:val="20"/>
                <w:szCs w:val="20"/>
                <w:lang w:eastAsia="sk-SK"/>
              </w:rPr>
              <w:t xml:space="preserve">Návrh zmeny </w:t>
            </w:r>
          </w:p>
        </w:tc>
        <w:tc>
          <w:tcPr>
            <w:tcW w:w="992" w:type="dxa"/>
            <w:tcBorders>
              <w:top w:val="single" w:sz="8" w:space="0" w:color="auto"/>
              <w:left w:val="nil"/>
              <w:bottom w:val="nil"/>
              <w:right w:val="single" w:sz="8" w:space="0" w:color="auto"/>
            </w:tcBorders>
            <w:shd w:val="clear" w:color="000000" w:fill="808080"/>
            <w:noWrap/>
            <w:vAlign w:val="center"/>
            <w:hideMark/>
          </w:tcPr>
          <w:p w:rsidR="0051374A" w:rsidRPr="001116CF" w:rsidRDefault="0051374A" w:rsidP="0051374A">
            <w:pPr>
              <w:spacing w:after="0" w:line="240" w:lineRule="auto"/>
              <w:jc w:val="center"/>
              <w:rPr>
                <w:rFonts w:ascii="Arial Narrow" w:eastAsia="Times New Roman" w:hAnsi="Arial Narrow" w:cs="Arial"/>
                <w:b/>
                <w:bCs/>
                <w:sz w:val="20"/>
                <w:szCs w:val="20"/>
                <w:lang w:eastAsia="sk-SK"/>
              </w:rPr>
            </w:pPr>
            <w:r w:rsidRPr="001116CF">
              <w:rPr>
                <w:rFonts w:ascii="Arial Narrow" w:eastAsia="Times New Roman" w:hAnsi="Arial Narrow" w:cs="Arial"/>
                <w:b/>
                <w:bCs/>
                <w:sz w:val="20"/>
                <w:szCs w:val="20"/>
                <w:lang w:eastAsia="sk-SK"/>
              </w:rPr>
              <w:t>2022</w:t>
            </w:r>
          </w:p>
        </w:tc>
        <w:tc>
          <w:tcPr>
            <w:tcW w:w="1276" w:type="dxa"/>
            <w:tcBorders>
              <w:top w:val="single" w:sz="8" w:space="0" w:color="auto"/>
              <w:left w:val="nil"/>
              <w:bottom w:val="nil"/>
              <w:right w:val="single" w:sz="8" w:space="0" w:color="auto"/>
            </w:tcBorders>
            <w:shd w:val="clear" w:color="000000" w:fill="808080"/>
            <w:noWrap/>
            <w:vAlign w:val="center"/>
            <w:hideMark/>
          </w:tcPr>
          <w:p w:rsidR="0051374A" w:rsidRPr="001116CF" w:rsidRDefault="0051374A" w:rsidP="0051374A">
            <w:pPr>
              <w:spacing w:after="0" w:line="240" w:lineRule="auto"/>
              <w:jc w:val="center"/>
              <w:rPr>
                <w:rFonts w:ascii="Arial Narrow" w:eastAsia="Times New Roman" w:hAnsi="Arial Narrow" w:cs="Arial"/>
                <w:b/>
                <w:bCs/>
                <w:sz w:val="20"/>
                <w:szCs w:val="20"/>
                <w:lang w:eastAsia="sk-SK"/>
              </w:rPr>
            </w:pPr>
            <w:r w:rsidRPr="001116CF">
              <w:rPr>
                <w:rFonts w:ascii="Arial Narrow" w:eastAsia="Times New Roman" w:hAnsi="Arial Narrow" w:cs="Arial"/>
                <w:b/>
                <w:bCs/>
                <w:sz w:val="20"/>
                <w:szCs w:val="20"/>
                <w:lang w:eastAsia="sk-SK"/>
              </w:rPr>
              <w:t>2023</w:t>
            </w:r>
          </w:p>
        </w:tc>
        <w:tc>
          <w:tcPr>
            <w:tcW w:w="1276" w:type="dxa"/>
            <w:tcBorders>
              <w:top w:val="single" w:sz="8" w:space="0" w:color="auto"/>
              <w:left w:val="nil"/>
              <w:bottom w:val="nil"/>
              <w:right w:val="single" w:sz="8" w:space="0" w:color="auto"/>
            </w:tcBorders>
            <w:shd w:val="clear" w:color="000000" w:fill="808080"/>
            <w:noWrap/>
            <w:vAlign w:val="center"/>
            <w:hideMark/>
          </w:tcPr>
          <w:p w:rsidR="0051374A" w:rsidRPr="001116CF" w:rsidRDefault="0051374A" w:rsidP="0051374A">
            <w:pPr>
              <w:spacing w:after="0" w:line="240" w:lineRule="auto"/>
              <w:jc w:val="center"/>
              <w:rPr>
                <w:rFonts w:ascii="Arial Narrow" w:eastAsia="Times New Roman" w:hAnsi="Arial Narrow" w:cs="Arial"/>
                <w:b/>
                <w:bCs/>
                <w:sz w:val="20"/>
                <w:szCs w:val="20"/>
                <w:lang w:eastAsia="sk-SK"/>
              </w:rPr>
            </w:pPr>
            <w:r w:rsidRPr="001116CF">
              <w:rPr>
                <w:rFonts w:ascii="Arial Narrow" w:eastAsia="Times New Roman" w:hAnsi="Arial Narrow" w:cs="Arial"/>
                <w:b/>
                <w:bCs/>
                <w:sz w:val="20"/>
                <w:szCs w:val="20"/>
                <w:lang w:eastAsia="sk-SK"/>
              </w:rPr>
              <w:t>2024</w:t>
            </w:r>
          </w:p>
        </w:tc>
        <w:tc>
          <w:tcPr>
            <w:tcW w:w="1275" w:type="dxa"/>
            <w:tcBorders>
              <w:top w:val="single" w:sz="8" w:space="0" w:color="auto"/>
              <w:left w:val="nil"/>
              <w:bottom w:val="nil"/>
              <w:right w:val="single" w:sz="8" w:space="0" w:color="auto"/>
            </w:tcBorders>
            <w:shd w:val="clear" w:color="000000" w:fill="808080"/>
            <w:noWrap/>
            <w:vAlign w:val="center"/>
            <w:hideMark/>
          </w:tcPr>
          <w:p w:rsidR="0051374A" w:rsidRPr="001116CF" w:rsidRDefault="0051374A" w:rsidP="0051374A">
            <w:pPr>
              <w:spacing w:after="0" w:line="240" w:lineRule="auto"/>
              <w:jc w:val="center"/>
              <w:rPr>
                <w:rFonts w:ascii="Arial Narrow" w:eastAsia="Times New Roman" w:hAnsi="Arial Narrow" w:cs="Arial"/>
                <w:b/>
                <w:bCs/>
                <w:sz w:val="20"/>
                <w:szCs w:val="20"/>
                <w:lang w:eastAsia="sk-SK"/>
              </w:rPr>
            </w:pPr>
            <w:r w:rsidRPr="001116CF">
              <w:rPr>
                <w:rFonts w:ascii="Arial Narrow" w:eastAsia="Times New Roman" w:hAnsi="Arial Narrow" w:cs="Arial"/>
                <w:b/>
                <w:bCs/>
                <w:sz w:val="20"/>
                <w:szCs w:val="20"/>
                <w:lang w:eastAsia="sk-SK"/>
              </w:rPr>
              <w:t>2025</w:t>
            </w:r>
          </w:p>
        </w:tc>
      </w:tr>
      <w:tr w:rsidR="00923EE6" w:rsidRPr="0051374A" w:rsidTr="00414F6F">
        <w:trPr>
          <w:trHeight w:val="375"/>
        </w:trPr>
        <w:tc>
          <w:tcPr>
            <w:tcW w:w="1000" w:type="dxa"/>
            <w:tcBorders>
              <w:top w:val="nil"/>
              <w:left w:val="single" w:sz="8" w:space="0" w:color="auto"/>
              <w:bottom w:val="single" w:sz="8" w:space="0" w:color="auto"/>
              <w:right w:val="nil"/>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A</w:t>
            </w:r>
          </w:p>
        </w:tc>
        <w:tc>
          <w:tcPr>
            <w:tcW w:w="32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Dôchodkový vek</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r>
      <w:tr w:rsidR="00923EE6" w:rsidRPr="0051374A" w:rsidTr="00414F6F">
        <w:trPr>
          <w:trHeight w:val="375"/>
        </w:trPr>
        <w:tc>
          <w:tcPr>
            <w:tcW w:w="1000" w:type="dxa"/>
            <w:tcBorders>
              <w:top w:val="nil"/>
              <w:left w:val="single" w:sz="8" w:space="0" w:color="auto"/>
              <w:bottom w:val="single" w:sz="8" w:space="0" w:color="auto"/>
              <w:right w:val="nil"/>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B1</w:t>
            </w:r>
          </w:p>
        </w:tc>
        <w:tc>
          <w:tcPr>
            <w:tcW w:w="3243" w:type="dxa"/>
            <w:tcBorders>
              <w:top w:val="nil"/>
              <w:left w:val="single" w:sz="8" w:space="0" w:color="auto"/>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Odchod po 40 rokoch bilancia SP</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-19 102 413</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-50 504 332</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-73 402 044</w:t>
            </w:r>
          </w:p>
        </w:tc>
      </w:tr>
      <w:tr w:rsidR="00923EE6" w:rsidRPr="0051374A" w:rsidTr="00414F6F">
        <w:trPr>
          <w:trHeight w:val="375"/>
        </w:trPr>
        <w:tc>
          <w:tcPr>
            <w:tcW w:w="1000" w:type="dxa"/>
            <w:tcBorders>
              <w:top w:val="nil"/>
              <w:left w:val="single" w:sz="8" w:space="0" w:color="auto"/>
              <w:bottom w:val="single" w:sz="8" w:space="0" w:color="auto"/>
              <w:right w:val="nil"/>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B2</w:t>
            </w:r>
          </w:p>
        </w:tc>
        <w:tc>
          <w:tcPr>
            <w:tcW w:w="3243" w:type="dxa"/>
            <w:tcBorders>
              <w:top w:val="nil"/>
              <w:left w:val="single" w:sz="8" w:space="0" w:color="auto"/>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Odchod po 40 rokoch bilancia obce a VUC</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-1 542 204</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-1 849 521</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-1 972 456</w:t>
            </w:r>
          </w:p>
        </w:tc>
      </w:tr>
      <w:tr w:rsidR="00923EE6" w:rsidRPr="0051374A" w:rsidTr="00414F6F">
        <w:trPr>
          <w:trHeight w:val="375"/>
        </w:trPr>
        <w:tc>
          <w:tcPr>
            <w:tcW w:w="1000" w:type="dxa"/>
            <w:tcBorders>
              <w:top w:val="nil"/>
              <w:left w:val="single" w:sz="8" w:space="0" w:color="auto"/>
              <w:bottom w:val="single" w:sz="8" w:space="0" w:color="auto"/>
              <w:right w:val="nil"/>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B3</w:t>
            </w:r>
          </w:p>
        </w:tc>
        <w:tc>
          <w:tcPr>
            <w:tcW w:w="3243" w:type="dxa"/>
            <w:tcBorders>
              <w:top w:val="nil"/>
              <w:left w:val="single" w:sz="8" w:space="0" w:color="auto"/>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Odchod po 40 rokoch bilancia ZP</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-2 051 222</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-2 396 264</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-2 504 025</w:t>
            </w:r>
          </w:p>
        </w:tc>
      </w:tr>
      <w:tr w:rsidR="00923EE6" w:rsidRPr="0051374A" w:rsidTr="00414F6F">
        <w:trPr>
          <w:trHeight w:val="375"/>
        </w:trPr>
        <w:tc>
          <w:tcPr>
            <w:tcW w:w="1000" w:type="dxa"/>
            <w:tcBorders>
              <w:top w:val="nil"/>
              <w:left w:val="single" w:sz="8" w:space="0" w:color="auto"/>
              <w:bottom w:val="single" w:sz="8" w:space="0" w:color="auto"/>
              <w:right w:val="single" w:sz="8" w:space="0" w:color="auto"/>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B4</w:t>
            </w:r>
          </w:p>
        </w:tc>
        <w:tc>
          <w:tcPr>
            <w:tcW w:w="3243"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Prepočet PSD za 40 odpracovaných rokov</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-10 963 379</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-33 201 216</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-54 620 447</w:t>
            </w:r>
          </w:p>
        </w:tc>
      </w:tr>
      <w:tr w:rsidR="00923EE6" w:rsidRPr="0051374A" w:rsidTr="00414F6F">
        <w:trPr>
          <w:trHeight w:val="375"/>
        </w:trPr>
        <w:tc>
          <w:tcPr>
            <w:tcW w:w="1000" w:type="dxa"/>
            <w:tcBorders>
              <w:top w:val="nil"/>
              <w:left w:val="single" w:sz="8" w:space="0" w:color="auto"/>
              <w:bottom w:val="single" w:sz="8" w:space="0" w:color="auto"/>
              <w:right w:val="nil"/>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C</w:t>
            </w:r>
          </w:p>
        </w:tc>
        <w:tc>
          <w:tcPr>
            <w:tcW w:w="3243" w:type="dxa"/>
            <w:tcBorders>
              <w:top w:val="nil"/>
              <w:left w:val="single" w:sz="8" w:space="0" w:color="auto"/>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Asignácia odvodov bilancia SP</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-300 000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-252 600 300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-273 960 749</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-295 763 068</w:t>
            </w:r>
          </w:p>
        </w:tc>
      </w:tr>
      <w:tr w:rsidR="00923EE6" w:rsidRPr="0051374A" w:rsidTr="00414F6F">
        <w:trPr>
          <w:trHeight w:val="375"/>
        </w:trPr>
        <w:tc>
          <w:tcPr>
            <w:tcW w:w="1000" w:type="dxa"/>
            <w:tcBorders>
              <w:top w:val="nil"/>
              <w:left w:val="single" w:sz="8" w:space="0" w:color="auto"/>
              <w:bottom w:val="single" w:sz="8" w:space="0" w:color="auto"/>
              <w:right w:val="single" w:sz="8" w:space="0" w:color="auto"/>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D1</w:t>
            </w:r>
          </w:p>
        </w:tc>
        <w:tc>
          <w:tcPr>
            <w:tcW w:w="3243"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Sprísnenie podmienok na PSD bilancia SP</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-614 042</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5 308 072</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14 062 959</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11 226 233</w:t>
            </w:r>
          </w:p>
        </w:tc>
      </w:tr>
      <w:tr w:rsidR="00923EE6" w:rsidRPr="0051374A" w:rsidTr="00414F6F">
        <w:trPr>
          <w:trHeight w:val="375"/>
        </w:trPr>
        <w:tc>
          <w:tcPr>
            <w:tcW w:w="1000" w:type="dxa"/>
            <w:tcBorders>
              <w:top w:val="nil"/>
              <w:left w:val="single" w:sz="8" w:space="0" w:color="auto"/>
              <w:bottom w:val="single" w:sz="8" w:space="0" w:color="auto"/>
              <w:right w:val="single" w:sz="8" w:space="0" w:color="auto"/>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D2</w:t>
            </w:r>
          </w:p>
        </w:tc>
        <w:tc>
          <w:tcPr>
            <w:tcW w:w="3243"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Sprísnenie podmienok na PSD bilancia ŠR</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476 119</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1 759 191</w:t>
            </w:r>
          </w:p>
        </w:tc>
      </w:tr>
      <w:tr w:rsidR="00923EE6" w:rsidRPr="0051374A" w:rsidTr="00414F6F">
        <w:trPr>
          <w:trHeight w:val="375"/>
        </w:trPr>
        <w:tc>
          <w:tcPr>
            <w:tcW w:w="1000" w:type="dxa"/>
            <w:tcBorders>
              <w:top w:val="nil"/>
              <w:left w:val="single" w:sz="8" w:space="0" w:color="auto"/>
              <w:bottom w:val="single" w:sz="8" w:space="0" w:color="auto"/>
              <w:right w:val="single" w:sz="8" w:space="0" w:color="auto"/>
            </w:tcBorders>
            <w:shd w:val="clear" w:color="000000" w:fill="C0C0C0"/>
            <w:noWrap/>
            <w:vAlign w:val="center"/>
            <w:hideMark/>
          </w:tcPr>
          <w:p w:rsidR="00923EE6" w:rsidRPr="0051374A" w:rsidRDefault="00923EE6" w:rsidP="00923EE6">
            <w:pPr>
              <w:spacing w:after="0" w:line="240" w:lineRule="auto"/>
              <w:jc w:val="center"/>
              <w:rPr>
                <w:rFonts w:ascii="Arial Narrow" w:eastAsia="Times New Roman" w:hAnsi="Arial Narrow" w:cs="Arial"/>
                <w:b/>
                <w:bCs/>
                <w:sz w:val="20"/>
                <w:szCs w:val="20"/>
                <w:lang w:eastAsia="sk-SK"/>
              </w:rPr>
            </w:pPr>
            <w:r w:rsidRPr="0051374A">
              <w:rPr>
                <w:rFonts w:ascii="Arial Narrow" w:eastAsia="Times New Roman" w:hAnsi="Arial Narrow" w:cs="Arial"/>
                <w:b/>
                <w:bCs/>
                <w:sz w:val="20"/>
                <w:szCs w:val="20"/>
                <w:lang w:eastAsia="sk-SK"/>
              </w:rPr>
              <w:t>E</w:t>
            </w:r>
          </w:p>
        </w:tc>
        <w:tc>
          <w:tcPr>
            <w:tcW w:w="3243"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rPr>
                <w:rFonts w:ascii="Arial Narrow" w:eastAsia="Times New Roman" w:hAnsi="Arial Narrow" w:cs="Arial"/>
                <w:sz w:val="20"/>
                <w:szCs w:val="20"/>
                <w:lang w:eastAsia="sk-SK"/>
              </w:rPr>
            </w:pPr>
            <w:r w:rsidRPr="0051374A">
              <w:rPr>
                <w:rFonts w:ascii="Arial Narrow" w:eastAsia="Times New Roman" w:hAnsi="Arial Narrow" w:cs="Arial"/>
                <w:sz w:val="20"/>
                <w:szCs w:val="20"/>
                <w:lang w:eastAsia="sk-SK"/>
              </w:rPr>
              <w:t>N</w:t>
            </w:r>
            <w:r>
              <w:rPr>
                <w:rFonts w:ascii="Arial Narrow" w:eastAsia="Times New Roman" w:hAnsi="Arial Narrow" w:cs="Arial"/>
                <w:sz w:val="20"/>
                <w:szCs w:val="20"/>
                <w:lang w:eastAsia="sk-SK"/>
              </w:rPr>
              <w:t>aviaza</w:t>
            </w:r>
            <w:r w:rsidRPr="0051374A">
              <w:rPr>
                <w:rFonts w:ascii="Arial Narrow" w:eastAsia="Times New Roman" w:hAnsi="Arial Narrow" w:cs="Arial"/>
                <w:sz w:val="20"/>
                <w:szCs w:val="20"/>
                <w:lang w:eastAsia="sk-SK"/>
              </w:rPr>
              <w:t>nie aktuálnej dôchodkovej hodnoty na 95% nominálneho rastu priemernej mzdy</w:t>
            </w:r>
          </w:p>
        </w:tc>
        <w:tc>
          <w:tcPr>
            <w:tcW w:w="992"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1 462 324</w:t>
            </w:r>
          </w:p>
        </w:tc>
        <w:tc>
          <w:tcPr>
            <w:tcW w:w="1276"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4 411 969</w:t>
            </w:r>
          </w:p>
        </w:tc>
        <w:tc>
          <w:tcPr>
            <w:tcW w:w="1275" w:type="dxa"/>
            <w:tcBorders>
              <w:top w:val="nil"/>
              <w:left w:val="nil"/>
              <w:bottom w:val="single" w:sz="8" w:space="0" w:color="auto"/>
              <w:right w:val="single" w:sz="8" w:space="0" w:color="auto"/>
            </w:tcBorders>
            <w:shd w:val="clear" w:color="auto" w:fill="auto"/>
            <w:noWrap/>
            <w:vAlign w:val="center"/>
            <w:hideMark/>
          </w:tcPr>
          <w:p w:rsidR="00923EE6" w:rsidRPr="0051374A" w:rsidRDefault="00923EE6" w:rsidP="00923EE6">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7 844 819</w:t>
            </w:r>
          </w:p>
        </w:tc>
      </w:tr>
    </w:tbl>
    <w:p w:rsidR="00453509" w:rsidRDefault="00065D19" w:rsidP="00414F6F">
      <w:pPr>
        <w:spacing w:after="0" w:line="240" w:lineRule="auto"/>
        <w:jc w:val="both"/>
        <w:rPr>
          <w:rFonts w:ascii="Times New Roman" w:hAnsi="Times New Roman" w:cs="Verdana"/>
          <w:b/>
          <w:bCs/>
          <w:iCs/>
          <w:sz w:val="24"/>
          <w:szCs w:val="24"/>
        </w:rPr>
      </w:pPr>
      <w:r w:rsidRPr="00065D19">
        <w:rPr>
          <w:rFonts w:ascii="Times New Roman" w:eastAsia="Times New Roman" w:hAnsi="Times New Roman" w:cs="Times New Roman"/>
          <w:bCs/>
          <w:sz w:val="20"/>
          <w:szCs w:val="24"/>
          <w:lang w:eastAsia="sk-SK"/>
        </w:rPr>
        <w:t>SP – Sociálna poisťovňa; VÚC –</w:t>
      </w:r>
      <w:r w:rsidR="00356273">
        <w:rPr>
          <w:rFonts w:ascii="Times New Roman" w:eastAsia="Times New Roman" w:hAnsi="Times New Roman" w:cs="Times New Roman"/>
          <w:bCs/>
          <w:sz w:val="20"/>
          <w:szCs w:val="24"/>
          <w:lang w:eastAsia="sk-SK"/>
        </w:rPr>
        <w:t xml:space="preserve"> v</w:t>
      </w:r>
      <w:r w:rsidRPr="00065D19">
        <w:rPr>
          <w:rFonts w:ascii="Times New Roman" w:eastAsia="Times New Roman" w:hAnsi="Times New Roman" w:cs="Times New Roman"/>
          <w:bCs/>
          <w:sz w:val="20"/>
          <w:szCs w:val="24"/>
          <w:lang w:eastAsia="sk-SK"/>
        </w:rPr>
        <w:t xml:space="preserve">yššie územné celky; ZP – zdravotné poisťovne; </w:t>
      </w:r>
      <w:r w:rsidR="00305DEB">
        <w:rPr>
          <w:rFonts w:ascii="Times New Roman" w:eastAsia="Times New Roman" w:hAnsi="Times New Roman" w:cs="Times New Roman"/>
          <w:bCs/>
          <w:sz w:val="20"/>
          <w:szCs w:val="24"/>
          <w:lang w:eastAsia="sk-SK"/>
        </w:rPr>
        <w:t>ŠR –</w:t>
      </w:r>
      <w:r w:rsidR="00356273">
        <w:rPr>
          <w:rFonts w:ascii="Times New Roman" w:eastAsia="Times New Roman" w:hAnsi="Times New Roman" w:cs="Times New Roman"/>
          <w:bCs/>
          <w:sz w:val="20"/>
          <w:szCs w:val="24"/>
          <w:lang w:eastAsia="sk-SK"/>
        </w:rPr>
        <w:t xml:space="preserve"> š</w:t>
      </w:r>
      <w:r w:rsidR="000A1B25">
        <w:rPr>
          <w:rFonts w:ascii="Times New Roman" w:eastAsia="Times New Roman" w:hAnsi="Times New Roman" w:cs="Times New Roman"/>
          <w:bCs/>
          <w:sz w:val="20"/>
          <w:szCs w:val="24"/>
          <w:lang w:eastAsia="sk-SK"/>
        </w:rPr>
        <w:t>tátny rozpočet</w:t>
      </w:r>
    </w:p>
    <w:p w:rsidR="00453509" w:rsidRDefault="00453509" w:rsidP="00E47C9F">
      <w:pPr>
        <w:spacing w:after="0" w:line="240" w:lineRule="auto"/>
        <w:rPr>
          <w:rFonts w:ascii="Times New Roman" w:hAnsi="Times New Roman" w:cs="Verdana"/>
          <w:b/>
          <w:bCs/>
          <w:iCs/>
          <w:sz w:val="24"/>
          <w:szCs w:val="24"/>
        </w:rPr>
      </w:pPr>
    </w:p>
    <w:p w:rsidR="00923EE6" w:rsidRDefault="00923EE6" w:rsidP="00E47C9F">
      <w:pPr>
        <w:spacing w:after="0" w:line="240" w:lineRule="auto"/>
        <w:rPr>
          <w:rFonts w:ascii="Times New Roman" w:hAnsi="Times New Roman" w:cs="Verdana"/>
          <w:b/>
          <w:bCs/>
          <w:iCs/>
          <w:sz w:val="24"/>
          <w:szCs w:val="24"/>
        </w:rPr>
      </w:pPr>
    </w:p>
    <w:p w:rsidR="00E47C9F" w:rsidRPr="006139BF" w:rsidRDefault="00E47C9F" w:rsidP="00E47C9F">
      <w:pPr>
        <w:spacing w:after="0" w:line="240" w:lineRule="auto"/>
        <w:rPr>
          <w:rFonts w:ascii="Times New Roman" w:hAnsi="Times New Roman" w:cs="Verdana"/>
          <w:b/>
          <w:bCs/>
          <w:iCs/>
          <w:sz w:val="24"/>
          <w:szCs w:val="24"/>
        </w:rPr>
      </w:pPr>
      <w:r w:rsidRPr="006139BF">
        <w:rPr>
          <w:rFonts w:ascii="Times New Roman" w:hAnsi="Times New Roman" w:cs="Verdana"/>
          <w:b/>
          <w:bCs/>
          <w:iCs/>
          <w:sz w:val="24"/>
          <w:szCs w:val="24"/>
        </w:rPr>
        <w:t>2.2.4.1 Kvantifikácia príjmov</w:t>
      </w:r>
    </w:p>
    <w:p w:rsidR="00E47C9F" w:rsidRDefault="00E47C9F" w:rsidP="00E47C9F">
      <w:pPr>
        <w:tabs>
          <w:tab w:val="num" w:pos="1080"/>
        </w:tabs>
        <w:spacing w:after="0" w:line="240" w:lineRule="auto"/>
        <w:jc w:val="both"/>
        <w:rPr>
          <w:rFonts w:ascii="Times New Roman" w:eastAsia="Times New Roman" w:hAnsi="Times New Roman" w:cs="Times New Roman"/>
          <w:bCs/>
          <w:sz w:val="24"/>
          <w:szCs w:val="20"/>
          <w:lang w:eastAsia="sk-SK"/>
        </w:rPr>
      </w:pPr>
    </w:p>
    <w:p w:rsidR="00D53DEE" w:rsidRPr="00B94369" w:rsidRDefault="00356273" w:rsidP="001E6E4A">
      <w:pPr>
        <w:tabs>
          <w:tab w:val="num" w:pos="1080"/>
        </w:tabs>
        <w:spacing w:after="0" w:line="264" w:lineRule="auto"/>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Navrhované o</w:t>
      </w:r>
      <w:r w:rsidR="00D53DEE" w:rsidRPr="00B94369">
        <w:rPr>
          <w:rFonts w:ascii="Times New Roman" w:eastAsia="Times New Roman" w:hAnsi="Times New Roman" w:cs="Times New Roman"/>
          <w:bCs/>
          <w:lang w:eastAsia="sk-SK"/>
        </w:rPr>
        <w:t xml:space="preserve">patrenia, ktoré zakladajú </w:t>
      </w:r>
      <w:r>
        <w:rPr>
          <w:rFonts w:ascii="Times New Roman" w:eastAsia="Times New Roman" w:hAnsi="Times New Roman" w:cs="Times New Roman"/>
          <w:bCs/>
          <w:lang w:eastAsia="sk-SK"/>
        </w:rPr>
        <w:t xml:space="preserve">pozitívny alebo </w:t>
      </w:r>
      <w:r w:rsidR="00D53DEE" w:rsidRPr="00B94369">
        <w:rPr>
          <w:rFonts w:ascii="Times New Roman" w:eastAsia="Times New Roman" w:hAnsi="Times New Roman" w:cs="Times New Roman"/>
          <w:bCs/>
          <w:lang w:eastAsia="sk-SK"/>
        </w:rPr>
        <w:t>negatívny vpl</w:t>
      </w:r>
      <w:r>
        <w:rPr>
          <w:rFonts w:ascii="Times New Roman" w:eastAsia="Times New Roman" w:hAnsi="Times New Roman" w:cs="Times New Roman"/>
          <w:bCs/>
          <w:lang w:eastAsia="sk-SK"/>
        </w:rPr>
        <w:t>yv na príjmy verejnej správy</w:t>
      </w:r>
      <w:r w:rsidR="00D53DEE" w:rsidRPr="00B94369">
        <w:rPr>
          <w:rFonts w:ascii="Times New Roman" w:eastAsia="Times New Roman" w:hAnsi="Times New Roman" w:cs="Times New Roman"/>
          <w:bCs/>
          <w:lang w:eastAsia="sk-SK"/>
        </w:rPr>
        <w:t>:</w:t>
      </w:r>
    </w:p>
    <w:p w:rsidR="00D53DEE" w:rsidRPr="00B94369" w:rsidRDefault="00D53DEE" w:rsidP="001E6E4A">
      <w:pPr>
        <w:tabs>
          <w:tab w:val="num" w:pos="1080"/>
        </w:tabs>
        <w:spacing w:after="0" w:line="264" w:lineRule="auto"/>
        <w:jc w:val="both"/>
        <w:rPr>
          <w:rFonts w:ascii="Times New Roman" w:eastAsia="Times New Roman" w:hAnsi="Times New Roman" w:cs="Times New Roman"/>
          <w:bCs/>
          <w:lang w:eastAsia="sk-SK"/>
        </w:rPr>
      </w:pPr>
    </w:p>
    <w:p w:rsidR="00D53DEE" w:rsidRPr="0028361B" w:rsidRDefault="00065D19" w:rsidP="001E6E4A">
      <w:pPr>
        <w:pStyle w:val="Odsekzoznamu"/>
        <w:numPr>
          <w:ilvl w:val="0"/>
          <w:numId w:val="17"/>
        </w:numPr>
        <w:tabs>
          <w:tab w:val="num" w:pos="1080"/>
        </w:tabs>
        <w:spacing w:after="0" w:line="264" w:lineRule="auto"/>
        <w:jc w:val="both"/>
        <w:rPr>
          <w:rFonts w:ascii="Times New Roman" w:eastAsia="Times New Roman" w:hAnsi="Times New Roman" w:cs="Times New Roman"/>
          <w:bCs/>
          <w:lang w:eastAsia="sk-SK"/>
        </w:rPr>
      </w:pPr>
      <w:r w:rsidRPr="0028361B">
        <w:rPr>
          <w:rFonts w:ascii="Times New Roman" w:eastAsia="Times New Roman" w:hAnsi="Times New Roman" w:cs="Times New Roman"/>
          <w:bCs/>
          <w:lang w:eastAsia="sk-SK"/>
        </w:rPr>
        <w:t xml:space="preserve">B) </w:t>
      </w:r>
      <w:r w:rsidR="002C5E86" w:rsidRPr="0028361B">
        <w:rPr>
          <w:rFonts w:ascii="Times New Roman" w:eastAsia="Times New Roman" w:hAnsi="Times New Roman" w:cs="Times New Roman"/>
          <w:bCs/>
          <w:lang w:eastAsia="sk-SK"/>
        </w:rPr>
        <w:t>vznik nároku na predčasný starobný</w:t>
      </w:r>
      <w:r w:rsidRPr="0028361B">
        <w:rPr>
          <w:rFonts w:ascii="Times New Roman" w:eastAsia="Times New Roman" w:hAnsi="Times New Roman" w:cs="Times New Roman"/>
          <w:bCs/>
          <w:lang w:eastAsia="sk-SK"/>
        </w:rPr>
        <w:t xml:space="preserve"> dôchod</w:t>
      </w:r>
      <w:r w:rsidR="002C5E86" w:rsidRPr="0028361B">
        <w:rPr>
          <w:rFonts w:ascii="Times New Roman" w:eastAsia="Times New Roman" w:hAnsi="Times New Roman" w:cs="Times New Roman"/>
          <w:bCs/>
          <w:lang w:eastAsia="sk-SK"/>
        </w:rPr>
        <w:t>o</w:t>
      </w:r>
      <w:r w:rsidRPr="0028361B">
        <w:rPr>
          <w:rFonts w:ascii="Times New Roman" w:eastAsia="Times New Roman" w:hAnsi="Times New Roman" w:cs="Times New Roman"/>
          <w:bCs/>
          <w:lang w:eastAsia="sk-SK"/>
        </w:rPr>
        <w:t>k za 40 odpracovaných rokov</w:t>
      </w:r>
      <w:r w:rsidR="0028361B" w:rsidRPr="0028361B">
        <w:rPr>
          <w:rFonts w:ascii="Times New Roman" w:eastAsia="Times New Roman" w:hAnsi="Times New Roman" w:cs="Times New Roman"/>
          <w:bCs/>
          <w:lang w:eastAsia="sk-SK"/>
        </w:rPr>
        <w:t>;</w:t>
      </w:r>
    </w:p>
    <w:p w:rsidR="00065D19" w:rsidRDefault="00065D19" w:rsidP="001E6E4A">
      <w:pPr>
        <w:pStyle w:val="Odsekzoznamu"/>
        <w:tabs>
          <w:tab w:val="num" w:pos="1080"/>
        </w:tabs>
        <w:spacing w:after="0" w:line="264" w:lineRule="auto"/>
        <w:jc w:val="both"/>
        <w:rPr>
          <w:rFonts w:ascii="Times New Roman" w:eastAsia="Times New Roman" w:hAnsi="Times New Roman" w:cs="Times New Roman"/>
          <w:bCs/>
          <w:lang w:eastAsia="sk-SK"/>
        </w:rPr>
      </w:pPr>
    </w:p>
    <w:p w:rsidR="00506756" w:rsidRPr="000A1B25" w:rsidRDefault="00506756" w:rsidP="000A1B25">
      <w:pPr>
        <w:tabs>
          <w:tab w:val="num" w:pos="1080"/>
        </w:tabs>
        <w:spacing w:after="0" w:line="264" w:lineRule="auto"/>
        <w:jc w:val="both"/>
        <w:rPr>
          <w:rFonts w:ascii="Times New Roman" w:eastAsia="Times New Roman" w:hAnsi="Times New Roman" w:cs="Times New Roman"/>
          <w:bCs/>
          <w:lang w:eastAsia="sk-SK"/>
        </w:rPr>
      </w:pPr>
    </w:p>
    <w:p w:rsidR="00E47C9F" w:rsidRPr="00B94369" w:rsidRDefault="005F3EF6" w:rsidP="001E6E4A">
      <w:pPr>
        <w:tabs>
          <w:tab w:val="num" w:pos="1080"/>
        </w:tabs>
        <w:spacing w:after="0" w:line="264" w:lineRule="auto"/>
        <w:jc w:val="both"/>
        <w:rPr>
          <w:rFonts w:ascii="Times New Roman" w:eastAsia="Times New Roman" w:hAnsi="Times New Roman" w:cs="Times New Roman"/>
          <w:b/>
          <w:bCs/>
          <w:lang w:eastAsia="sk-SK"/>
        </w:rPr>
      </w:pPr>
      <w:r w:rsidRPr="00B94369">
        <w:rPr>
          <w:rFonts w:ascii="Times New Roman" w:eastAsia="Times New Roman" w:hAnsi="Times New Roman" w:cs="Times New Roman"/>
          <w:b/>
          <w:bCs/>
          <w:lang w:eastAsia="sk-SK"/>
        </w:rPr>
        <w:t xml:space="preserve">B) </w:t>
      </w:r>
      <w:r w:rsidR="002C5E86">
        <w:rPr>
          <w:rFonts w:ascii="Times New Roman" w:eastAsia="Times New Roman" w:hAnsi="Times New Roman" w:cs="Times New Roman"/>
          <w:b/>
          <w:bCs/>
          <w:lang w:eastAsia="sk-SK"/>
        </w:rPr>
        <w:t>Vznik nároku na predčasný starobný</w:t>
      </w:r>
      <w:r w:rsidRPr="00B94369">
        <w:rPr>
          <w:rFonts w:ascii="Times New Roman" w:eastAsia="Times New Roman" w:hAnsi="Times New Roman" w:cs="Times New Roman"/>
          <w:b/>
          <w:bCs/>
          <w:lang w:eastAsia="sk-SK"/>
        </w:rPr>
        <w:t xml:space="preserve"> dôchod</w:t>
      </w:r>
      <w:r w:rsidR="002C5E86">
        <w:rPr>
          <w:rFonts w:ascii="Times New Roman" w:eastAsia="Times New Roman" w:hAnsi="Times New Roman" w:cs="Times New Roman"/>
          <w:b/>
          <w:bCs/>
          <w:lang w:eastAsia="sk-SK"/>
        </w:rPr>
        <w:t>o</w:t>
      </w:r>
      <w:r w:rsidRPr="00B94369">
        <w:rPr>
          <w:rFonts w:ascii="Times New Roman" w:eastAsia="Times New Roman" w:hAnsi="Times New Roman" w:cs="Times New Roman"/>
          <w:b/>
          <w:bCs/>
          <w:lang w:eastAsia="sk-SK"/>
        </w:rPr>
        <w:t>k za 40 odpracovaných rokov</w:t>
      </w:r>
      <w:r w:rsidR="00E47C9F" w:rsidRPr="00B94369">
        <w:rPr>
          <w:rFonts w:ascii="Times New Roman" w:eastAsia="Times New Roman" w:hAnsi="Times New Roman" w:cs="Times New Roman"/>
          <w:b/>
          <w:bCs/>
          <w:lang w:eastAsia="sk-SK"/>
        </w:rPr>
        <w:t xml:space="preserve"> </w:t>
      </w:r>
    </w:p>
    <w:p w:rsidR="00E47C9F" w:rsidRPr="00B94369" w:rsidRDefault="00E47C9F" w:rsidP="001E6E4A">
      <w:pPr>
        <w:tabs>
          <w:tab w:val="num" w:pos="1080"/>
        </w:tabs>
        <w:spacing w:after="0" w:line="264" w:lineRule="auto"/>
        <w:jc w:val="both"/>
        <w:rPr>
          <w:rFonts w:ascii="Times New Roman" w:eastAsia="Times New Roman" w:hAnsi="Times New Roman" w:cs="Times New Roman"/>
          <w:b/>
          <w:bCs/>
          <w:lang w:eastAsia="sk-SK"/>
        </w:rPr>
      </w:pPr>
    </w:p>
    <w:p w:rsidR="00121C82" w:rsidRDefault="005F3EF6" w:rsidP="001E6E4A">
      <w:pPr>
        <w:spacing w:after="0" w:line="264" w:lineRule="auto"/>
        <w:ind w:firstLine="708"/>
        <w:jc w:val="both"/>
        <w:rPr>
          <w:rFonts w:ascii="Times New Roman" w:hAnsi="Times New Roman"/>
        </w:rPr>
      </w:pPr>
      <w:r w:rsidRPr="00B94369">
        <w:rPr>
          <w:rFonts w:ascii="Times New Roman" w:hAnsi="Times New Roman"/>
        </w:rPr>
        <w:t>Navrhovaná právna úprava navrhuje</w:t>
      </w:r>
      <w:r w:rsidR="00C77987" w:rsidRPr="00B94369">
        <w:rPr>
          <w:rFonts w:ascii="Times New Roman" w:hAnsi="Times New Roman"/>
        </w:rPr>
        <w:t xml:space="preserve"> okrem iného</w:t>
      </w:r>
      <w:r w:rsidRPr="00B94369">
        <w:rPr>
          <w:rFonts w:ascii="Times New Roman" w:hAnsi="Times New Roman"/>
        </w:rPr>
        <w:t xml:space="preserve"> aj alternatívnu možnosť odchodu do predčasného starobného dôchodku. Okrem možnosti odchodu do predčasného starobného dôchodku po splnení vekovej podmienky a dosiahnutia najmenej 15 rokov obdobia dôchodkového poistenia, by na základe uvedenej právnej úpravy, mohli poistenci odchádzať skôr do dôchodku aj po odpracovaní stanoveného počtu rokov. V dôs</w:t>
      </w:r>
      <w:r w:rsidR="00705127" w:rsidRPr="00B94369">
        <w:rPr>
          <w:rFonts w:ascii="Times New Roman" w:hAnsi="Times New Roman"/>
        </w:rPr>
        <w:t>ledku tohto opatrenia možno</w:t>
      </w:r>
      <w:r w:rsidRPr="00B94369">
        <w:rPr>
          <w:rFonts w:ascii="Times New Roman" w:hAnsi="Times New Roman"/>
        </w:rPr>
        <w:t xml:space="preserve"> očakávať </w:t>
      </w:r>
      <w:r w:rsidR="00207EED" w:rsidRPr="00B94369">
        <w:rPr>
          <w:rFonts w:ascii="Times New Roman" w:hAnsi="Times New Roman"/>
        </w:rPr>
        <w:t xml:space="preserve">na trhu práce </w:t>
      </w:r>
      <w:r w:rsidRPr="00B94369">
        <w:rPr>
          <w:rFonts w:ascii="Times New Roman" w:hAnsi="Times New Roman"/>
        </w:rPr>
        <w:t>mierny pokles pracovnej sily, čo má negatívny vplyv na príjmy Sociálnej poisťovne</w:t>
      </w:r>
      <w:r w:rsidR="00207EED" w:rsidRPr="00B94369">
        <w:rPr>
          <w:rFonts w:ascii="Times New Roman" w:hAnsi="Times New Roman"/>
        </w:rPr>
        <w:t xml:space="preserve"> a výber dane z príjmu fyzických osôb</w:t>
      </w:r>
      <w:r w:rsidRPr="00B94369">
        <w:rPr>
          <w:rFonts w:ascii="Times New Roman" w:hAnsi="Times New Roman"/>
        </w:rPr>
        <w:t>.</w:t>
      </w:r>
      <w:r w:rsidR="00705127" w:rsidRPr="00B94369">
        <w:rPr>
          <w:rFonts w:ascii="Times New Roman" w:hAnsi="Times New Roman"/>
        </w:rPr>
        <w:t xml:space="preserve"> Na základe údajov Sociálnej poisťovne by nárok na skorší odchod do dôchodku za tzv. 40 odpracovaných rokov v posledných 5 kalendárnych rokoch, t . j. v rokoch 2016</w:t>
      </w:r>
      <w:r w:rsidR="00121C82" w:rsidRPr="00B94369">
        <w:rPr>
          <w:rFonts w:ascii="Times New Roman" w:hAnsi="Times New Roman"/>
        </w:rPr>
        <w:t xml:space="preserve"> až 2020</w:t>
      </w:r>
      <w:r w:rsidR="00705127" w:rsidRPr="00B94369">
        <w:rPr>
          <w:rFonts w:ascii="Times New Roman" w:hAnsi="Times New Roman"/>
        </w:rPr>
        <w:t xml:space="preserve"> splnilo približne 26 % poistencov</w:t>
      </w:r>
      <w:r w:rsidR="00121C82" w:rsidRPr="00B94369">
        <w:rPr>
          <w:rFonts w:ascii="Times New Roman" w:hAnsi="Times New Roman"/>
        </w:rPr>
        <w:t xml:space="preserve">. </w:t>
      </w:r>
    </w:p>
    <w:p w:rsidR="001E6E4A" w:rsidRPr="00B94369" w:rsidRDefault="001E6E4A" w:rsidP="001E6E4A">
      <w:pPr>
        <w:spacing w:after="0" w:line="264" w:lineRule="auto"/>
        <w:ind w:firstLine="708"/>
        <w:jc w:val="both"/>
        <w:rPr>
          <w:rFonts w:ascii="Times New Roman" w:hAnsi="Times New Roman"/>
        </w:rPr>
      </w:pPr>
    </w:p>
    <w:p w:rsidR="007C36AA" w:rsidRPr="00B94369" w:rsidRDefault="007C36AA" w:rsidP="000B64F4">
      <w:pPr>
        <w:spacing w:after="0" w:line="264" w:lineRule="auto"/>
        <w:ind w:firstLine="709"/>
        <w:jc w:val="both"/>
        <w:rPr>
          <w:rFonts w:ascii="Times New Roman" w:hAnsi="Times New Roman"/>
        </w:rPr>
      </w:pPr>
      <w:r w:rsidRPr="00B94369">
        <w:rPr>
          <w:rFonts w:ascii="Times New Roman" w:hAnsi="Times New Roman"/>
        </w:rPr>
        <w:t>MPSVR SR predpokladá, že skorší odchod do dôchodku</w:t>
      </w:r>
      <w:r>
        <w:rPr>
          <w:rFonts w:ascii="Times New Roman" w:hAnsi="Times New Roman"/>
        </w:rPr>
        <w:t xml:space="preserve"> za tzv. 40 odpracovaných rokov</w:t>
      </w:r>
      <w:r w:rsidRPr="00B94369">
        <w:rPr>
          <w:rFonts w:ascii="Times New Roman" w:hAnsi="Times New Roman"/>
        </w:rPr>
        <w:t xml:space="preserve"> v</w:t>
      </w:r>
      <w:r>
        <w:rPr>
          <w:rFonts w:ascii="Times New Roman" w:hAnsi="Times New Roman"/>
        </w:rPr>
        <w:t> roku 2023 využije približne 3 3</w:t>
      </w:r>
      <w:r w:rsidRPr="00B94369">
        <w:rPr>
          <w:rFonts w:ascii="Times New Roman" w:hAnsi="Times New Roman"/>
        </w:rPr>
        <w:t>00 pois</w:t>
      </w:r>
      <w:r>
        <w:rPr>
          <w:rFonts w:ascii="Times New Roman" w:hAnsi="Times New Roman"/>
        </w:rPr>
        <w:t>tencov</w:t>
      </w:r>
      <w:r w:rsidR="006C7758">
        <w:rPr>
          <w:rFonts w:ascii="Times New Roman" w:hAnsi="Times New Roman"/>
        </w:rPr>
        <w:t xml:space="preserve"> a </w:t>
      </w:r>
      <w:r>
        <w:rPr>
          <w:rFonts w:ascii="Times New Roman" w:hAnsi="Times New Roman"/>
        </w:rPr>
        <w:t>v rok</w:t>
      </w:r>
      <w:r w:rsidR="006C7758">
        <w:rPr>
          <w:rFonts w:ascii="Times New Roman" w:hAnsi="Times New Roman"/>
        </w:rPr>
        <w:t>och</w:t>
      </w:r>
      <w:r>
        <w:rPr>
          <w:rFonts w:ascii="Times New Roman" w:hAnsi="Times New Roman"/>
        </w:rPr>
        <w:t xml:space="preserve"> 2024 </w:t>
      </w:r>
      <w:r w:rsidR="006C7758">
        <w:rPr>
          <w:rFonts w:ascii="Times New Roman" w:hAnsi="Times New Roman"/>
        </w:rPr>
        <w:t xml:space="preserve">a 2025 </w:t>
      </w:r>
      <w:r>
        <w:rPr>
          <w:rFonts w:ascii="Times New Roman" w:hAnsi="Times New Roman"/>
        </w:rPr>
        <w:t>približne 3 </w:t>
      </w:r>
      <w:r w:rsidR="0051374A">
        <w:rPr>
          <w:rFonts w:ascii="Times New Roman" w:hAnsi="Times New Roman"/>
        </w:rPr>
        <w:t>7</w:t>
      </w:r>
      <w:r w:rsidRPr="00B94369">
        <w:rPr>
          <w:rFonts w:ascii="Times New Roman" w:hAnsi="Times New Roman"/>
        </w:rPr>
        <w:t>00 poistencov</w:t>
      </w:r>
      <w:r>
        <w:rPr>
          <w:rFonts w:ascii="Times New Roman" w:hAnsi="Times New Roman"/>
        </w:rPr>
        <w:t>, t. j. približne 33</w:t>
      </w:r>
      <w:r w:rsidRPr="00B94369">
        <w:rPr>
          <w:rFonts w:ascii="Times New Roman" w:hAnsi="Times New Roman"/>
        </w:rPr>
        <w:t xml:space="preserve"> % osôb, ktoré splnia podmienky nároku</w:t>
      </w:r>
      <w:r>
        <w:rPr>
          <w:rFonts w:ascii="Times New Roman" w:hAnsi="Times New Roman"/>
        </w:rPr>
        <w:t xml:space="preserve"> (v súčasnosti odchádza do predčasného starobného dôchodku približne 20 % poistencov, ktorí splnia podmienky nároku, nakoľko ale % krátenia pri skoršom odchode za 40 odpracovaných rokov </w:t>
      </w:r>
      <w:r w:rsidR="00122FB4">
        <w:rPr>
          <w:rFonts w:ascii="Times New Roman" w:hAnsi="Times New Roman"/>
        </w:rPr>
        <w:t xml:space="preserve">sa navrhuje na </w:t>
      </w:r>
      <w:r>
        <w:rPr>
          <w:rFonts w:ascii="Times New Roman" w:hAnsi="Times New Roman"/>
        </w:rPr>
        <w:t>nižš</w:t>
      </w:r>
      <w:r w:rsidR="00122FB4">
        <w:rPr>
          <w:rFonts w:ascii="Times New Roman" w:hAnsi="Times New Roman"/>
        </w:rPr>
        <w:t>ej úrovni</w:t>
      </w:r>
      <w:r>
        <w:rPr>
          <w:rFonts w:ascii="Times New Roman" w:hAnsi="Times New Roman"/>
        </w:rPr>
        <w:t>, t. j. na úrovni 0,3 % za každých začatých 30 dní skoršieho poberania dôchodku, predpokladáme</w:t>
      </w:r>
      <w:r w:rsidR="006C7758">
        <w:rPr>
          <w:rFonts w:ascii="Times New Roman" w:hAnsi="Times New Roman"/>
        </w:rPr>
        <w:t xml:space="preserve"> vyšší </w:t>
      </w:r>
      <w:r>
        <w:rPr>
          <w:rFonts w:ascii="Times New Roman" w:hAnsi="Times New Roman"/>
        </w:rPr>
        <w:t>záujem poistencov o túto možnosť odchodu z trhu práce)</w:t>
      </w:r>
      <w:r w:rsidRPr="00B94369">
        <w:rPr>
          <w:rFonts w:ascii="Times New Roman" w:hAnsi="Times New Roman"/>
        </w:rPr>
        <w:t>.</w:t>
      </w:r>
      <w:r>
        <w:rPr>
          <w:rFonts w:ascii="Times New Roman" w:hAnsi="Times New Roman"/>
        </w:rPr>
        <w:t xml:space="preserve"> Samozrejme skutočný vývoj bude v značnej miere ovplyvnený správaním poistencov a reálne počty odchádzajúcich poistencov a dopad na výdavky dôchodkového systému bude možné lepšie posúdiť až na skutočných dátach v najbližších rokoch.</w:t>
      </w:r>
      <w:r w:rsidRPr="00B94369">
        <w:rPr>
          <w:rFonts w:ascii="Times New Roman" w:hAnsi="Times New Roman"/>
        </w:rPr>
        <w:t xml:space="preserve"> V nasledujúcom období predpokladáme, že zamestnanci, ktorí odídu skôr do dôchodku, budú postupne na svojich pozíciách nahradení novými zamestnancami. </w:t>
      </w:r>
      <w:r w:rsidR="002E18B8">
        <w:rPr>
          <w:rFonts w:ascii="Times New Roman" w:hAnsi="Times New Roman"/>
        </w:rPr>
        <w:t>O</w:t>
      </w:r>
      <w:r w:rsidR="003045F3">
        <w:rPr>
          <w:rFonts w:ascii="Times New Roman" w:hAnsi="Times New Roman"/>
        </w:rPr>
        <w:t xml:space="preserve">dhadujeme, že výpadok poistného bude trvať v priemere </w:t>
      </w:r>
      <w:r w:rsidR="00E67266">
        <w:rPr>
          <w:rFonts w:ascii="Times New Roman" w:hAnsi="Times New Roman"/>
        </w:rPr>
        <w:t>3 mesiace</w:t>
      </w:r>
      <w:r w:rsidR="003045F3">
        <w:rPr>
          <w:rFonts w:ascii="Times New Roman" w:hAnsi="Times New Roman"/>
        </w:rPr>
        <w:t>,</w:t>
      </w:r>
      <w:r w:rsidR="002E18B8">
        <w:rPr>
          <w:rFonts w:ascii="Times New Roman" w:hAnsi="Times New Roman"/>
        </w:rPr>
        <w:t xml:space="preserve"> t. j. do času kým </w:t>
      </w:r>
      <w:r w:rsidR="003045F3">
        <w:rPr>
          <w:rFonts w:ascii="Times New Roman" w:hAnsi="Times New Roman"/>
        </w:rPr>
        <w:t xml:space="preserve">bude zamestnanec nahradený novým zamestnancom. </w:t>
      </w:r>
      <w:r w:rsidRPr="00B94369">
        <w:rPr>
          <w:rFonts w:ascii="Times New Roman" w:hAnsi="Times New Roman"/>
        </w:rPr>
        <w:t>Priemerný vymeriavací základ dotknutej skupiny poistencov predpokladáme v roku 2023 na úrovni približne 1 3</w:t>
      </w:r>
      <w:r w:rsidR="006C7758">
        <w:rPr>
          <w:rFonts w:ascii="Times New Roman" w:hAnsi="Times New Roman"/>
        </w:rPr>
        <w:t>73</w:t>
      </w:r>
      <w:r w:rsidRPr="00B94369">
        <w:rPr>
          <w:rFonts w:ascii="Times New Roman" w:hAnsi="Times New Roman"/>
        </w:rPr>
        <w:t xml:space="preserve"> eur</w:t>
      </w:r>
      <w:r w:rsidR="006C7758">
        <w:rPr>
          <w:rFonts w:ascii="Times New Roman" w:hAnsi="Times New Roman"/>
        </w:rPr>
        <w:t xml:space="preserve">, </w:t>
      </w:r>
      <w:r w:rsidRPr="00B94369">
        <w:rPr>
          <w:rFonts w:ascii="Times New Roman" w:hAnsi="Times New Roman"/>
        </w:rPr>
        <w:t xml:space="preserve">v roku 2024 na úrovni približne 1 </w:t>
      </w:r>
      <w:r w:rsidR="006C7758">
        <w:rPr>
          <w:rFonts w:ascii="Times New Roman" w:hAnsi="Times New Roman"/>
        </w:rPr>
        <w:t>441</w:t>
      </w:r>
      <w:r w:rsidRPr="00B94369">
        <w:rPr>
          <w:rFonts w:ascii="Times New Roman" w:hAnsi="Times New Roman"/>
        </w:rPr>
        <w:t xml:space="preserve"> eur</w:t>
      </w:r>
      <w:r w:rsidR="006C7758">
        <w:rPr>
          <w:rFonts w:ascii="Times New Roman" w:hAnsi="Times New Roman"/>
        </w:rPr>
        <w:t xml:space="preserve"> a v roku 2025 na úrovni 1 500 eur</w:t>
      </w:r>
      <w:r>
        <w:rPr>
          <w:rFonts w:ascii="Times New Roman" w:hAnsi="Times New Roman"/>
        </w:rPr>
        <w:t>, čo zodpovedá odhadovanej priemernej mzde v národnom hospodárstve</w:t>
      </w:r>
      <w:r w:rsidRPr="00B94369">
        <w:rPr>
          <w:rFonts w:ascii="Times New Roman" w:hAnsi="Times New Roman"/>
        </w:rPr>
        <w:t xml:space="preserve"> </w:t>
      </w:r>
      <w:r>
        <w:rPr>
          <w:rFonts w:ascii="Times New Roman" w:hAnsi="Times New Roman"/>
        </w:rPr>
        <w:t>SR na základe  makroekonomickej prognózy Inštitútu finančnej politiky</w:t>
      </w:r>
      <w:r w:rsidR="006C7758">
        <w:rPr>
          <w:rFonts w:ascii="Times New Roman" w:hAnsi="Times New Roman"/>
        </w:rPr>
        <w:t xml:space="preserve"> z </w:t>
      </w:r>
      <w:r w:rsidR="00FA7F29">
        <w:rPr>
          <w:rFonts w:ascii="Times New Roman" w:hAnsi="Times New Roman"/>
        </w:rPr>
        <w:t>februára</w:t>
      </w:r>
      <w:r w:rsidR="006C7758">
        <w:rPr>
          <w:rFonts w:ascii="Times New Roman" w:hAnsi="Times New Roman"/>
        </w:rPr>
        <w:t xml:space="preserve"> 2022</w:t>
      </w:r>
      <w:r>
        <w:rPr>
          <w:rFonts w:ascii="Times New Roman" w:hAnsi="Times New Roman"/>
        </w:rPr>
        <w:t>.</w:t>
      </w:r>
    </w:p>
    <w:p w:rsidR="001E6E4A" w:rsidRPr="00B94369" w:rsidRDefault="001E6E4A" w:rsidP="009C11D6">
      <w:pPr>
        <w:spacing w:after="0" w:line="264" w:lineRule="auto"/>
        <w:jc w:val="both"/>
        <w:rPr>
          <w:rFonts w:ascii="Times New Roman" w:hAnsi="Times New Roman"/>
        </w:rPr>
      </w:pPr>
    </w:p>
    <w:p w:rsidR="005F3EF6" w:rsidRPr="00B94369" w:rsidRDefault="004C2740" w:rsidP="000B64F4">
      <w:pPr>
        <w:spacing w:after="0" w:line="264" w:lineRule="auto"/>
        <w:ind w:firstLine="709"/>
        <w:jc w:val="both"/>
        <w:rPr>
          <w:rFonts w:ascii="Times New Roman" w:hAnsi="Times New Roman"/>
        </w:rPr>
      </w:pPr>
      <w:r w:rsidRPr="00B94369">
        <w:rPr>
          <w:rFonts w:ascii="Times New Roman" w:hAnsi="Times New Roman"/>
        </w:rPr>
        <w:t>Celkový výpadok poistné</w:t>
      </w:r>
      <w:r w:rsidR="00C77987" w:rsidRPr="00B94369">
        <w:rPr>
          <w:rFonts w:ascii="Times New Roman" w:hAnsi="Times New Roman"/>
        </w:rPr>
        <w:t>ho</w:t>
      </w:r>
      <w:r w:rsidRPr="00B94369">
        <w:rPr>
          <w:rFonts w:ascii="Times New Roman" w:hAnsi="Times New Roman"/>
        </w:rPr>
        <w:t xml:space="preserve"> na sociálne poistenie odhadujeme </w:t>
      </w:r>
      <w:r w:rsidR="00C77987" w:rsidRPr="00B94369">
        <w:rPr>
          <w:rFonts w:ascii="Times New Roman" w:hAnsi="Times New Roman"/>
        </w:rPr>
        <w:t xml:space="preserve">vplyvom skoršieho odchodu z trhu práce </w:t>
      </w:r>
      <w:r w:rsidRPr="00B94369">
        <w:rPr>
          <w:rFonts w:ascii="Times New Roman" w:hAnsi="Times New Roman"/>
        </w:rPr>
        <w:t>v r</w:t>
      </w:r>
      <w:r w:rsidR="005C04FE">
        <w:rPr>
          <w:rFonts w:ascii="Times New Roman" w:hAnsi="Times New Roman"/>
        </w:rPr>
        <w:t xml:space="preserve">oku 2023 na úrovni približne </w:t>
      </w:r>
      <w:r w:rsidR="006C7758">
        <w:rPr>
          <w:rFonts w:ascii="Times New Roman" w:hAnsi="Times New Roman"/>
        </w:rPr>
        <w:t>5,1</w:t>
      </w:r>
      <w:r w:rsidRPr="00B94369">
        <w:rPr>
          <w:rFonts w:ascii="Times New Roman" w:hAnsi="Times New Roman"/>
        </w:rPr>
        <w:t xml:space="preserve"> mil. eur</w:t>
      </w:r>
      <w:r w:rsidR="006C7758">
        <w:rPr>
          <w:rFonts w:ascii="Times New Roman" w:hAnsi="Times New Roman"/>
        </w:rPr>
        <w:t xml:space="preserve">, </w:t>
      </w:r>
      <w:r w:rsidRPr="00B94369">
        <w:rPr>
          <w:rFonts w:ascii="Times New Roman" w:hAnsi="Times New Roman"/>
        </w:rPr>
        <w:t>v</w:t>
      </w:r>
      <w:r w:rsidR="005C04FE">
        <w:rPr>
          <w:rFonts w:ascii="Times New Roman" w:hAnsi="Times New Roman"/>
        </w:rPr>
        <w:t> roku 2024 na úrovni približne 5</w:t>
      </w:r>
      <w:r w:rsidRPr="00B94369">
        <w:rPr>
          <w:rFonts w:ascii="Times New Roman" w:hAnsi="Times New Roman"/>
        </w:rPr>
        <w:t>,</w:t>
      </w:r>
      <w:r w:rsidR="006C7758">
        <w:rPr>
          <w:rFonts w:ascii="Times New Roman" w:hAnsi="Times New Roman"/>
        </w:rPr>
        <w:t>9</w:t>
      </w:r>
      <w:r w:rsidRPr="00B94369">
        <w:rPr>
          <w:rFonts w:ascii="Times New Roman" w:hAnsi="Times New Roman"/>
        </w:rPr>
        <w:t xml:space="preserve"> mil. eur</w:t>
      </w:r>
      <w:r w:rsidR="006C7758">
        <w:rPr>
          <w:rFonts w:ascii="Times New Roman" w:hAnsi="Times New Roman"/>
        </w:rPr>
        <w:t xml:space="preserve"> a v roku 2025 na úrovni 6,2 mil. eur</w:t>
      </w:r>
      <w:r w:rsidRPr="00B94369">
        <w:rPr>
          <w:rFonts w:ascii="Times New Roman" w:hAnsi="Times New Roman"/>
        </w:rPr>
        <w:t xml:space="preserve">. </w:t>
      </w:r>
      <w:r w:rsidR="00C77987" w:rsidRPr="00B94369">
        <w:rPr>
          <w:rFonts w:ascii="Times New Roman" w:hAnsi="Times New Roman"/>
        </w:rPr>
        <w:t>Celkový výpadok príjmov na zdravotnom poistení odhadujeme v roku 20</w:t>
      </w:r>
      <w:r w:rsidR="00492C2D">
        <w:rPr>
          <w:rFonts w:ascii="Times New Roman" w:hAnsi="Times New Roman"/>
        </w:rPr>
        <w:t>23 na úrovni približne 2,</w:t>
      </w:r>
      <w:r w:rsidR="006C7758">
        <w:rPr>
          <w:rFonts w:ascii="Times New Roman" w:hAnsi="Times New Roman"/>
        </w:rPr>
        <w:t>1</w:t>
      </w:r>
      <w:r w:rsidR="00C77987" w:rsidRPr="00B94369">
        <w:rPr>
          <w:rFonts w:ascii="Times New Roman" w:hAnsi="Times New Roman"/>
        </w:rPr>
        <w:t xml:space="preserve"> mil. eur</w:t>
      </w:r>
      <w:r w:rsidR="006C7758">
        <w:rPr>
          <w:rFonts w:ascii="Times New Roman" w:hAnsi="Times New Roman"/>
        </w:rPr>
        <w:t xml:space="preserve">, </w:t>
      </w:r>
      <w:r w:rsidR="00C77987" w:rsidRPr="00B94369">
        <w:rPr>
          <w:rFonts w:ascii="Times New Roman" w:hAnsi="Times New Roman"/>
        </w:rPr>
        <w:t>v r</w:t>
      </w:r>
      <w:r w:rsidR="00492C2D">
        <w:rPr>
          <w:rFonts w:ascii="Times New Roman" w:hAnsi="Times New Roman"/>
        </w:rPr>
        <w:t>oku 2024 na úrovni približne 2,</w:t>
      </w:r>
      <w:r w:rsidR="006C7758">
        <w:rPr>
          <w:rFonts w:ascii="Times New Roman" w:hAnsi="Times New Roman"/>
        </w:rPr>
        <w:t>4</w:t>
      </w:r>
      <w:r w:rsidR="00C77987" w:rsidRPr="00B94369">
        <w:rPr>
          <w:rFonts w:ascii="Times New Roman" w:hAnsi="Times New Roman"/>
        </w:rPr>
        <w:t xml:space="preserve"> mil. eur</w:t>
      </w:r>
      <w:r w:rsidR="006C7758">
        <w:rPr>
          <w:rFonts w:ascii="Times New Roman" w:hAnsi="Times New Roman"/>
        </w:rPr>
        <w:t xml:space="preserve"> a v roku 2025 na úrovni približne 2,5 mil. eur</w:t>
      </w:r>
      <w:r w:rsidR="00C77987" w:rsidRPr="00B94369">
        <w:rPr>
          <w:rFonts w:ascii="Times New Roman" w:hAnsi="Times New Roman"/>
        </w:rPr>
        <w:t>. Uvedené opatrenie zakladá rovnako aj negatívny vplyv na výber dane z príjmu fyzických osôb, kde predpokladáme celkový negatív</w:t>
      </w:r>
      <w:r w:rsidR="00492C2D">
        <w:rPr>
          <w:rFonts w:ascii="Times New Roman" w:hAnsi="Times New Roman"/>
        </w:rPr>
        <w:t>ny vplyv na úrovni približne 1,5</w:t>
      </w:r>
      <w:r w:rsidR="00C77987" w:rsidRPr="00B94369">
        <w:rPr>
          <w:rFonts w:ascii="Times New Roman" w:hAnsi="Times New Roman"/>
        </w:rPr>
        <w:t xml:space="preserve"> mil. eur v rok</w:t>
      </w:r>
      <w:r w:rsidR="00492C2D">
        <w:rPr>
          <w:rFonts w:ascii="Times New Roman" w:hAnsi="Times New Roman"/>
        </w:rPr>
        <w:t>u 2023</w:t>
      </w:r>
      <w:r w:rsidR="006C7758">
        <w:rPr>
          <w:rFonts w:ascii="Times New Roman" w:hAnsi="Times New Roman"/>
        </w:rPr>
        <w:t xml:space="preserve">, približne </w:t>
      </w:r>
      <w:r w:rsidR="00492C2D">
        <w:rPr>
          <w:rFonts w:ascii="Times New Roman" w:hAnsi="Times New Roman"/>
        </w:rPr>
        <w:t>1,8</w:t>
      </w:r>
      <w:r w:rsidR="00C77987" w:rsidRPr="00B94369">
        <w:rPr>
          <w:rFonts w:ascii="Times New Roman" w:hAnsi="Times New Roman"/>
        </w:rPr>
        <w:t xml:space="preserve"> mil. eur v roku 2024</w:t>
      </w:r>
      <w:r w:rsidR="006C7758">
        <w:rPr>
          <w:rFonts w:ascii="Times New Roman" w:hAnsi="Times New Roman"/>
        </w:rPr>
        <w:t xml:space="preserve"> a približne 2,0 mil. eur v roku 2025.</w:t>
      </w:r>
    </w:p>
    <w:p w:rsidR="00867937" w:rsidRDefault="00867937" w:rsidP="00867937">
      <w:pPr>
        <w:spacing w:after="0"/>
        <w:jc w:val="both"/>
        <w:rPr>
          <w:rFonts w:ascii="Times New Roman" w:hAnsi="Times New Roman"/>
        </w:rPr>
      </w:pPr>
    </w:p>
    <w:p w:rsidR="00867937" w:rsidRPr="00B94369" w:rsidRDefault="00867937" w:rsidP="009C11D6">
      <w:pPr>
        <w:spacing w:after="0"/>
        <w:ind w:firstLine="708"/>
        <w:jc w:val="both"/>
        <w:rPr>
          <w:rFonts w:ascii="Times New Roman" w:hAnsi="Times New Roman"/>
        </w:rPr>
      </w:pPr>
      <w:r w:rsidRPr="00B94369">
        <w:rPr>
          <w:rFonts w:ascii="Times New Roman" w:hAnsi="Times New Roman"/>
        </w:rPr>
        <w:t xml:space="preserve">V dlhodobom horizonte očakávame mierny pokles príjmov na úrovni približne 0,1 p. b. HDP, čo môžeme označiť ako  mierny negatívny vplyv na bilanciu dôchodkového systému. </w:t>
      </w:r>
    </w:p>
    <w:p w:rsidR="000A1B25" w:rsidRPr="00B94369" w:rsidRDefault="000A1B25" w:rsidP="00867937">
      <w:pPr>
        <w:spacing w:after="0"/>
        <w:rPr>
          <w:rFonts w:ascii="Times New Roman" w:hAnsi="Times New Roman"/>
        </w:rPr>
      </w:pPr>
    </w:p>
    <w:p w:rsidR="00867937" w:rsidRPr="00B94369" w:rsidRDefault="00867937" w:rsidP="00867937">
      <w:pPr>
        <w:spacing w:after="0"/>
        <w:rPr>
          <w:rFonts w:ascii="Times New Roman" w:hAnsi="Times New Roman"/>
        </w:rPr>
      </w:pPr>
      <w:r w:rsidRPr="00B94369">
        <w:rPr>
          <w:rFonts w:ascii="Times New Roman" w:hAnsi="Times New Roman"/>
        </w:rPr>
        <w:t>Predpoklady použité pri kvantifikácii</w:t>
      </w:r>
      <w:r>
        <w:rPr>
          <w:rFonts w:ascii="Times New Roman" w:hAnsi="Times New Roman"/>
        </w:rPr>
        <w:t xml:space="preserve"> na dlhodobom horizonte</w:t>
      </w:r>
      <w:r w:rsidRPr="00B94369">
        <w:rPr>
          <w:rFonts w:ascii="Times New Roman" w:hAnsi="Times New Roman"/>
        </w:rPr>
        <w:t xml:space="preserve">: </w:t>
      </w:r>
    </w:p>
    <w:p w:rsidR="00867937" w:rsidRPr="00B94369" w:rsidRDefault="00867937" w:rsidP="006C5856">
      <w:pPr>
        <w:pStyle w:val="Odsekzoznamu"/>
        <w:numPr>
          <w:ilvl w:val="0"/>
          <w:numId w:val="19"/>
        </w:numPr>
        <w:spacing w:after="0"/>
        <w:jc w:val="both"/>
        <w:rPr>
          <w:rFonts w:ascii="Times New Roman" w:hAnsi="Times New Roman" w:cs="Times New Roman"/>
        </w:rPr>
      </w:pPr>
      <w:r w:rsidRPr="00B94369">
        <w:rPr>
          <w:rFonts w:ascii="Times New Roman" w:hAnsi="Times New Roman" w:cs="Times New Roman"/>
        </w:rPr>
        <w:t>HDP je upravené o pokles jednotlivcov z pracovnej sily, ktorí sa rozhodnú odísť z pracovného trhu skôr.</w:t>
      </w:r>
      <w:r w:rsidR="006C5856">
        <w:rPr>
          <w:rFonts w:ascii="Times New Roman" w:hAnsi="Times New Roman" w:cs="Times New Roman"/>
        </w:rPr>
        <w:t xml:space="preserve"> V počiatočných rokoch sa </w:t>
      </w:r>
      <w:r w:rsidR="006C5856" w:rsidRPr="006C5856">
        <w:rPr>
          <w:rFonts w:ascii="Times New Roman" w:hAnsi="Times New Roman" w:cs="Times New Roman"/>
        </w:rPr>
        <w:t>predpoklad</w:t>
      </w:r>
      <w:r w:rsidR="006C5856">
        <w:rPr>
          <w:rFonts w:ascii="Times New Roman" w:hAnsi="Times New Roman" w:cs="Times New Roman"/>
        </w:rPr>
        <w:t>á účasť na úrovni 33%. Následne sa uvažuje postupný nárast účasti z dôvodu predpokladaného zvyšovania dôchodkového</w:t>
      </w:r>
      <w:r w:rsidR="006C5856" w:rsidRPr="006C5856">
        <w:rPr>
          <w:rFonts w:ascii="Times New Roman" w:hAnsi="Times New Roman" w:cs="Times New Roman"/>
        </w:rPr>
        <w:t xml:space="preserve"> vek</w:t>
      </w:r>
      <w:r w:rsidR="006C5856">
        <w:rPr>
          <w:rFonts w:ascii="Times New Roman" w:hAnsi="Times New Roman" w:cs="Times New Roman"/>
        </w:rPr>
        <w:t>u, pričom, ale hranica 40 rokov zostáva zachovaná</w:t>
      </w:r>
      <w:r w:rsidR="006C5856" w:rsidRPr="006C5856">
        <w:rPr>
          <w:rFonts w:ascii="Times New Roman" w:hAnsi="Times New Roman" w:cs="Times New Roman"/>
        </w:rPr>
        <w:t>.</w:t>
      </w:r>
      <w:r w:rsidRPr="00B94369">
        <w:rPr>
          <w:rFonts w:ascii="Times New Roman" w:hAnsi="Times New Roman" w:cs="Times New Roman"/>
        </w:rPr>
        <w:t xml:space="preserve"> </w:t>
      </w:r>
    </w:p>
    <w:p w:rsidR="00867937" w:rsidRPr="00B94369" w:rsidRDefault="00867937" w:rsidP="00867937">
      <w:pPr>
        <w:pStyle w:val="Odsekzoznamu"/>
        <w:numPr>
          <w:ilvl w:val="0"/>
          <w:numId w:val="19"/>
        </w:numPr>
        <w:spacing w:after="0"/>
        <w:jc w:val="both"/>
        <w:rPr>
          <w:rFonts w:ascii="Times New Roman" w:hAnsi="Times New Roman" w:cs="Times New Roman"/>
        </w:rPr>
      </w:pPr>
      <w:r w:rsidRPr="00B94369">
        <w:rPr>
          <w:rFonts w:ascii="Times New Roman" w:hAnsi="Times New Roman" w:cs="Times New Roman"/>
        </w:rPr>
        <w:t xml:space="preserve">Vďaka aktuárnemu princípu by celkový objem výdavkov na dôchodky nemala táto zmena výraznejšie ovplyvniť. </w:t>
      </w:r>
    </w:p>
    <w:p w:rsidR="00867937" w:rsidRPr="00B94369" w:rsidRDefault="00867937" w:rsidP="00867937">
      <w:pPr>
        <w:pStyle w:val="Odsekzoznamu"/>
        <w:numPr>
          <w:ilvl w:val="0"/>
          <w:numId w:val="19"/>
        </w:numPr>
        <w:spacing w:after="0"/>
        <w:jc w:val="both"/>
        <w:rPr>
          <w:rFonts w:ascii="Times New Roman" w:hAnsi="Times New Roman" w:cs="Times New Roman"/>
        </w:rPr>
      </w:pPr>
      <w:r w:rsidRPr="00B94369">
        <w:rPr>
          <w:rFonts w:ascii="Times New Roman" w:hAnsi="Times New Roman" w:cs="Times New Roman"/>
        </w:rPr>
        <w:t>Kalkulácia zároveň predpokladá už zavedené naviazanie rastu dôchodkového veku na rast strednej dĺžky života, t. j. jedná sa  o dodatočný vplyv k zavedeniu rastu DV so SDŽ a nie oproti súčasnému právnemu stavu. V porovnaní so súčasným právnym stavom by bol efekt nižší, nakoľko by túto možnosť mohlo využiť menej ľudí.</w:t>
      </w:r>
    </w:p>
    <w:p w:rsidR="00867937" w:rsidRPr="00B94369" w:rsidRDefault="00867937" w:rsidP="00867937">
      <w:pPr>
        <w:pStyle w:val="Nadpis3"/>
        <w:spacing w:before="0"/>
        <w:jc w:val="both"/>
        <w:rPr>
          <w:rFonts w:ascii="Times New Roman" w:hAnsi="Times New Roman" w:cs="Times New Roman"/>
          <w:color w:val="auto"/>
          <w:sz w:val="22"/>
          <w:szCs w:val="22"/>
        </w:rPr>
      </w:pPr>
    </w:p>
    <w:p w:rsidR="00867937" w:rsidRPr="000A1B25" w:rsidRDefault="00867937" w:rsidP="000A1B25">
      <w:pPr>
        <w:pStyle w:val="Nadpis3"/>
        <w:spacing w:before="0"/>
        <w:jc w:val="both"/>
        <w:rPr>
          <w:rFonts w:ascii="Times New Roman" w:hAnsi="Times New Roman" w:cs="Times New Roman"/>
          <w:color w:val="auto"/>
          <w:sz w:val="22"/>
          <w:szCs w:val="22"/>
        </w:rPr>
      </w:pPr>
      <w:r w:rsidRPr="00B94369">
        <w:rPr>
          <w:rFonts w:ascii="Times New Roman" w:hAnsi="Times New Roman" w:cs="Times New Roman"/>
          <w:b/>
          <w:color w:val="auto"/>
          <w:sz w:val="22"/>
          <w:szCs w:val="22"/>
          <w:u w:val="single"/>
        </w:rPr>
        <w:t>Tabuľka 3A:</w:t>
      </w:r>
      <w:r w:rsidRPr="00B94369">
        <w:rPr>
          <w:rFonts w:ascii="Times New Roman" w:hAnsi="Times New Roman" w:cs="Times New Roman"/>
          <w:color w:val="auto"/>
          <w:sz w:val="22"/>
          <w:szCs w:val="22"/>
        </w:rPr>
        <w:t xml:space="preserve"> Vplyv odchodu do dôchodku za 40 odpracovaných rokov vrátane naviazanie dôchodkového veku na strednú dĺžku života na bilanciu dôchodkového systému v dlhodobom horizonte</w:t>
      </w:r>
    </w:p>
    <w:tbl>
      <w:tblPr>
        <w:tblStyle w:val="Mriekatabuky"/>
        <w:tblW w:w="9222" w:type="dxa"/>
        <w:jc w:val="center"/>
        <w:tblLook w:val="04A0" w:firstRow="1" w:lastRow="0" w:firstColumn="1" w:lastColumn="0" w:noHBand="0" w:noVBand="1"/>
      </w:tblPr>
      <w:tblGrid>
        <w:gridCol w:w="1560"/>
        <w:gridCol w:w="616"/>
        <w:gridCol w:w="616"/>
        <w:gridCol w:w="616"/>
        <w:gridCol w:w="670"/>
        <w:gridCol w:w="670"/>
        <w:gridCol w:w="670"/>
        <w:gridCol w:w="670"/>
        <w:gridCol w:w="670"/>
        <w:gridCol w:w="616"/>
        <w:gridCol w:w="616"/>
        <w:gridCol w:w="616"/>
        <w:gridCol w:w="616"/>
      </w:tblGrid>
      <w:tr w:rsidR="00867937" w:rsidRPr="006C6991" w:rsidTr="000A1B25">
        <w:trPr>
          <w:trHeight w:val="300"/>
          <w:jc w:val="center"/>
        </w:trPr>
        <w:tc>
          <w:tcPr>
            <w:tcW w:w="1560" w:type="dxa"/>
            <w:shd w:val="clear" w:color="auto" w:fill="A6A6A6" w:themeFill="background1" w:themeFillShade="A6"/>
            <w:noWrap/>
            <w:hideMark/>
          </w:tcPr>
          <w:p w:rsidR="00867937" w:rsidRPr="000A1B25" w:rsidRDefault="00867937" w:rsidP="008B1817">
            <w:pPr>
              <w:spacing w:after="0" w:line="240" w:lineRule="auto"/>
              <w:rPr>
                <w:rFonts w:ascii="Arial Narrow" w:hAnsi="Arial Narrow"/>
                <w:b/>
                <w:color w:val="000000"/>
                <w:sz w:val="20"/>
                <w:szCs w:val="20"/>
                <w:lang w:eastAsia="sk-SK"/>
              </w:rPr>
            </w:pPr>
            <w:r w:rsidRPr="000A1B25">
              <w:rPr>
                <w:rFonts w:ascii="Arial Narrow" w:hAnsi="Arial Narrow"/>
                <w:b/>
                <w:color w:val="000000"/>
                <w:sz w:val="20"/>
                <w:szCs w:val="20"/>
                <w:lang w:eastAsia="sk-SK"/>
              </w:rPr>
              <w:t> </w:t>
            </w:r>
          </w:p>
        </w:tc>
        <w:tc>
          <w:tcPr>
            <w:tcW w:w="616"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2023</w:t>
            </w:r>
          </w:p>
        </w:tc>
        <w:tc>
          <w:tcPr>
            <w:tcW w:w="616"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2024</w:t>
            </w:r>
          </w:p>
        </w:tc>
        <w:tc>
          <w:tcPr>
            <w:tcW w:w="616"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2025</w:t>
            </w:r>
          </w:p>
        </w:tc>
        <w:tc>
          <w:tcPr>
            <w:tcW w:w="670"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2030</w:t>
            </w:r>
          </w:p>
        </w:tc>
        <w:tc>
          <w:tcPr>
            <w:tcW w:w="670"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2035</w:t>
            </w:r>
          </w:p>
        </w:tc>
        <w:tc>
          <w:tcPr>
            <w:tcW w:w="670"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2040</w:t>
            </w:r>
          </w:p>
        </w:tc>
        <w:tc>
          <w:tcPr>
            <w:tcW w:w="670"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2045</w:t>
            </w:r>
          </w:p>
        </w:tc>
        <w:tc>
          <w:tcPr>
            <w:tcW w:w="670" w:type="dxa"/>
            <w:shd w:val="clear" w:color="auto" w:fill="A6A6A6" w:themeFill="background1" w:themeFillShade="A6"/>
            <w:noWrap/>
            <w:hideMark/>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2050</w:t>
            </w:r>
          </w:p>
        </w:tc>
        <w:tc>
          <w:tcPr>
            <w:tcW w:w="616" w:type="dxa"/>
            <w:shd w:val="clear" w:color="auto" w:fill="A6A6A6" w:themeFill="background1" w:themeFillShade="A6"/>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2055</w:t>
            </w:r>
          </w:p>
        </w:tc>
        <w:tc>
          <w:tcPr>
            <w:tcW w:w="616" w:type="dxa"/>
            <w:shd w:val="clear" w:color="auto" w:fill="A6A6A6" w:themeFill="background1" w:themeFillShade="A6"/>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2060</w:t>
            </w:r>
          </w:p>
        </w:tc>
        <w:tc>
          <w:tcPr>
            <w:tcW w:w="616" w:type="dxa"/>
            <w:shd w:val="clear" w:color="auto" w:fill="A6A6A6" w:themeFill="background1" w:themeFillShade="A6"/>
          </w:tcPr>
          <w:p w:rsidR="00867937" w:rsidRPr="000A1B25" w:rsidRDefault="00867937" w:rsidP="008B1817">
            <w:pPr>
              <w:spacing w:after="0" w:line="240" w:lineRule="auto"/>
              <w:jc w:val="right"/>
              <w:rPr>
                <w:rFonts w:ascii="Arial Narrow" w:hAnsi="Arial Narrow"/>
                <w:b/>
                <w:color w:val="000000"/>
                <w:sz w:val="20"/>
                <w:szCs w:val="20"/>
                <w:lang w:eastAsia="sk-SK"/>
              </w:rPr>
            </w:pPr>
            <w:r w:rsidRPr="000A1B25">
              <w:rPr>
                <w:rFonts w:ascii="Arial Narrow" w:hAnsi="Arial Narrow"/>
                <w:b/>
                <w:color w:val="000000"/>
                <w:sz w:val="20"/>
                <w:szCs w:val="20"/>
                <w:lang w:eastAsia="sk-SK"/>
              </w:rPr>
              <w:t>2065</w:t>
            </w:r>
          </w:p>
        </w:tc>
        <w:tc>
          <w:tcPr>
            <w:tcW w:w="616" w:type="dxa"/>
            <w:shd w:val="clear" w:color="auto" w:fill="A6A6A6" w:themeFill="background1" w:themeFillShade="A6"/>
          </w:tcPr>
          <w:p w:rsidR="00867937" w:rsidRPr="000A1B25" w:rsidRDefault="00867937" w:rsidP="008B1817">
            <w:pPr>
              <w:spacing w:after="0" w:line="240" w:lineRule="auto"/>
              <w:rPr>
                <w:rFonts w:ascii="Arial Narrow" w:hAnsi="Arial Narrow"/>
                <w:b/>
                <w:color w:val="000000"/>
                <w:sz w:val="20"/>
                <w:szCs w:val="20"/>
                <w:lang w:eastAsia="sk-SK"/>
              </w:rPr>
            </w:pPr>
            <w:r w:rsidRPr="000A1B25">
              <w:rPr>
                <w:rFonts w:ascii="Arial Narrow" w:hAnsi="Arial Narrow"/>
                <w:b/>
                <w:color w:val="000000"/>
                <w:sz w:val="20"/>
                <w:szCs w:val="20"/>
                <w:lang w:eastAsia="sk-SK"/>
              </w:rPr>
              <w:t>2070</w:t>
            </w:r>
          </w:p>
        </w:tc>
      </w:tr>
      <w:tr w:rsidR="00F11736" w:rsidRPr="006C6991" w:rsidTr="00F11736">
        <w:trPr>
          <w:trHeight w:val="300"/>
          <w:jc w:val="center"/>
        </w:trPr>
        <w:tc>
          <w:tcPr>
            <w:tcW w:w="1560" w:type="dxa"/>
            <w:noWrap/>
            <w:vAlign w:val="bottom"/>
            <w:hideMark/>
          </w:tcPr>
          <w:p w:rsidR="00F11736" w:rsidRPr="000A1B25" w:rsidRDefault="00F11736" w:rsidP="00F11736">
            <w:pPr>
              <w:spacing w:after="0" w:line="240" w:lineRule="auto"/>
              <w:jc w:val="center"/>
              <w:rPr>
                <w:rFonts w:ascii="Arial Narrow" w:hAnsi="Arial Narrow"/>
                <w:bCs/>
                <w:color w:val="000000"/>
                <w:sz w:val="20"/>
                <w:szCs w:val="20"/>
                <w:lang w:eastAsia="sk-SK"/>
              </w:rPr>
            </w:pPr>
            <w:r w:rsidRPr="000A1B25">
              <w:rPr>
                <w:rFonts w:ascii="Arial Narrow" w:hAnsi="Arial Narrow"/>
                <w:bCs/>
                <w:color w:val="000000"/>
                <w:sz w:val="20"/>
                <w:szCs w:val="20"/>
                <w:lang w:eastAsia="sk-SK"/>
              </w:rPr>
              <w:t>Vplyv na bilanciu v p. b. HDP</w:t>
            </w:r>
          </w:p>
        </w:tc>
        <w:tc>
          <w:tcPr>
            <w:tcW w:w="616"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0,0</w:t>
            </w:r>
          </w:p>
        </w:tc>
        <w:tc>
          <w:tcPr>
            <w:tcW w:w="616"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0,0</w:t>
            </w:r>
          </w:p>
        </w:tc>
        <w:tc>
          <w:tcPr>
            <w:tcW w:w="616"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0,0</w:t>
            </w:r>
          </w:p>
        </w:tc>
        <w:tc>
          <w:tcPr>
            <w:tcW w:w="670"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0,0</w:t>
            </w:r>
          </w:p>
        </w:tc>
        <w:tc>
          <w:tcPr>
            <w:tcW w:w="670"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0,0</w:t>
            </w:r>
          </w:p>
        </w:tc>
        <w:tc>
          <w:tcPr>
            <w:tcW w:w="670"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70"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70" w:type="dxa"/>
            <w:noWrap/>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16" w:type="dxa"/>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16" w:type="dxa"/>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16" w:type="dxa"/>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c>
          <w:tcPr>
            <w:tcW w:w="616" w:type="dxa"/>
            <w:vAlign w:val="center"/>
          </w:tcPr>
          <w:p w:rsidR="00F11736" w:rsidRPr="000A1B25" w:rsidRDefault="00F11736" w:rsidP="00F11736">
            <w:pPr>
              <w:spacing w:after="0"/>
              <w:jc w:val="center"/>
              <w:rPr>
                <w:rFonts w:ascii="Arial Narrow" w:hAnsi="Arial Narrow"/>
                <w:color w:val="000000" w:themeColor="text1"/>
                <w:sz w:val="20"/>
                <w:szCs w:val="20"/>
              </w:rPr>
            </w:pPr>
            <w:r w:rsidRPr="000A1B25">
              <w:rPr>
                <w:rFonts w:ascii="Arial Narrow" w:hAnsi="Arial Narrow"/>
                <w:color w:val="000000"/>
                <w:sz w:val="20"/>
                <w:szCs w:val="20"/>
              </w:rPr>
              <w:t>0,1</w:t>
            </w:r>
          </w:p>
        </w:tc>
      </w:tr>
    </w:tbl>
    <w:p w:rsidR="00867937" w:rsidRPr="00905577" w:rsidRDefault="00867937" w:rsidP="00867937">
      <w:pPr>
        <w:spacing w:after="0"/>
        <w:rPr>
          <w:rFonts w:ascii="Times New Roman" w:hAnsi="Times New Roman"/>
          <w:sz w:val="20"/>
          <w:szCs w:val="20"/>
        </w:rPr>
      </w:pPr>
      <w:r w:rsidRPr="00905577">
        <w:rPr>
          <w:rFonts w:ascii="Times New Roman" w:hAnsi="Times New Roman"/>
          <w:sz w:val="20"/>
          <w:szCs w:val="20"/>
        </w:rPr>
        <w:lastRenderedPageBreak/>
        <w:t>Zdroj: IFP; (-) záporná hodnota predstavuje úsporu</w:t>
      </w:r>
    </w:p>
    <w:p w:rsidR="00497730" w:rsidRDefault="00497730" w:rsidP="00AD7397">
      <w:pPr>
        <w:tabs>
          <w:tab w:val="num" w:pos="1080"/>
        </w:tabs>
        <w:spacing w:after="0" w:line="240" w:lineRule="auto"/>
        <w:rPr>
          <w:rFonts w:ascii="Times New Roman" w:eastAsia="Times New Roman" w:hAnsi="Times New Roman" w:cs="Times New Roman"/>
          <w:bCs/>
          <w:sz w:val="24"/>
          <w:szCs w:val="24"/>
          <w:lang w:eastAsia="sk-SK"/>
        </w:rPr>
      </w:pPr>
    </w:p>
    <w:p w:rsidR="00E47C9F" w:rsidRDefault="00E47C9F" w:rsidP="00E47C9F">
      <w:pPr>
        <w:spacing w:after="0" w:line="240" w:lineRule="auto"/>
        <w:rPr>
          <w:rFonts w:ascii="Times New Roman" w:hAnsi="Times New Roman" w:cs="Verdana"/>
          <w:b/>
          <w:bCs/>
          <w:iCs/>
          <w:sz w:val="24"/>
          <w:szCs w:val="24"/>
        </w:rPr>
      </w:pPr>
      <w:r>
        <w:rPr>
          <w:rFonts w:ascii="Times New Roman" w:hAnsi="Times New Roman" w:cs="Verdana"/>
          <w:b/>
          <w:bCs/>
          <w:iCs/>
          <w:sz w:val="24"/>
          <w:szCs w:val="24"/>
        </w:rPr>
        <w:t>2.2.4.2 Kvantifikácia výdavkov</w:t>
      </w:r>
    </w:p>
    <w:p w:rsidR="00E47C9F" w:rsidRDefault="00E47C9F" w:rsidP="00E47C9F">
      <w:pPr>
        <w:spacing w:after="0" w:line="240" w:lineRule="auto"/>
        <w:rPr>
          <w:rFonts w:ascii="Times New Roman" w:hAnsi="Times New Roman" w:cs="Verdana"/>
          <w:b/>
          <w:bCs/>
          <w:iCs/>
          <w:sz w:val="24"/>
          <w:szCs w:val="24"/>
        </w:rPr>
      </w:pPr>
    </w:p>
    <w:p w:rsidR="00356273" w:rsidRPr="00B94369" w:rsidRDefault="00356273" w:rsidP="001E6E4A">
      <w:pPr>
        <w:tabs>
          <w:tab w:val="num" w:pos="1080"/>
        </w:tabs>
        <w:spacing w:after="0" w:line="264" w:lineRule="auto"/>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Navrhované o</w:t>
      </w:r>
      <w:r w:rsidRPr="00B94369">
        <w:rPr>
          <w:rFonts w:ascii="Times New Roman" w:eastAsia="Times New Roman" w:hAnsi="Times New Roman" w:cs="Times New Roman"/>
          <w:bCs/>
          <w:lang w:eastAsia="sk-SK"/>
        </w:rPr>
        <w:t xml:space="preserve">patrenia, ktoré zakladajú </w:t>
      </w:r>
      <w:r>
        <w:rPr>
          <w:rFonts w:ascii="Times New Roman" w:eastAsia="Times New Roman" w:hAnsi="Times New Roman" w:cs="Times New Roman"/>
          <w:bCs/>
          <w:lang w:eastAsia="sk-SK"/>
        </w:rPr>
        <w:t xml:space="preserve">pozitívny alebo </w:t>
      </w:r>
      <w:r w:rsidRPr="00B94369">
        <w:rPr>
          <w:rFonts w:ascii="Times New Roman" w:eastAsia="Times New Roman" w:hAnsi="Times New Roman" w:cs="Times New Roman"/>
          <w:bCs/>
          <w:lang w:eastAsia="sk-SK"/>
        </w:rPr>
        <w:t>negatívny vpl</w:t>
      </w:r>
      <w:r>
        <w:rPr>
          <w:rFonts w:ascii="Times New Roman" w:eastAsia="Times New Roman" w:hAnsi="Times New Roman" w:cs="Times New Roman"/>
          <w:bCs/>
          <w:lang w:eastAsia="sk-SK"/>
        </w:rPr>
        <w:t>yv na výdavky verejnej správy</w:t>
      </w:r>
      <w:r w:rsidRPr="00B94369">
        <w:rPr>
          <w:rFonts w:ascii="Times New Roman" w:eastAsia="Times New Roman" w:hAnsi="Times New Roman" w:cs="Times New Roman"/>
          <w:bCs/>
          <w:lang w:eastAsia="sk-SK"/>
        </w:rPr>
        <w:t>:</w:t>
      </w:r>
    </w:p>
    <w:p w:rsidR="00356273" w:rsidRPr="00B94369" w:rsidRDefault="00356273" w:rsidP="001E6E4A">
      <w:pPr>
        <w:tabs>
          <w:tab w:val="num" w:pos="1080"/>
        </w:tabs>
        <w:spacing w:after="0" w:line="264" w:lineRule="auto"/>
        <w:jc w:val="both"/>
        <w:rPr>
          <w:rFonts w:ascii="Times New Roman" w:eastAsia="Times New Roman" w:hAnsi="Times New Roman" w:cs="Times New Roman"/>
          <w:bCs/>
          <w:lang w:eastAsia="sk-SK"/>
        </w:rPr>
      </w:pPr>
    </w:p>
    <w:p w:rsidR="00356273" w:rsidRPr="00E02476" w:rsidRDefault="00356273" w:rsidP="001E6E4A">
      <w:pPr>
        <w:pStyle w:val="Odsekzoznamu"/>
        <w:numPr>
          <w:ilvl w:val="0"/>
          <w:numId w:val="17"/>
        </w:numPr>
        <w:tabs>
          <w:tab w:val="num" w:pos="1080"/>
        </w:tabs>
        <w:spacing w:after="0" w:line="264" w:lineRule="auto"/>
        <w:jc w:val="both"/>
        <w:rPr>
          <w:rFonts w:ascii="Times New Roman" w:eastAsia="Times New Roman" w:hAnsi="Times New Roman" w:cs="Times New Roman"/>
          <w:bCs/>
          <w:lang w:eastAsia="sk-SK"/>
        </w:rPr>
      </w:pPr>
      <w:r w:rsidRPr="00356273">
        <w:rPr>
          <w:rFonts w:ascii="Times New Roman" w:eastAsia="Times New Roman" w:hAnsi="Times New Roman" w:cs="Times New Roman"/>
          <w:bCs/>
          <w:lang w:eastAsia="sk-SK"/>
        </w:rPr>
        <w:t>A</w:t>
      </w:r>
      <w:r w:rsidRPr="00E02476">
        <w:rPr>
          <w:rFonts w:ascii="Times New Roman" w:eastAsia="Times New Roman" w:hAnsi="Times New Roman" w:cs="Times New Roman"/>
          <w:bCs/>
          <w:lang w:eastAsia="sk-SK"/>
        </w:rPr>
        <w:t>) naviazanie dôchodkového veku na strednú dĺžku života</w:t>
      </w:r>
      <w:r w:rsidR="00EF7B49">
        <w:rPr>
          <w:rFonts w:ascii="Times New Roman" w:eastAsia="Times New Roman" w:hAnsi="Times New Roman" w:cs="Times New Roman"/>
          <w:bCs/>
          <w:lang w:eastAsia="sk-SK"/>
        </w:rPr>
        <w:t>;</w:t>
      </w:r>
    </w:p>
    <w:p w:rsidR="00356273" w:rsidRDefault="00356273" w:rsidP="001E6E4A">
      <w:pPr>
        <w:pStyle w:val="Odsekzoznamu"/>
        <w:numPr>
          <w:ilvl w:val="0"/>
          <w:numId w:val="17"/>
        </w:numPr>
        <w:tabs>
          <w:tab w:val="num" w:pos="1080"/>
        </w:tabs>
        <w:spacing w:after="0" w:line="264" w:lineRule="auto"/>
        <w:jc w:val="both"/>
        <w:rPr>
          <w:rFonts w:ascii="Times New Roman" w:eastAsia="Times New Roman" w:hAnsi="Times New Roman" w:cs="Times New Roman"/>
          <w:bCs/>
          <w:lang w:eastAsia="sk-SK"/>
        </w:rPr>
      </w:pPr>
      <w:r w:rsidRPr="00B94369">
        <w:rPr>
          <w:rFonts w:ascii="Times New Roman" w:eastAsia="Times New Roman" w:hAnsi="Times New Roman" w:cs="Times New Roman"/>
          <w:bCs/>
          <w:lang w:eastAsia="sk-SK"/>
        </w:rPr>
        <w:t>B</w:t>
      </w:r>
      <w:r w:rsidRPr="00481E3B">
        <w:rPr>
          <w:rFonts w:ascii="Times New Roman" w:eastAsia="Times New Roman" w:hAnsi="Times New Roman" w:cs="Times New Roman"/>
          <w:bCs/>
          <w:lang w:eastAsia="sk-SK"/>
        </w:rPr>
        <w:t xml:space="preserve">) </w:t>
      </w:r>
      <w:r w:rsidR="00403BBB">
        <w:rPr>
          <w:rFonts w:ascii="Times New Roman" w:eastAsia="Times New Roman" w:hAnsi="Times New Roman" w:cs="Times New Roman"/>
          <w:bCs/>
          <w:lang w:eastAsia="sk-SK"/>
        </w:rPr>
        <w:t>vznik nároku na predčasný starobný</w:t>
      </w:r>
      <w:r w:rsidRPr="00C909F3">
        <w:rPr>
          <w:rFonts w:ascii="Times New Roman" w:eastAsia="Times New Roman" w:hAnsi="Times New Roman" w:cs="Times New Roman"/>
          <w:bCs/>
          <w:lang w:eastAsia="sk-SK"/>
        </w:rPr>
        <w:t xml:space="preserve"> dôchod</w:t>
      </w:r>
      <w:r w:rsidR="00403BBB">
        <w:rPr>
          <w:rFonts w:ascii="Times New Roman" w:eastAsia="Times New Roman" w:hAnsi="Times New Roman" w:cs="Times New Roman"/>
          <w:bCs/>
          <w:lang w:eastAsia="sk-SK"/>
        </w:rPr>
        <w:t>o</w:t>
      </w:r>
      <w:r w:rsidRPr="00C909F3">
        <w:rPr>
          <w:rFonts w:ascii="Times New Roman" w:eastAsia="Times New Roman" w:hAnsi="Times New Roman" w:cs="Times New Roman"/>
          <w:bCs/>
          <w:lang w:eastAsia="sk-SK"/>
        </w:rPr>
        <w:t>k za 40 odpracovaných rokov</w:t>
      </w:r>
      <w:r w:rsidR="00EF7B49">
        <w:rPr>
          <w:rFonts w:ascii="Times New Roman" w:eastAsia="Times New Roman" w:hAnsi="Times New Roman" w:cs="Times New Roman"/>
          <w:bCs/>
          <w:lang w:eastAsia="sk-SK"/>
        </w:rPr>
        <w:t>;</w:t>
      </w:r>
    </w:p>
    <w:p w:rsidR="00B4169F" w:rsidRDefault="00B4169F" w:rsidP="001E6E4A">
      <w:pPr>
        <w:pStyle w:val="Odsekzoznamu"/>
        <w:numPr>
          <w:ilvl w:val="0"/>
          <w:numId w:val="17"/>
        </w:numPr>
        <w:tabs>
          <w:tab w:val="num" w:pos="1080"/>
        </w:tabs>
        <w:spacing w:after="0" w:line="264" w:lineRule="auto"/>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C) asignácia odvodov tzv. rodičovský dôchodok;</w:t>
      </w:r>
    </w:p>
    <w:p w:rsidR="00681724" w:rsidRPr="008A7617" w:rsidRDefault="00681724" w:rsidP="001E6E4A">
      <w:pPr>
        <w:pStyle w:val="Odsekzoznamu"/>
        <w:numPr>
          <w:ilvl w:val="0"/>
          <w:numId w:val="17"/>
        </w:numPr>
        <w:tabs>
          <w:tab w:val="num" w:pos="1080"/>
        </w:tabs>
        <w:spacing w:after="0" w:line="264" w:lineRule="auto"/>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D</w:t>
      </w:r>
      <w:r w:rsidRPr="008F09E9">
        <w:rPr>
          <w:rFonts w:ascii="Times New Roman" w:eastAsia="Times New Roman" w:hAnsi="Times New Roman" w:cs="Times New Roman"/>
          <w:bCs/>
          <w:lang w:eastAsia="sk-SK"/>
        </w:rPr>
        <w:t>) spr</w:t>
      </w:r>
      <w:r w:rsidRPr="008A7617">
        <w:rPr>
          <w:rFonts w:ascii="Times New Roman" w:eastAsia="Times New Roman" w:hAnsi="Times New Roman" w:cs="Times New Roman"/>
          <w:bCs/>
          <w:lang w:eastAsia="sk-SK"/>
        </w:rPr>
        <w:t>ísnenie podmienok nároku na predčasný starobný dôchodok;</w:t>
      </w:r>
    </w:p>
    <w:p w:rsidR="00026260" w:rsidRPr="009048DE" w:rsidRDefault="00681724" w:rsidP="007D0D8B">
      <w:pPr>
        <w:pStyle w:val="Odsekzoznamu"/>
        <w:numPr>
          <w:ilvl w:val="0"/>
          <w:numId w:val="17"/>
        </w:numPr>
        <w:tabs>
          <w:tab w:val="num" w:pos="1080"/>
        </w:tabs>
        <w:spacing w:after="0" w:line="264" w:lineRule="auto"/>
        <w:jc w:val="both"/>
        <w:rPr>
          <w:rFonts w:ascii="Times New Roman" w:hAnsi="Times New Roman" w:cs="Times New Roman"/>
          <w:b/>
          <w:bCs/>
          <w:iCs/>
        </w:rPr>
      </w:pPr>
      <w:r w:rsidRPr="00681724">
        <w:rPr>
          <w:rFonts w:ascii="Times New Roman" w:eastAsia="Times New Roman" w:hAnsi="Times New Roman" w:cs="Times New Roman"/>
          <w:bCs/>
          <w:lang w:eastAsia="sk-SK"/>
        </w:rPr>
        <w:t>E</w:t>
      </w:r>
      <w:r w:rsidR="009048DE" w:rsidRPr="00681724">
        <w:rPr>
          <w:rFonts w:ascii="Times New Roman" w:eastAsia="Times New Roman" w:hAnsi="Times New Roman" w:cs="Times New Roman"/>
          <w:bCs/>
          <w:lang w:eastAsia="sk-SK"/>
        </w:rPr>
        <w:t>)</w:t>
      </w:r>
      <w:r w:rsidR="008B1817" w:rsidRPr="00681724">
        <w:rPr>
          <w:rFonts w:ascii="Times New Roman" w:hAnsi="Times New Roman" w:cs="Times New Roman"/>
        </w:rPr>
        <w:t xml:space="preserve"> korekcia mechanizmu</w:t>
      </w:r>
      <w:r w:rsidR="008B1817" w:rsidRPr="009048DE">
        <w:rPr>
          <w:rFonts w:ascii="Times New Roman" w:hAnsi="Times New Roman" w:cs="Times New Roman"/>
        </w:rPr>
        <w:t xml:space="preserve"> medziročnej úpravy aktuálnej dôchodkovej hodnoty.</w:t>
      </w:r>
    </w:p>
    <w:p w:rsidR="00BE32C8" w:rsidRDefault="00BE32C8" w:rsidP="001E6E4A">
      <w:pPr>
        <w:pStyle w:val="NormlB"/>
        <w:spacing w:before="0" w:after="0" w:line="264" w:lineRule="auto"/>
        <w:rPr>
          <w:rFonts w:ascii="Times New Roman" w:hAnsi="Times New Roman" w:cs="Times New Roman"/>
          <w:b w:val="0"/>
          <w:color w:val="auto"/>
          <w:sz w:val="22"/>
        </w:rPr>
      </w:pPr>
    </w:p>
    <w:p w:rsidR="00BE32C8" w:rsidRDefault="00BE32C8" w:rsidP="001E6E4A">
      <w:pPr>
        <w:pStyle w:val="NormlB"/>
        <w:spacing w:before="0" w:after="0" w:line="264" w:lineRule="auto"/>
        <w:rPr>
          <w:rFonts w:ascii="Times New Roman" w:hAnsi="Times New Roman" w:cs="Times New Roman"/>
          <w:b w:val="0"/>
          <w:color w:val="auto"/>
          <w:sz w:val="22"/>
        </w:rPr>
      </w:pPr>
    </w:p>
    <w:p w:rsidR="00C909F3" w:rsidRDefault="00C909F3" w:rsidP="001E6E4A">
      <w:pPr>
        <w:pStyle w:val="NormlB"/>
        <w:spacing w:before="0" w:after="0" w:line="264" w:lineRule="auto"/>
        <w:rPr>
          <w:rFonts w:ascii="Times New Roman" w:hAnsi="Times New Roman" w:cs="Times New Roman"/>
          <w:color w:val="auto"/>
          <w:sz w:val="22"/>
        </w:rPr>
      </w:pPr>
      <w:r w:rsidRPr="00C909F3">
        <w:rPr>
          <w:rFonts w:ascii="Times New Roman" w:hAnsi="Times New Roman" w:cs="Times New Roman"/>
          <w:color w:val="auto"/>
          <w:sz w:val="22"/>
        </w:rPr>
        <w:t>A)</w:t>
      </w:r>
      <w:r>
        <w:rPr>
          <w:rFonts w:ascii="Times New Roman" w:hAnsi="Times New Roman" w:cs="Times New Roman"/>
          <w:color w:val="auto"/>
          <w:sz w:val="22"/>
        </w:rPr>
        <w:t xml:space="preserve"> N</w:t>
      </w:r>
      <w:r w:rsidRPr="00C909F3">
        <w:rPr>
          <w:rFonts w:ascii="Times New Roman" w:hAnsi="Times New Roman" w:cs="Times New Roman"/>
          <w:color w:val="auto"/>
          <w:sz w:val="22"/>
        </w:rPr>
        <w:t xml:space="preserve">aviazanie dôchodkového veku na </w:t>
      </w:r>
      <w:r w:rsidR="0060539B">
        <w:rPr>
          <w:rFonts w:ascii="Times New Roman" w:hAnsi="Times New Roman" w:cs="Times New Roman"/>
          <w:color w:val="auto"/>
          <w:sz w:val="22"/>
        </w:rPr>
        <w:t>zmenu strednej dĺžky</w:t>
      </w:r>
      <w:r w:rsidRPr="00C909F3">
        <w:rPr>
          <w:rFonts w:ascii="Times New Roman" w:hAnsi="Times New Roman" w:cs="Times New Roman"/>
          <w:color w:val="auto"/>
          <w:sz w:val="22"/>
        </w:rPr>
        <w:t xml:space="preserve"> života</w:t>
      </w:r>
    </w:p>
    <w:p w:rsidR="00C909F3" w:rsidRPr="00C909F3" w:rsidRDefault="00C909F3" w:rsidP="001E6E4A">
      <w:pPr>
        <w:pStyle w:val="NormlB"/>
        <w:spacing w:before="0" w:after="0" w:line="264" w:lineRule="auto"/>
        <w:rPr>
          <w:rFonts w:ascii="Times New Roman" w:hAnsi="Times New Roman" w:cs="Times New Roman"/>
          <w:color w:val="auto"/>
          <w:sz w:val="22"/>
        </w:rPr>
      </w:pPr>
    </w:p>
    <w:p w:rsidR="0060539B" w:rsidRDefault="00C909F3" w:rsidP="001E6E4A">
      <w:pPr>
        <w:spacing w:after="0" w:line="264" w:lineRule="auto"/>
        <w:ind w:firstLine="708"/>
        <w:jc w:val="both"/>
        <w:rPr>
          <w:rFonts w:ascii="Times New Roman" w:hAnsi="Times New Roman"/>
        </w:rPr>
      </w:pPr>
      <w:r w:rsidRPr="006C6991">
        <w:rPr>
          <w:rFonts w:ascii="Times New Roman" w:hAnsi="Times New Roman"/>
        </w:rPr>
        <w:t>Hlavným opatrením</w:t>
      </w:r>
      <w:r w:rsidR="003179A9">
        <w:rPr>
          <w:rFonts w:ascii="Times New Roman" w:hAnsi="Times New Roman"/>
        </w:rPr>
        <w:t xml:space="preserve"> predloženej novely zákona</w:t>
      </w:r>
      <w:r w:rsidRPr="006C6991">
        <w:rPr>
          <w:rFonts w:ascii="Times New Roman" w:hAnsi="Times New Roman"/>
        </w:rPr>
        <w:t xml:space="preserve">, ktoré prispeje k zlepšeniu dlhodobej udržateľnosti dôchodkového systému je opätovné naviazanie dôchodkového veku na </w:t>
      </w:r>
      <w:r w:rsidR="0060539B">
        <w:rPr>
          <w:rFonts w:ascii="Times New Roman" w:hAnsi="Times New Roman"/>
        </w:rPr>
        <w:t>vývoj strednej dĺžky</w:t>
      </w:r>
      <w:r w:rsidRPr="006C6991">
        <w:rPr>
          <w:rFonts w:ascii="Times New Roman" w:hAnsi="Times New Roman"/>
        </w:rPr>
        <w:t xml:space="preserve"> života. V súčasnosti je dôchodkový vek </w:t>
      </w:r>
      <w:r w:rsidRPr="00A86166">
        <w:rPr>
          <w:rFonts w:ascii="Times New Roman" w:hAnsi="Times New Roman"/>
        </w:rPr>
        <w:t>definovaný v prílohe č. 3a a v prílohe č. 3b zákona č.</w:t>
      </w:r>
      <w:r w:rsidR="0060539B">
        <w:rPr>
          <w:rFonts w:ascii="Times New Roman" w:hAnsi="Times New Roman"/>
        </w:rPr>
        <w:t xml:space="preserve"> </w:t>
      </w:r>
      <w:r w:rsidRPr="00A86166">
        <w:rPr>
          <w:rFonts w:ascii="Times New Roman" w:hAnsi="Times New Roman"/>
        </w:rPr>
        <w:t xml:space="preserve">461/2003 Z. z. o sociálnom poistení v znení neskorších predpisov (ďalej len „zákon o sociálnom poistení“), pričom rast dôchodkového veku sa </w:t>
      </w:r>
      <w:r w:rsidR="0060539B">
        <w:rPr>
          <w:rFonts w:ascii="Times New Roman" w:hAnsi="Times New Roman"/>
        </w:rPr>
        <w:t xml:space="preserve">na základe súčasného právneho stavu </w:t>
      </w:r>
      <w:r w:rsidRPr="00A86166">
        <w:rPr>
          <w:rFonts w:ascii="Times New Roman" w:hAnsi="Times New Roman"/>
        </w:rPr>
        <w:t>zastaví v roku 2030 na úrovni 64 rokov</w:t>
      </w:r>
      <w:r>
        <w:rPr>
          <w:rFonts w:ascii="Times New Roman" w:hAnsi="Times New Roman"/>
        </w:rPr>
        <w:t>, ktorý prislúcha osobám narodeným v roku 1966 (bez zohľadnenia výchovy dieťaťa)</w:t>
      </w:r>
      <w:r w:rsidRPr="00A86166">
        <w:rPr>
          <w:rFonts w:ascii="Times New Roman" w:hAnsi="Times New Roman"/>
        </w:rPr>
        <w:t xml:space="preserve">. </w:t>
      </w:r>
    </w:p>
    <w:p w:rsidR="00403BBB" w:rsidRDefault="00403BBB" w:rsidP="001E6E4A">
      <w:pPr>
        <w:spacing w:after="0" w:line="264" w:lineRule="auto"/>
        <w:jc w:val="both"/>
        <w:rPr>
          <w:rFonts w:ascii="Times New Roman" w:hAnsi="Times New Roman"/>
        </w:rPr>
      </w:pPr>
    </w:p>
    <w:p w:rsidR="00C909F3" w:rsidRDefault="00C909F3" w:rsidP="00457F53">
      <w:pPr>
        <w:spacing w:after="0" w:line="240" w:lineRule="auto"/>
        <w:ind w:firstLine="708"/>
        <w:jc w:val="both"/>
        <w:rPr>
          <w:rFonts w:ascii="Times New Roman" w:hAnsi="Times New Roman"/>
        </w:rPr>
      </w:pPr>
      <w:r>
        <w:rPr>
          <w:rFonts w:ascii="Times New Roman" w:hAnsi="Times New Roman"/>
        </w:rPr>
        <w:t>Navrhovaná právna úprava zavádza nový automatický mechanizmus predlžovania dôchodkového veku</w:t>
      </w:r>
      <w:r w:rsidR="00821D5F">
        <w:rPr>
          <w:rFonts w:ascii="Times New Roman" w:hAnsi="Times New Roman"/>
        </w:rPr>
        <w:t xml:space="preserve"> vzhľadom na zmenu strednej dĺžky života</w:t>
      </w:r>
      <w:r>
        <w:rPr>
          <w:rFonts w:ascii="Times New Roman" w:hAnsi="Times New Roman"/>
        </w:rPr>
        <w:t>, ktorý je naviazaný na kalendárne ročníky</w:t>
      </w:r>
      <w:r w:rsidRPr="002120F0">
        <w:rPr>
          <w:rFonts w:ascii="Times New Roman" w:hAnsi="Times New Roman"/>
        </w:rPr>
        <w:t>,</w:t>
      </w:r>
      <w:r w:rsidR="0060539B">
        <w:rPr>
          <w:rFonts w:ascii="Times New Roman" w:hAnsi="Times New Roman"/>
        </w:rPr>
        <w:t xml:space="preserve"> t. j.</w:t>
      </w:r>
      <w:r w:rsidRPr="00A86166">
        <w:rPr>
          <w:rFonts w:ascii="Times New Roman" w:hAnsi="Times New Roman"/>
        </w:rPr>
        <w:t xml:space="preserve"> aby osoby narodené v rovnakom roku mali rovnaký dôc</w:t>
      </w:r>
      <w:r w:rsidR="0060539B">
        <w:rPr>
          <w:rFonts w:ascii="Times New Roman" w:hAnsi="Times New Roman"/>
        </w:rPr>
        <w:t>hodkový vek</w:t>
      </w:r>
      <w:r w:rsidRPr="00A86166">
        <w:rPr>
          <w:rFonts w:ascii="Times New Roman" w:hAnsi="Times New Roman"/>
        </w:rPr>
        <w:t>.</w:t>
      </w:r>
      <w:r w:rsidRPr="002120F0">
        <w:rPr>
          <w:rFonts w:ascii="Times New Roman" w:hAnsi="Times New Roman"/>
        </w:rPr>
        <w:t xml:space="preserve"> </w:t>
      </w:r>
      <w:r w:rsidR="003179A9">
        <w:rPr>
          <w:rFonts w:ascii="Times New Roman" w:hAnsi="Times New Roman"/>
        </w:rPr>
        <w:t>Zároveň sa ustanovuje</w:t>
      </w:r>
      <w:r w:rsidRPr="00A86166">
        <w:rPr>
          <w:rFonts w:ascii="Times New Roman" w:hAnsi="Times New Roman"/>
        </w:rPr>
        <w:t>, že dôchodkový vek bude automaticky zvyšovaný</w:t>
      </w:r>
      <w:r w:rsidRPr="002120F0">
        <w:rPr>
          <w:rFonts w:ascii="Times New Roman" w:hAnsi="Times New Roman"/>
        </w:rPr>
        <w:t xml:space="preserve"> na mesačnej báze, t. j. </w:t>
      </w:r>
      <w:r w:rsidR="0060539B">
        <w:rPr>
          <w:rFonts w:ascii="Times New Roman" w:hAnsi="Times New Roman"/>
        </w:rPr>
        <w:t>zmena dôchodkového veku bude vyjadrená v mesiacoch</w:t>
      </w:r>
      <w:r w:rsidRPr="002120F0">
        <w:rPr>
          <w:rFonts w:ascii="Times New Roman" w:hAnsi="Times New Roman"/>
        </w:rPr>
        <w:t xml:space="preserve">. </w:t>
      </w:r>
      <w:r w:rsidRPr="00A86166">
        <w:rPr>
          <w:rFonts w:ascii="Times New Roman" w:hAnsi="Times New Roman"/>
        </w:rPr>
        <w:t>Na základe uvedeného a s prihliadnutím na vývoj strednej dĺžky života v dôchodkovom veku vypočítanej z poslednej demografickej prognózy Eurostatu EUROPOP2019</w:t>
      </w:r>
      <w:r w:rsidR="000B48B1">
        <w:rPr>
          <w:rFonts w:ascii="Times New Roman" w:hAnsi="Times New Roman"/>
        </w:rPr>
        <w:t xml:space="preserve"> a údajov Štatistického úradu SR,</w:t>
      </w:r>
      <w:r w:rsidRPr="00A86166">
        <w:rPr>
          <w:rFonts w:ascii="Times New Roman" w:hAnsi="Times New Roman"/>
        </w:rPr>
        <w:t xml:space="preserve"> odhadujeme v najbližších rokoch tempo rastu dôchodkového veku </w:t>
      </w:r>
      <w:r w:rsidRPr="002120F0">
        <w:rPr>
          <w:rFonts w:ascii="Times New Roman" w:hAnsi="Times New Roman"/>
        </w:rPr>
        <w:t xml:space="preserve">na úrovni </w:t>
      </w:r>
      <w:r>
        <w:rPr>
          <w:rFonts w:ascii="Times New Roman" w:hAnsi="Times New Roman"/>
        </w:rPr>
        <w:t xml:space="preserve">jedného alebo </w:t>
      </w:r>
      <w:r w:rsidRPr="002120F0">
        <w:rPr>
          <w:rFonts w:ascii="Times New Roman" w:hAnsi="Times New Roman"/>
        </w:rPr>
        <w:t>dvoch mesiacov ročne.</w:t>
      </w:r>
    </w:p>
    <w:p w:rsidR="001259A7" w:rsidRDefault="001259A7" w:rsidP="00C135B2">
      <w:pPr>
        <w:spacing w:after="0" w:line="240" w:lineRule="auto"/>
        <w:jc w:val="both"/>
        <w:rPr>
          <w:rFonts w:ascii="Times New Roman" w:eastAsia="Times New Roman" w:hAnsi="Times New Roman" w:cs="Times New Roman"/>
          <w:sz w:val="24"/>
          <w:szCs w:val="24"/>
          <w:lang w:eastAsia="sk-SK"/>
        </w:rPr>
      </w:pPr>
    </w:p>
    <w:p w:rsidR="008B1817" w:rsidRPr="00A86166" w:rsidRDefault="008B1817" w:rsidP="00457F53">
      <w:pPr>
        <w:spacing w:after="0"/>
        <w:ind w:firstLine="426"/>
        <w:jc w:val="both"/>
        <w:rPr>
          <w:rFonts w:ascii="Times New Roman" w:hAnsi="Times New Roman"/>
        </w:rPr>
      </w:pPr>
      <w:r>
        <w:rPr>
          <w:rFonts w:ascii="Times New Roman" w:hAnsi="Times New Roman"/>
        </w:rPr>
        <w:t xml:space="preserve">V dlhodobom horizonte očakávame zníženie výdavkov </w:t>
      </w:r>
      <w:r w:rsidRPr="008F09E9">
        <w:rPr>
          <w:rFonts w:ascii="Times New Roman" w:hAnsi="Times New Roman"/>
          <w:b/>
        </w:rPr>
        <w:t>na dôchodky o približne 2,0 p. b. HDP</w:t>
      </w:r>
      <w:r>
        <w:rPr>
          <w:rFonts w:ascii="Times New Roman" w:hAnsi="Times New Roman"/>
        </w:rPr>
        <w:t xml:space="preserve"> (rok</w:t>
      </w:r>
      <w:r w:rsidRPr="002120F0">
        <w:rPr>
          <w:rFonts w:ascii="Times New Roman" w:hAnsi="Times New Roman"/>
        </w:rPr>
        <w:t xml:space="preserve"> 2070</w:t>
      </w:r>
      <w:r>
        <w:rPr>
          <w:rFonts w:ascii="Times New Roman" w:hAnsi="Times New Roman"/>
        </w:rPr>
        <w:t>)</w:t>
      </w:r>
      <w:r w:rsidRPr="00A86166">
        <w:rPr>
          <w:rFonts w:ascii="Times New Roman" w:hAnsi="Times New Roman"/>
        </w:rPr>
        <w:t xml:space="preserve">, čo môžeme označiť ako signifikantný vplyv na posilnenie dlhodobej udržateľnosti dôchodkového systému. </w:t>
      </w:r>
    </w:p>
    <w:p w:rsidR="008B1817" w:rsidRDefault="008B1817" w:rsidP="008B1817">
      <w:pPr>
        <w:ind w:firstLine="993"/>
        <w:jc w:val="both"/>
        <w:rPr>
          <w:rFonts w:ascii="Times New Roman" w:hAnsi="Times New Roman" w:cs="Times New Roman"/>
          <w:b/>
          <w:sz w:val="24"/>
          <w:szCs w:val="24"/>
        </w:rPr>
      </w:pPr>
    </w:p>
    <w:p w:rsidR="00006AA1" w:rsidRDefault="00006AA1" w:rsidP="008B1817">
      <w:pPr>
        <w:ind w:firstLine="993"/>
        <w:jc w:val="both"/>
        <w:rPr>
          <w:rFonts w:ascii="Times New Roman" w:hAnsi="Times New Roman" w:cs="Times New Roman"/>
          <w:b/>
          <w:sz w:val="24"/>
          <w:szCs w:val="24"/>
        </w:rPr>
      </w:pPr>
    </w:p>
    <w:p w:rsidR="00006AA1" w:rsidRDefault="00006AA1" w:rsidP="008B1817">
      <w:pPr>
        <w:ind w:firstLine="993"/>
        <w:jc w:val="both"/>
        <w:rPr>
          <w:rFonts w:ascii="Times New Roman" w:hAnsi="Times New Roman" w:cs="Times New Roman"/>
          <w:b/>
          <w:sz w:val="24"/>
          <w:szCs w:val="24"/>
        </w:rPr>
      </w:pPr>
    </w:p>
    <w:p w:rsidR="000B5A21" w:rsidRPr="004D4593" w:rsidRDefault="000B5A21" w:rsidP="000B5A21">
      <w:pPr>
        <w:spacing w:after="0" w:line="240" w:lineRule="auto"/>
        <w:ind w:left="426"/>
        <w:jc w:val="center"/>
        <w:rPr>
          <w:rFonts w:ascii="Times New Roman" w:hAnsi="Times New Roman" w:cs="Times New Roman"/>
          <w:b/>
          <w:sz w:val="24"/>
          <w:szCs w:val="24"/>
        </w:rPr>
      </w:pPr>
      <w:r w:rsidRPr="004D4593">
        <w:rPr>
          <w:rFonts w:ascii="Times New Roman" w:hAnsi="Times New Roman" w:cs="Times New Roman"/>
          <w:b/>
          <w:sz w:val="24"/>
          <w:szCs w:val="24"/>
        </w:rPr>
        <w:t xml:space="preserve">Vzorec pre určenie </w:t>
      </w:r>
      <w:r>
        <w:rPr>
          <w:rFonts w:ascii="Times New Roman" w:hAnsi="Times New Roman" w:cs="Times New Roman"/>
          <w:b/>
          <w:sz w:val="24"/>
          <w:szCs w:val="24"/>
        </w:rPr>
        <w:t xml:space="preserve">neupraveného </w:t>
      </w:r>
      <w:r w:rsidRPr="004D4593">
        <w:rPr>
          <w:rFonts w:ascii="Times New Roman" w:hAnsi="Times New Roman" w:cs="Times New Roman"/>
          <w:b/>
          <w:sz w:val="24"/>
          <w:szCs w:val="24"/>
        </w:rPr>
        <w:t>všeobecného dôchodkového veku pre príslušný ročník</w:t>
      </w:r>
    </w:p>
    <w:p w:rsidR="000B5A21" w:rsidRPr="00457F53" w:rsidRDefault="000B5A21" w:rsidP="00457F53">
      <w:pPr>
        <w:spacing w:after="0" w:line="240" w:lineRule="auto"/>
        <w:ind w:right="-142"/>
        <w:jc w:val="both"/>
        <w:rPr>
          <w:rFonts w:ascii="Times New Roman" w:hAnsi="Times New Roman" w:cs="Times New Roman"/>
          <w:sz w:val="24"/>
          <w:szCs w:val="24"/>
          <w:shd w:val="clear" w:color="auto" w:fill="FFFFFF"/>
        </w:rPr>
      </w:pPr>
    </w:p>
    <w:p w:rsidR="000B5A21" w:rsidRPr="004D4593" w:rsidRDefault="000B5A21" w:rsidP="000B5A21">
      <w:pPr>
        <w:spacing w:after="0" w:line="240" w:lineRule="auto"/>
        <w:ind w:firstLine="993"/>
        <w:jc w:val="both"/>
        <w:rPr>
          <w:rFonts w:ascii="Times New Roman" w:hAnsi="Times New Roman" w:cs="Times New Roman"/>
          <w:sz w:val="24"/>
          <w:szCs w:val="24"/>
        </w:rPr>
      </w:pPr>
      <w:r w:rsidRPr="004D4593">
        <w:rPr>
          <w:rFonts w:ascii="Times New Roman" w:hAnsi="Times New Roman" w:cs="Times New Roman"/>
          <w:sz w:val="24"/>
          <w:szCs w:val="24"/>
        </w:rPr>
        <w:t>kde</w:t>
      </w:r>
    </w:p>
    <w:p w:rsidR="000B5A21" w:rsidRPr="004D4593" w:rsidRDefault="000B5A21" w:rsidP="000B5A21">
      <w:pPr>
        <w:spacing w:after="0" w:line="240" w:lineRule="auto"/>
        <w:ind w:left="426" w:firstLine="993"/>
        <w:jc w:val="both"/>
        <w:rPr>
          <w:rFonts w:ascii="Times New Roman" w:hAnsi="Times New Roman" w:cs="Times New Roman"/>
          <w:sz w:val="24"/>
          <w:szCs w:val="24"/>
          <w:shd w:val="clear" w:color="auto" w:fill="FFFFFF"/>
        </w:rPr>
      </w:pPr>
      <w:r w:rsidRPr="004D4593">
        <w:rPr>
          <w:rFonts w:ascii="Times New Roman" w:hAnsi="Times New Roman" w:cs="Times New Roman"/>
          <w:sz w:val="24"/>
          <w:szCs w:val="24"/>
        </w:rPr>
        <w:t>NVDV je neupravený všeobecný dôchodkový vek určený v rokoch zaokrúhlený</w:t>
      </w:r>
      <w:r>
        <w:rPr>
          <w:rFonts w:ascii="Times New Roman" w:hAnsi="Times New Roman" w:cs="Times New Roman"/>
          <w:sz w:val="24"/>
          <w:szCs w:val="24"/>
        </w:rPr>
        <w:t xml:space="preserve"> </w:t>
      </w:r>
      <w:r w:rsidRPr="004D4593">
        <w:rPr>
          <w:rFonts w:ascii="Times New Roman" w:hAnsi="Times New Roman" w:cs="Times New Roman"/>
          <w:sz w:val="24"/>
          <w:szCs w:val="24"/>
          <w:shd w:val="clear" w:color="auto" w:fill="FFFFFF"/>
        </w:rPr>
        <w:t xml:space="preserve">na štyri desatinné miesta; </w:t>
      </w:r>
    </w:p>
    <w:p w:rsidR="000B5A21" w:rsidRPr="004D4593" w:rsidRDefault="000B5A21" w:rsidP="000B5A21">
      <w:pPr>
        <w:spacing w:after="0" w:line="240" w:lineRule="auto"/>
        <w:ind w:left="426" w:firstLine="993"/>
        <w:jc w:val="both"/>
        <w:rPr>
          <w:rFonts w:ascii="Times New Roman" w:hAnsi="Times New Roman" w:cs="Times New Roman"/>
          <w:sz w:val="24"/>
          <w:szCs w:val="24"/>
        </w:rPr>
      </w:pPr>
      <w:r w:rsidRPr="004D4593">
        <w:rPr>
          <w:rFonts w:ascii="Times New Roman" w:hAnsi="Times New Roman" w:cs="Times New Roman"/>
          <w:sz w:val="24"/>
          <w:szCs w:val="24"/>
        </w:rPr>
        <w:lastRenderedPageBreak/>
        <w:t xml:space="preserve">ročník </w:t>
      </w:r>
      <w:r w:rsidRPr="004D4593">
        <w:rPr>
          <w:rFonts w:ascii="Times New Roman" w:hAnsi="Times New Roman" w:cs="Times New Roman"/>
          <w:sz w:val="24"/>
          <w:szCs w:val="24"/>
        </w:rPr>
        <w:tab/>
        <w:t>je príslušný ročník, pre ktorý sa určuje neupravený všeobecný dôchodkový vek,</w:t>
      </w:r>
    </w:p>
    <w:p w:rsidR="000B5A21" w:rsidRPr="004D4593" w:rsidRDefault="000B5A21" w:rsidP="000B5A21">
      <w:pPr>
        <w:spacing w:after="0" w:line="240" w:lineRule="auto"/>
        <w:ind w:left="426" w:firstLine="993"/>
        <w:jc w:val="both"/>
        <w:rPr>
          <w:rFonts w:ascii="Times New Roman" w:hAnsi="Times New Roman" w:cs="Times New Roman"/>
          <w:sz w:val="24"/>
          <w:szCs w:val="24"/>
        </w:rPr>
      </w:pPr>
      <w:r w:rsidRPr="004D4593">
        <w:rPr>
          <w:rFonts w:ascii="Times New Roman" w:hAnsi="Times New Roman" w:cs="Times New Roman"/>
          <w:sz w:val="24"/>
          <w:szCs w:val="24"/>
        </w:rPr>
        <w:t xml:space="preserve">SDŽ </w:t>
      </w:r>
      <w:r w:rsidRPr="004D4593">
        <w:rPr>
          <w:rFonts w:ascii="Times New Roman" w:hAnsi="Times New Roman" w:cs="Times New Roman"/>
          <w:sz w:val="24"/>
          <w:szCs w:val="24"/>
        </w:rPr>
        <w:tab/>
        <w:t>je stredná dĺžka života v kalendárnom roku a</w:t>
      </w:r>
      <w:r w:rsidRPr="004D4593">
        <w:rPr>
          <w:rFonts w:ascii="Times New Roman" w:hAnsi="Times New Roman" w:cs="Times New Roman"/>
          <w:sz w:val="24"/>
          <w:szCs w:val="24"/>
          <w:shd w:val="clear" w:color="auto" w:fill="FFFFFF"/>
        </w:rPr>
        <w:t xml:space="preserve"> v referenčnom veku, vykázaná štatistickým úradom, spoločná pre mužov a ženy</w:t>
      </w:r>
      <w:r w:rsidRPr="004D4593">
        <w:rPr>
          <w:rFonts w:ascii="Times New Roman" w:hAnsi="Times New Roman" w:cs="Times New Roman"/>
          <w:sz w:val="24"/>
          <w:szCs w:val="24"/>
        </w:rPr>
        <w:t>,</w:t>
      </w:r>
    </w:p>
    <w:p w:rsidR="000B5A21" w:rsidRPr="004D4593" w:rsidRDefault="000B5A21" w:rsidP="000B5A21">
      <w:pPr>
        <w:spacing w:after="0" w:line="240" w:lineRule="auto"/>
        <w:ind w:left="426" w:firstLine="993"/>
        <w:jc w:val="both"/>
        <w:rPr>
          <w:rFonts w:ascii="Times New Roman" w:hAnsi="Times New Roman" w:cs="Times New Roman"/>
          <w:sz w:val="24"/>
          <w:szCs w:val="24"/>
        </w:rPr>
      </w:pPr>
      <w:r w:rsidRPr="004D4593">
        <w:rPr>
          <w:rFonts w:ascii="Times New Roman" w:hAnsi="Times New Roman" w:cs="Times New Roman"/>
          <w:sz w:val="24"/>
          <w:szCs w:val="24"/>
        </w:rPr>
        <w:t xml:space="preserve">r  </w:t>
      </w:r>
      <w:r w:rsidRPr="004D4593">
        <w:rPr>
          <w:rFonts w:ascii="Times New Roman" w:hAnsi="Times New Roman" w:cs="Times New Roman"/>
          <w:sz w:val="24"/>
          <w:szCs w:val="24"/>
        </w:rPr>
        <w:tab/>
        <w:t xml:space="preserve">je kalendárny </w:t>
      </w:r>
      <w:r w:rsidRPr="004D4593">
        <w:rPr>
          <w:rFonts w:ascii="Times New Roman" w:hAnsi="Times New Roman" w:cs="Times New Roman"/>
          <w:sz w:val="24"/>
          <w:szCs w:val="24"/>
          <w:shd w:val="clear" w:color="auto" w:fill="FFFFFF"/>
        </w:rPr>
        <w:t xml:space="preserve">rok, v ktorom sa ustanovuje neupravený všeobecný dôchodkový vek pre príslušný ročník </w:t>
      </w:r>
      <w:r w:rsidR="00076E3E">
        <w:rPr>
          <w:rFonts w:ascii="Times New Roman" w:hAnsi="Times New Roman" w:cs="Times New Roman"/>
          <w:sz w:val="24"/>
          <w:szCs w:val="24"/>
          <w:shd w:val="clear" w:color="auto" w:fill="FFFFFF"/>
        </w:rPr>
        <w:t>všeobecne záväzným právnym predpisom</w:t>
      </w:r>
      <w:r w:rsidRPr="004D4593">
        <w:rPr>
          <w:rFonts w:ascii="Times New Roman" w:hAnsi="Times New Roman" w:cs="Times New Roman"/>
          <w:sz w:val="24"/>
          <w:szCs w:val="24"/>
          <w:shd w:val="clear" w:color="auto" w:fill="FFFFFF"/>
        </w:rPr>
        <w:t xml:space="preserve"> podľa </w:t>
      </w:r>
      <w:r w:rsidR="00076E3E">
        <w:rPr>
          <w:rFonts w:ascii="Times New Roman" w:hAnsi="Times New Roman" w:cs="Times New Roman"/>
          <w:sz w:val="24"/>
          <w:szCs w:val="24"/>
          <w:shd w:val="clear" w:color="auto" w:fill="FFFFFF"/>
        </w:rPr>
        <w:t xml:space="preserve">         </w:t>
      </w:r>
      <w:r w:rsidRPr="004D4593">
        <w:rPr>
          <w:rFonts w:ascii="Times New Roman" w:hAnsi="Times New Roman" w:cs="Times New Roman"/>
          <w:sz w:val="24"/>
          <w:szCs w:val="24"/>
          <w:shd w:val="clear" w:color="auto" w:fill="FFFFFF"/>
        </w:rPr>
        <w:t>§ 65 ods. 8</w:t>
      </w:r>
      <w:r w:rsidRPr="004D4593">
        <w:rPr>
          <w:rFonts w:ascii="Times New Roman" w:hAnsi="Times New Roman" w:cs="Times New Roman"/>
          <w:sz w:val="24"/>
          <w:szCs w:val="24"/>
        </w:rPr>
        <w:t xml:space="preserve">, </w:t>
      </w:r>
      <w:r>
        <w:rPr>
          <w:rFonts w:ascii="Times New Roman" w:hAnsi="Times New Roman" w:cs="Times New Roman"/>
          <w:sz w:val="24"/>
          <w:szCs w:val="24"/>
        </w:rPr>
        <w:t xml:space="preserve">v kalendárnom roku sa ustanovuje neupravený dôchodkový vek len pre jeden ročník, </w:t>
      </w:r>
    </w:p>
    <w:p w:rsidR="000B5A21" w:rsidRDefault="000B5A21" w:rsidP="000B5A21">
      <w:pPr>
        <w:spacing w:after="0" w:line="240" w:lineRule="auto"/>
        <w:ind w:left="426" w:firstLine="993"/>
        <w:jc w:val="both"/>
        <w:rPr>
          <w:rFonts w:ascii="Times New Roman" w:hAnsi="Times New Roman" w:cs="Times New Roman"/>
          <w:sz w:val="24"/>
          <w:szCs w:val="24"/>
          <w:shd w:val="clear" w:color="auto" w:fill="FFFFFF"/>
        </w:rPr>
      </w:pPr>
      <w:r w:rsidRPr="004D4593">
        <w:rPr>
          <w:rFonts w:ascii="Times New Roman" w:hAnsi="Times New Roman" w:cs="Times New Roman"/>
          <w:sz w:val="24"/>
          <w:szCs w:val="24"/>
        </w:rPr>
        <w:t xml:space="preserve">rv  </w:t>
      </w:r>
      <w:r w:rsidRPr="004D4593">
        <w:rPr>
          <w:rFonts w:ascii="Times New Roman" w:hAnsi="Times New Roman" w:cs="Times New Roman"/>
          <w:sz w:val="24"/>
          <w:szCs w:val="24"/>
        </w:rPr>
        <w:tab/>
        <w:t>je referenčný vek, ktorý</w:t>
      </w:r>
      <w:r>
        <w:rPr>
          <w:rFonts w:ascii="Times New Roman" w:hAnsi="Times New Roman" w:cs="Times New Roman"/>
          <w:sz w:val="24"/>
          <w:szCs w:val="24"/>
        </w:rPr>
        <w:t xml:space="preserve"> </w:t>
      </w:r>
      <w:r w:rsidRPr="004D4593">
        <w:rPr>
          <w:rFonts w:ascii="Times New Roman" w:hAnsi="Times New Roman" w:cs="Times New Roman"/>
          <w:sz w:val="24"/>
          <w:szCs w:val="24"/>
        </w:rPr>
        <w:t xml:space="preserve">je neupravený všeobecný </w:t>
      </w:r>
      <w:r w:rsidRPr="004D4593">
        <w:rPr>
          <w:rFonts w:ascii="Times New Roman" w:hAnsi="Times New Roman" w:cs="Times New Roman"/>
          <w:sz w:val="24"/>
          <w:szCs w:val="24"/>
          <w:shd w:val="clear" w:color="auto" w:fill="FFFFFF"/>
        </w:rPr>
        <w:t>dôchodkový vek osôb narodených v</w:t>
      </w:r>
      <w:r>
        <w:rPr>
          <w:rFonts w:ascii="Times New Roman" w:hAnsi="Times New Roman" w:cs="Times New Roman"/>
          <w:sz w:val="24"/>
          <w:szCs w:val="24"/>
          <w:shd w:val="clear" w:color="auto" w:fill="FFFFFF"/>
        </w:rPr>
        <w:t xml:space="preserve"> kalendárnom </w:t>
      </w:r>
      <w:r w:rsidRPr="004D4593">
        <w:rPr>
          <w:rFonts w:ascii="Times New Roman" w:hAnsi="Times New Roman" w:cs="Times New Roman"/>
          <w:sz w:val="24"/>
          <w:szCs w:val="24"/>
          <w:shd w:val="clear" w:color="auto" w:fill="FFFFFF"/>
        </w:rPr>
        <w:t>roku, ktorý bezprostredne predchádza príslušnému ročníku, zaokrúhlený na celé roky nadol.</w:t>
      </w:r>
    </w:p>
    <w:p w:rsidR="008B1817" w:rsidRPr="000B48B1" w:rsidRDefault="008B1817" w:rsidP="008B1817">
      <w:pPr>
        <w:pStyle w:val="Odsekzoznamu"/>
        <w:spacing w:after="0"/>
        <w:ind w:left="1713"/>
        <w:jc w:val="both"/>
        <w:rPr>
          <w:rFonts w:ascii="Times New Roman" w:hAnsi="Times New Roman"/>
        </w:rPr>
      </w:pPr>
    </w:p>
    <w:p w:rsidR="006C5856" w:rsidRDefault="006C5856" w:rsidP="008B1817">
      <w:pPr>
        <w:spacing w:after="0"/>
        <w:rPr>
          <w:rFonts w:ascii="Times New Roman" w:hAnsi="Times New Roman"/>
        </w:rPr>
      </w:pPr>
    </w:p>
    <w:p w:rsidR="008B1817" w:rsidRPr="006C6991" w:rsidRDefault="008B1817" w:rsidP="008B1817">
      <w:pPr>
        <w:spacing w:after="0"/>
        <w:rPr>
          <w:rFonts w:ascii="Times New Roman" w:hAnsi="Times New Roman"/>
        </w:rPr>
      </w:pPr>
      <w:r w:rsidRPr="006C6991">
        <w:rPr>
          <w:rFonts w:ascii="Times New Roman" w:hAnsi="Times New Roman"/>
        </w:rPr>
        <w:t>Ďalšie predpoklady použité v</w:t>
      </w:r>
      <w:r>
        <w:rPr>
          <w:rFonts w:ascii="Times New Roman" w:hAnsi="Times New Roman"/>
        </w:rPr>
        <w:t> </w:t>
      </w:r>
      <w:r w:rsidRPr="006C6991">
        <w:rPr>
          <w:rFonts w:ascii="Times New Roman" w:hAnsi="Times New Roman"/>
        </w:rPr>
        <w:t>prognóze</w:t>
      </w:r>
      <w:r>
        <w:rPr>
          <w:rFonts w:ascii="Times New Roman" w:hAnsi="Times New Roman"/>
        </w:rPr>
        <w:t xml:space="preserve"> výdavkov</w:t>
      </w:r>
      <w:r w:rsidRPr="006C6991">
        <w:rPr>
          <w:rFonts w:ascii="Times New Roman" w:hAnsi="Times New Roman"/>
        </w:rPr>
        <w:t xml:space="preserve">: </w:t>
      </w:r>
    </w:p>
    <w:p w:rsidR="008B1817" w:rsidRPr="006C6991" w:rsidRDefault="008B1817" w:rsidP="008B1817">
      <w:pPr>
        <w:pStyle w:val="Odsekzoznamu"/>
        <w:numPr>
          <w:ilvl w:val="0"/>
          <w:numId w:val="22"/>
        </w:numPr>
        <w:spacing w:after="0"/>
        <w:jc w:val="both"/>
        <w:rPr>
          <w:rFonts w:ascii="Times New Roman" w:hAnsi="Times New Roman" w:cs="Times New Roman"/>
        </w:rPr>
      </w:pPr>
      <w:r>
        <w:rPr>
          <w:rFonts w:ascii="Times New Roman" w:hAnsi="Times New Roman" w:cs="Times New Roman"/>
        </w:rPr>
        <w:t xml:space="preserve">Prvý ročník, ktorému sa začne upravovať dôchodkový vek podľa vzorca vyššie, je ročník osôb narodených v roku 1967, t. j jedná sa o osoby, ktoré v zásade začnú dochádzať do dôchodku až po roku 2030, kedy sa začne prejavovať aj pozitívny </w:t>
      </w:r>
      <w:r w:rsidR="000B5A21">
        <w:rPr>
          <w:rFonts w:ascii="Times New Roman" w:hAnsi="Times New Roman" w:cs="Times New Roman"/>
        </w:rPr>
        <w:t xml:space="preserve">finančný </w:t>
      </w:r>
      <w:r>
        <w:rPr>
          <w:rFonts w:ascii="Times New Roman" w:hAnsi="Times New Roman" w:cs="Times New Roman"/>
        </w:rPr>
        <w:t>vplyv na rozpočet verejnej správy.</w:t>
      </w:r>
      <w:r w:rsidRPr="006C6991">
        <w:rPr>
          <w:rFonts w:ascii="Times New Roman" w:hAnsi="Times New Roman" w:cs="Times New Roman"/>
        </w:rPr>
        <w:t xml:space="preserve"> </w:t>
      </w:r>
    </w:p>
    <w:p w:rsidR="008B1817" w:rsidRDefault="008B1817" w:rsidP="008B1817">
      <w:pPr>
        <w:pStyle w:val="Odsekzoznamu"/>
        <w:numPr>
          <w:ilvl w:val="0"/>
          <w:numId w:val="22"/>
        </w:numPr>
        <w:spacing w:after="0"/>
        <w:jc w:val="both"/>
        <w:rPr>
          <w:rFonts w:ascii="Times New Roman" w:hAnsi="Times New Roman" w:cs="Times New Roman"/>
        </w:rPr>
      </w:pPr>
      <w:r>
        <w:rPr>
          <w:rFonts w:ascii="Times New Roman" w:hAnsi="Times New Roman" w:cs="Times New Roman"/>
        </w:rPr>
        <w:t>Tzv. všeobecný d</w:t>
      </w:r>
      <w:r w:rsidRPr="006C6991">
        <w:rPr>
          <w:rFonts w:ascii="Times New Roman" w:hAnsi="Times New Roman" w:cs="Times New Roman"/>
        </w:rPr>
        <w:t xml:space="preserve">ôchodkový vek sa </w:t>
      </w:r>
      <w:r>
        <w:rPr>
          <w:rFonts w:ascii="Times New Roman" w:hAnsi="Times New Roman" w:cs="Times New Roman"/>
        </w:rPr>
        <w:t>bude znižovať v závislosti od počtu vychovaných detí, rovnako ako je tomu dnes, t. j. o 6, 12 alebo 18 mesiacov.</w:t>
      </w:r>
    </w:p>
    <w:p w:rsidR="008B1817" w:rsidRDefault="008B1817" w:rsidP="008B1817">
      <w:pPr>
        <w:pStyle w:val="Odsekzoznamu"/>
        <w:numPr>
          <w:ilvl w:val="0"/>
          <w:numId w:val="22"/>
        </w:numPr>
        <w:spacing w:after="0"/>
        <w:jc w:val="both"/>
        <w:rPr>
          <w:rFonts w:ascii="Times New Roman" w:hAnsi="Times New Roman" w:cs="Times New Roman"/>
        </w:rPr>
      </w:pPr>
      <w:r>
        <w:rPr>
          <w:rFonts w:ascii="Times New Roman" w:hAnsi="Times New Roman" w:cs="Times New Roman"/>
        </w:rPr>
        <w:t>MPSVR SR vydá opatrenie, ktorým určí dôchodkový vek pre osoby narodené v roku 1967 v roku 2026.</w:t>
      </w:r>
    </w:p>
    <w:p w:rsidR="008B1817" w:rsidRPr="00403BBB" w:rsidRDefault="008B1817" w:rsidP="008B1817">
      <w:pPr>
        <w:spacing w:after="0"/>
        <w:rPr>
          <w:rFonts w:ascii="Times New Roman" w:hAnsi="Times New Roman" w:cs="Times New Roman"/>
        </w:rPr>
      </w:pPr>
    </w:p>
    <w:p w:rsidR="008B1817" w:rsidRPr="006C6991" w:rsidRDefault="008B1817" w:rsidP="008B1817">
      <w:pPr>
        <w:pStyle w:val="Nadpis3"/>
        <w:spacing w:before="0"/>
        <w:jc w:val="both"/>
        <w:rPr>
          <w:rFonts w:ascii="Times New Roman" w:hAnsi="Times New Roman" w:cs="Times New Roman"/>
          <w:color w:val="auto"/>
          <w:sz w:val="22"/>
          <w:szCs w:val="22"/>
        </w:rPr>
      </w:pPr>
      <w:r w:rsidRPr="003179A9">
        <w:rPr>
          <w:rFonts w:ascii="Times New Roman" w:hAnsi="Times New Roman" w:cs="Times New Roman"/>
          <w:b/>
          <w:color w:val="auto"/>
          <w:sz w:val="22"/>
          <w:szCs w:val="22"/>
        </w:rPr>
        <w:t>Tabuľka 4A</w:t>
      </w:r>
      <w:r w:rsidRPr="006C6991">
        <w:rPr>
          <w:rFonts w:ascii="Times New Roman" w:hAnsi="Times New Roman" w:cs="Times New Roman"/>
          <w:color w:val="auto"/>
          <w:sz w:val="22"/>
          <w:szCs w:val="22"/>
        </w:rPr>
        <w:t xml:space="preserve">: Vplyv naviazania dôchodkového veku na strednú dĺžku života na výdavky dôchodkového systému </w:t>
      </w:r>
    </w:p>
    <w:tbl>
      <w:tblPr>
        <w:tblStyle w:val="Mriekatabuky"/>
        <w:tblW w:w="9222" w:type="dxa"/>
        <w:jc w:val="center"/>
        <w:tblLook w:val="04A0" w:firstRow="1" w:lastRow="0" w:firstColumn="1" w:lastColumn="0" w:noHBand="0" w:noVBand="1"/>
      </w:tblPr>
      <w:tblGrid>
        <w:gridCol w:w="1560"/>
        <w:gridCol w:w="616"/>
        <w:gridCol w:w="616"/>
        <w:gridCol w:w="616"/>
        <w:gridCol w:w="670"/>
        <w:gridCol w:w="670"/>
        <w:gridCol w:w="670"/>
        <w:gridCol w:w="670"/>
        <w:gridCol w:w="670"/>
        <w:gridCol w:w="616"/>
        <w:gridCol w:w="616"/>
        <w:gridCol w:w="616"/>
        <w:gridCol w:w="616"/>
      </w:tblGrid>
      <w:tr w:rsidR="008B1817" w:rsidRPr="006C6991" w:rsidTr="00457F53">
        <w:trPr>
          <w:trHeight w:val="300"/>
          <w:jc w:val="center"/>
        </w:trPr>
        <w:tc>
          <w:tcPr>
            <w:tcW w:w="1560" w:type="dxa"/>
            <w:shd w:val="clear" w:color="auto" w:fill="A6A6A6" w:themeFill="background1" w:themeFillShade="A6"/>
            <w:noWrap/>
            <w:hideMark/>
          </w:tcPr>
          <w:p w:rsidR="008B1817" w:rsidRPr="00457F53" w:rsidRDefault="008B1817" w:rsidP="008B1817">
            <w:pPr>
              <w:spacing w:after="0" w:line="240" w:lineRule="auto"/>
              <w:rPr>
                <w:rFonts w:ascii="Arial Narrow" w:hAnsi="Arial Narrow"/>
                <w:b/>
                <w:color w:val="000000"/>
                <w:sz w:val="20"/>
                <w:szCs w:val="20"/>
                <w:lang w:eastAsia="sk-SK"/>
              </w:rPr>
            </w:pPr>
            <w:r w:rsidRPr="00457F53">
              <w:rPr>
                <w:rFonts w:ascii="Arial Narrow" w:hAnsi="Arial Narrow"/>
                <w:b/>
                <w:color w:val="000000"/>
                <w:sz w:val="20"/>
                <w:szCs w:val="20"/>
                <w:lang w:eastAsia="sk-SK"/>
              </w:rPr>
              <w:t> </w:t>
            </w:r>
          </w:p>
        </w:tc>
        <w:tc>
          <w:tcPr>
            <w:tcW w:w="616"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2023</w:t>
            </w:r>
          </w:p>
        </w:tc>
        <w:tc>
          <w:tcPr>
            <w:tcW w:w="616"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2024</w:t>
            </w:r>
          </w:p>
        </w:tc>
        <w:tc>
          <w:tcPr>
            <w:tcW w:w="616"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2025</w:t>
            </w:r>
          </w:p>
        </w:tc>
        <w:tc>
          <w:tcPr>
            <w:tcW w:w="670"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2030</w:t>
            </w:r>
          </w:p>
        </w:tc>
        <w:tc>
          <w:tcPr>
            <w:tcW w:w="670"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2035</w:t>
            </w:r>
          </w:p>
        </w:tc>
        <w:tc>
          <w:tcPr>
            <w:tcW w:w="670"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2040</w:t>
            </w:r>
          </w:p>
        </w:tc>
        <w:tc>
          <w:tcPr>
            <w:tcW w:w="670"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2045</w:t>
            </w:r>
          </w:p>
        </w:tc>
        <w:tc>
          <w:tcPr>
            <w:tcW w:w="670" w:type="dxa"/>
            <w:shd w:val="clear" w:color="auto" w:fill="A6A6A6" w:themeFill="background1" w:themeFillShade="A6"/>
            <w:noWrap/>
            <w:hideMark/>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2050</w:t>
            </w:r>
          </w:p>
        </w:tc>
        <w:tc>
          <w:tcPr>
            <w:tcW w:w="616" w:type="dxa"/>
            <w:shd w:val="clear" w:color="auto" w:fill="A6A6A6" w:themeFill="background1" w:themeFillShade="A6"/>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2055</w:t>
            </w:r>
          </w:p>
        </w:tc>
        <w:tc>
          <w:tcPr>
            <w:tcW w:w="616" w:type="dxa"/>
            <w:shd w:val="clear" w:color="auto" w:fill="A6A6A6" w:themeFill="background1" w:themeFillShade="A6"/>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2060</w:t>
            </w:r>
          </w:p>
        </w:tc>
        <w:tc>
          <w:tcPr>
            <w:tcW w:w="616" w:type="dxa"/>
            <w:shd w:val="clear" w:color="auto" w:fill="A6A6A6" w:themeFill="background1" w:themeFillShade="A6"/>
          </w:tcPr>
          <w:p w:rsidR="008B1817" w:rsidRPr="00457F53" w:rsidRDefault="008B1817" w:rsidP="008B1817">
            <w:pPr>
              <w:spacing w:after="0" w:line="240" w:lineRule="auto"/>
              <w:jc w:val="right"/>
              <w:rPr>
                <w:rFonts w:ascii="Arial Narrow" w:hAnsi="Arial Narrow"/>
                <w:b/>
                <w:color w:val="000000"/>
                <w:sz w:val="20"/>
                <w:szCs w:val="20"/>
                <w:lang w:eastAsia="sk-SK"/>
              </w:rPr>
            </w:pPr>
            <w:r w:rsidRPr="00457F53">
              <w:rPr>
                <w:rFonts w:ascii="Arial Narrow" w:hAnsi="Arial Narrow"/>
                <w:b/>
                <w:color w:val="000000"/>
                <w:sz w:val="20"/>
                <w:szCs w:val="20"/>
                <w:lang w:eastAsia="sk-SK"/>
              </w:rPr>
              <w:t>2065</w:t>
            </w:r>
          </w:p>
        </w:tc>
        <w:tc>
          <w:tcPr>
            <w:tcW w:w="616" w:type="dxa"/>
            <w:shd w:val="clear" w:color="auto" w:fill="A6A6A6" w:themeFill="background1" w:themeFillShade="A6"/>
          </w:tcPr>
          <w:p w:rsidR="008B1817" w:rsidRPr="00457F53" w:rsidRDefault="008B1817" w:rsidP="008B1817">
            <w:pPr>
              <w:spacing w:after="0" w:line="240" w:lineRule="auto"/>
              <w:rPr>
                <w:rFonts w:ascii="Arial Narrow" w:hAnsi="Arial Narrow"/>
                <w:b/>
                <w:color w:val="000000"/>
                <w:sz w:val="20"/>
                <w:szCs w:val="20"/>
                <w:lang w:eastAsia="sk-SK"/>
              </w:rPr>
            </w:pPr>
            <w:r w:rsidRPr="00457F53">
              <w:rPr>
                <w:rFonts w:ascii="Arial Narrow" w:hAnsi="Arial Narrow"/>
                <w:b/>
                <w:color w:val="000000"/>
                <w:sz w:val="20"/>
                <w:szCs w:val="20"/>
                <w:lang w:eastAsia="sk-SK"/>
              </w:rPr>
              <w:t>2070</w:t>
            </w:r>
          </w:p>
        </w:tc>
      </w:tr>
      <w:tr w:rsidR="0005673A" w:rsidRPr="006C6991" w:rsidTr="009D65FA">
        <w:trPr>
          <w:trHeight w:val="300"/>
          <w:jc w:val="center"/>
        </w:trPr>
        <w:tc>
          <w:tcPr>
            <w:tcW w:w="1560" w:type="dxa"/>
            <w:noWrap/>
            <w:vAlign w:val="bottom"/>
            <w:hideMark/>
          </w:tcPr>
          <w:p w:rsidR="0005673A" w:rsidRPr="00457F53" w:rsidRDefault="0005673A" w:rsidP="0005673A">
            <w:pPr>
              <w:spacing w:after="0" w:line="240" w:lineRule="auto"/>
              <w:jc w:val="center"/>
              <w:rPr>
                <w:rFonts w:ascii="Arial Narrow" w:hAnsi="Arial Narrow" w:cs="Times New Roman"/>
                <w:bCs/>
                <w:color w:val="000000"/>
                <w:sz w:val="20"/>
                <w:szCs w:val="20"/>
                <w:lang w:eastAsia="sk-SK"/>
              </w:rPr>
            </w:pPr>
            <w:r w:rsidRPr="00457F53">
              <w:rPr>
                <w:rFonts w:ascii="Arial Narrow" w:hAnsi="Arial Narrow" w:cs="Times New Roman"/>
                <w:bCs/>
                <w:color w:val="000000"/>
                <w:sz w:val="20"/>
                <w:szCs w:val="20"/>
                <w:lang w:eastAsia="sk-SK"/>
              </w:rPr>
              <w:t>Vplyv na bilanciu v p. b. HDP</w:t>
            </w:r>
          </w:p>
        </w:tc>
        <w:tc>
          <w:tcPr>
            <w:tcW w:w="616"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0,0</w:t>
            </w:r>
          </w:p>
        </w:tc>
        <w:tc>
          <w:tcPr>
            <w:tcW w:w="616"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0,0</w:t>
            </w:r>
          </w:p>
        </w:tc>
        <w:tc>
          <w:tcPr>
            <w:tcW w:w="616"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0,0</w:t>
            </w:r>
          </w:p>
        </w:tc>
        <w:tc>
          <w:tcPr>
            <w:tcW w:w="670"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0,0</w:t>
            </w:r>
          </w:p>
        </w:tc>
        <w:tc>
          <w:tcPr>
            <w:tcW w:w="670"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-0,3</w:t>
            </w:r>
          </w:p>
        </w:tc>
        <w:tc>
          <w:tcPr>
            <w:tcW w:w="670"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-0,8</w:t>
            </w:r>
          </w:p>
        </w:tc>
        <w:tc>
          <w:tcPr>
            <w:tcW w:w="670"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-1,1</w:t>
            </w:r>
          </w:p>
        </w:tc>
        <w:tc>
          <w:tcPr>
            <w:tcW w:w="670" w:type="dxa"/>
            <w:noWrap/>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-1,5</w:t>
            </w:r>
          </w:p>
        </w:tc>
        <w:tc>
          <w:tcPr>
            <w:tcW w:w="616" w:type="dxa"/>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-1,8</w:t>
            </w:r>
          </w:p>
        </w:tc>
        <w:tc>
          <w:tcPr>
            <w:tcW w:w="616" w:type="dxa"/>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-1,9</w:t>
            </w:r>
          </w:p>
        </w:tc>
        <w:tc>
          <w:tcPr>
            <w:tcW w:w="616" w:type="dxa"/>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-1,8</w:t>
            </w:r>
          </w:p>
        </w:tc>
        <w:tc>
          <w:tcPr>
            <w:tcW w:w="616" w:type="dxa"/>
            <w:vAlign w:val="center"/>
          </w:tcPr>
          <w:p w:rsidR="0005673A" w:rsidRPr="00457F53" w:rsidRDefault="0005673A" w:rsidP="008F09E9">
            <w:pPr>
              <w:spacing w:after="0" w:line="240" w:lineRule="auto"/>
              <w:jc w:val="center"/>
              <w:rPr>
                <w:rFonts w:ascii="Arial Narrow" w:hAnsi="Arial Narrow" w:cs="Times New Roman"/>
                <w:sz w:val="20"/>
                <w:szCs w:val="20"/>
              </w:rPr>
            </w:pPr>
            <w:r w:rsidRPr="00457F53">
              <w:rPr>
                <w:rFonts w:ascii="Arial Narrow" w:hAnsi="Arial Narrow" w:cs="Times New Roman"/>
                <w:sz w:val="20"/>
                <w:szCs w:val="20"/>
              </w:rPr>
              <w:t>-2,0</w:t>
            </w:r>
          </w:p>
        </w:tc>
      </w:tr>
    </w:tbl>
    <w:p w:rsidR="008B1817" w:rsidRPr="00CA3860" w:rsidRDefault="008B1817" w:rsidP="008B1817">
      <w:pPr>
        <w:spacing w:after="0"/>
        <w:rPr>
          <w:rFonts w:ascii="Times New Roman" w:hAnsi="Times New Roman"/>
          <w:sz w:val="20"/>
          <w:szCs w:val="20"/>
        </w:rPr>
      </w:pPr>
      <w:r>
        <w:rPr>
          <w:rFonts w:ascii="Times New Roman" w:hAnsi="Times New Roman"/>
          <w:sz w:val="20"/>
          <w:szCs w:val="20"/>
        </w:rPr>
        <w:t>Zdroj: MPSVR SR</w:t>
      </w:r>
      <w:r w:rsidRPr="00CA3860">
        <w:rPr>
          <w:rFonts w:ascii="Times New Roman" w:hAnsi="Times New Roman"/>
          <w:sz w:val="20"/>
          <w:szCs w:val="20"/>
        </w:rPr>
        <w:t>; (-) záporná hodnota predstavuje úsporu</w:t>
      </w:r>
    </w:p>
    <w:p w:rsidR="00681724" w:rsidRDefault="00681724" w:rsidP="00C135B2">
      <w:pPr>
        <w:spacing w:after="0" w:line="240" w:lineRule="auto"/>
        <w:jc w:val="both"/>
        <w:rPr>
          <w:rFonts w:ascii="Times New Roman" w:eastAsia="Times New Roman" w:hAnsi="Times New Roman" w:cs="Times New Roman"/>
          <w:b/>
          <w:bCs/>
          <w:lang w:eastAsia="sk-SK"/>
        </w:rPr>
      </w:pPr>
    </w:p>
    <w:p w:rsidR="00C135B2" w:rsidRDefault="00C135B2" w:rsidP="00C135B2">
      <w:pPr>
        <w:spacing w:after="0" w:line="240" w:lineRule="auto"/>
        <w:jc w:val="both"/>
        <w:rPr>
          <w:rFonts w:ascii="Times New Roman" w:eastAsia="Times New Roman" w:hAnsi="Times New Roman" w:cs="Times New Roman"/>
          <w:b/>
          <w:bCs/>
          <w:lang w:eastAsia="sk-SK"/>
        </w:rPr>
      </w:pPr>
      <w:r w:rsidRPr="00C135B2">
        <w:rPr>
          <w:rFonts w:ascii="Times New Roman" w:eastAsia="Times New Roman" w:hAnsi="Times New Roman" w:cs="Times New Roman"/>
          <w:b/>
          <w:bCs/>
          <w:lang w:eastAsia="sk-SK"/>
        </w:rPr>
        <w:t>B</w:t>
      </w:r>
      <w:r w:rsidRPr="00481E3B">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O</w:t>
      </w:r>
      <w:r w:rsidRPr="00C135B2">
        <w:rPr>
          <w:rFonts w:ascii="Times New Roman" w:eastAsia="Times New Roman" w:hAnsi="Times New Roman" w:cs="Times New Roman"/>
          <w:b/>
          <w:bCs/>
          <w:lang w:eastAsia="sk-SK"/>
        </w:rPr>
        <w:t>dchod do dôchodku za 40 odpracovaných rokov</w:t>
      </w:r>
    </w:p>
    <w:p w:rsidR="00C135B2" w:rsidRDefault="00C135B2" w:rsidP="00C135B2">
      <w:pPr>
        <w:spacing w:after="0" w:line="240" w:lineRule="auto"/>
        <w:jc w:val="both"/>
        <w:rPr>
          <w:rFonts w:ascii="Times New Roman" w:eastAsia="Times New Roman" w:hAnsi="Times New Roman" w:cs="Times New Roman"/>
          <w:b/>
          <w:sz w:val="24"/>
          <w:szCs w:val="24"/>
          <w:lang w:eastAsia="sk-SK"/>
        </w:rPr>
      </w:pPr>
    </w:p>
    <w:p w:rsidR="00C135B2" w:rsidRDefault="00C135B2" w:rsidP="005C5C14">
      <w:pPr>
        <w:spacing w:after="0" w:line="264" w:lineRule="auto"/>
        <w:ind w:firstLine="709"/>
        <w:jc w:val="both"/>
        <w:rPr>
          <w:rFonts w:ascii="Times New Roman" w:hAnsi="Times New Roman"/>
        </w:rPr>
      </w:pPr>
      <w:r w:rsidRPr="00A86166">
        <w:rPr>
          <w:rFonts w:ascii="Times New Roman" w:hAnsi="Times New Roman"/>
        </w:rPr>
        <w:t>V tomto prípade možno predpokladať časový posun v realizovaných výdavkoch, pričom ale v dôsledku princípu aktuárnej neut</w:t>
      </w:r>
      <w:r>
        <w:rPr>
          <w:rFonts w:ascii="Times New Roman" w:hAnsi="Times New Roman"/>
        </w:rPr>
        <w:t xml:space="preserve">rality nebude mať uvedené opatrenie </w:t>
      </w:r>
      <w:r w:rsidRPr="00A86166">
        <w:rPr>
          <w:rFonts w:ascii="Times New Roman" w:hAnsi="Times New Roman"/>
        </w:rPr>
        <w:t>vplyv na celkový objem výdavkov na dôchodky a dlhodobú udržateľnosť dôchodkového systému.</w:t>
      </w:r>
      <w:r>
        <w:rPr>
          <w:rFonts w:ascii="Times New Roman" w:hAnsi="Times New Roman"/>
        </w:rPr>
        <w:t xml:space="preserve"> V rámci časového posunu realizovaných výdavkov predpokladáme v roku 2023 skorší </w:t>
      </w:r>
      <w:r w:rsidR="00DF2A1E">
        <w:rPr>
          <w:rFonts w:ascii="Times New Roman" w:hAnsi="Times New Roman"/>
        </w:rPr>
        <w:t>odchod do dôchodku približne 3 3</w:t>
      </w:r>
      <w:r>
        <w:rPr>
          <w:rFonts w:ascii="Times New Roman" w:hAnsi="Times New Roman"/>
        </w:rPr>
        <w:t>00 poistencov  a v</w:t>
      </w:r>
      <w:r w:rsidR="00681724">
        <w:rPr>
          <w:rFonts w:ascii="Times New Roman" w:hAnsi="Times New Roman"/>
        </w:rPr>
        <w:t> </w:t>
      </w:r>
      <w:r>
        <w:rPr>
          <w:rFonts w:ascii="Times New Roman" w:hAnsi="Times New Roman"/>
        </w:rPr>
        <w:t>rok</w:t>
      </w:r>
      <w:r w:rsidR="00681724">
        <w:rPr>
          <w:rFonts w:ascii="Times New Roman" w:hAnsi="Times New Roman"/>
        </w:rPr>
        <w:t xml:space="preserve">och </w:t>
      </w:r>
      <w:r w:rsidR="00DF2A1E">
        <w:rPr>
          <w:rFonts w:ascii="Times New Roman" w:hAnsi="Times New Roman"/>
        </w:rPr>
        <w:t>2024</w:t>
      </w:r>
      <w:r w:rsidR="00681724">
        <w:rPr>
          <w:rFonts w:ascii="Times New Roman" w:hAnsi="Times New Roman"/>
        </w:rPr>
        <w:t xml:space="preserve"> a 2025</w:t>
      </w:r>
      <w:r w:rsidR="00DF2A1E">
        <w:rPr>
          <w:rFonts w:ascii="Times New Roman" w:hAnsi="Times New Roman"/>
        </w:rPr>
        <w:t xml:space="preserve"> skorší odchod približne 3 7</w:t>
      </w:r>
      <w:r>
        <w:rPr>
          <w:rFonts w:ascii="Times New Roman" w:hAnsi="Times New Roman"/>
        </w:rPr>
        <w:t>00 poistencov, čo bude znamenať zvýšenie výdavkov Sociálnej poisťovne v roku 2023 o približne 1</w:t>
      </w:r>
      <w:r w:rsidR="00681724">
        <w:rPr>
          <w:rFonts w:ascii="Times New Roman" w:hAnsi="Times New Roman"/>
        </w:rPr>
        <w:t>4,0</w:t>
      </w:r>
      <w:r>
        <w:rPr>
          <w:rFonts w:ascii="Times New Roman" w:hAnsi="Times New Roman"/>
        </w:rPr>
        <w:t xml:space="preserve"> mil.</w:t>
      </w:r>
      <w:r w:rsidR="00DF2A1E">
        <w:rPr>
          <w:rFonts w:ascii="Times New Roman" w:hAnsi="Times New Roman"/>
        </w:rPr>
        <w:t xml:space="preserve"> eur</w:t>
      </w:r>
      <w:r w:rsidR="00681724">
        <w:rPr>
          <w:rFonts w:ascii="Times New Roman" w:hAnsi="Times New Roman"/>
        </w:rPr>
        <w:t>,</w:t>
      </w:r>
      <w:r w:rsidR="00DF2A1E">
        <w:rPr>
          <w:rFonts w:ascii="Times New Roman" w:hAnsi="Times New Roman"/>
        </w:rPr>
        <w:t xml:space="preserve"> v roku 2024 o približne </w:t>
      </w:r>
      <w:r w:rsidR="00AD0445">
        <w:rPr>
          <w:rFonts w:ascii="Times New Roman" w:hAnsi="Times New Roman"/>
        </w:rPr>
        <w:t>4</w:t>
      </w:r>
      <w:r w:rsidR="00681724">
        <w:rPr>
          <w:rFonts w:ascii="Times New Roman" w:hAnsi="Times New Roman"/>
        </w:rPr>
        <w:t>4</w:t>
      </w:r>
      <w:r w:rsidR="00AD0445">
        <w:rPr>
          <w:rFonts w:ascii="Times New Roman" w:hAnsi="Times New Roman"/>
        </w:rPr>
        <w:t>,6</w:t>
      </w:r>
      <w:r>
        <w:rPr>
          <w:rFonts w:ascii="Times New Roman" w:hAnsi="Times New Roman"/>
        </w:rPr>
        <w:t xml:space="preserve"> mil. eur</w:t>
      </w:r>
      <w:r w:rsidR="00681724">
        <w:rPr>
          <w:rFonts w:ascii="Times New Roman" w:hAnsi="Times New Roman"/>
        </w:rPr>
        <w:t xml:space="preserve"> a v roku 2025 o približne 67,2 mil. eur</w:t>
      </w:r>
      <w:r>
        <w:rPr>
          <w:rFonts w:ascii="Times New Roman" w:hAnsi="Times New Roman"/>
        </w:rPr>
        <w:t xml:space="preserve">. </w:t>
      </w:r>
      <w:r w:rsidR="00C95FEE">
        <w:rPr>
          <w:rFonts w:ascii="Times New Roman" w:hAnsi="Times New Roman"/>
        </w:rPr>
        <w:t>S</w:t>
      </w:r>
      <w:r w:rsidR="00821D5F">
        <w:rPr>
          <w:rFonts w:ascii="Times New Roman" w:hAnsi="Times New Roman"/>
        </w:rPr>
        <w:t>um</w:t>
      </w:r>
      <w:r w:rsidR="00AD0445">
        <w:rPr>
          <w:rFonts w:ascii="Times New Roman" w:hAnsi="Times New Roman"/>
        </w:rPr>
        <w:t>u</w:t>
      </w:r>
      <w:r w:rsidR="00821D5F">
        <w:rPr>
          <w:rFonts w:ascii="Times New Roman" w:hAnsi="Times New Roman"/>
        </w:rPr>
        <w:t xml:space="preserve"> </w:t>
      </w:r>
      <w:r w:rsidR="00120CF4">
        <w:rPr>
          <w:rFonts w:ascii="Times New Roman" w:hAnsi="Times New Roman"/>
        </w:rPr>
        <w:t xml:space="preserve">predčasného </w:t>
      </w:r>
      <w:r w:rsidR="00821D5F">
        <w:rPr>
          <w:rFonts w:ascii="Times New Roman" w:hAnsi="Times New Roman"/>
        </w:rPr>
        <w:t xml:space="preserve">starobného dôchodku, za skorší odchod </w:t>
      </w:r>
      <w:r w:rsidR="00AD0445">
        <w:rPr>
          <w:rFonts w:ascii="Times New Roman" w:hAnsi="Times New Roman"/>
        </w:rPr>
        <w:t>sa navrhuje krátiť</w:t>
      </w:r>
      <w:r w:rsidR="00821D5F">
        <w:rPr>
          <w:rFonts w:ascii="Times New Roman" w:hAnsi="Times New Roman"/>
        </w:rPr>
        <w:t xml:space="preserve"> o 0,</w:t>
      </w:r>
      <w:r w:rsidR="00AD0445">
        <w:rPr>
          <w:rFonts w:ascii="Times New Roman" w:hAnsi="Times New Roman"/>
        </w:rPr>
        <w:t>3</w:t>
      </w:r>
      <w:r w:rsidR="00821D5F">
        <w:rPr>
          <w:rFonts w:ascii="Times New Roman" w:hAnsi="Times New Roman"/>
        </w:rPr>
        <w:t xml:space="preserve"> % za každých začatých 30 dní skoršieho poberania dôchodku pred dovŕšením dôchodkového veku</w:t>
      </w:r>
      <w:r w:rsidR="00762E6A">
        <w:rPr>
          <w:rFonts w:ascii="Times New Roman" w:hAnsi="Times New Roman"/>
        </w:rPr>
        <w:t xml:space="preserve">, t. j. </w:t>
      </w:r>
      <w:r w:rsidR="00762E6A" w:rsidRPr="00762E6A">
        <w:rPr>
          <w:rFonts w:ascii="Times New Roman" w:hAnsi="Times New Roman"/>
        </w:rPr>
        <w:t>aby dve osoby s rovnakým POMB, rovnako dlhým obdobím dôchodkového poistenia, ktoré odchádzajú do dôchodku v rovnakom roku, pričom jedna osoba odchádza dňom dovŕšenia dôchodkového veku a druhá osoba odchádza napríklad dva roky pred dovŕšením dôchodkového veku mali vyplatenú približne rovnakú sumu dôchodkov na základe strednej dĺžky života v príslušných vekoch</w:t>
      </w:r>
      <w:r w:rsidR="00762E6A">
        <w:rPr>
          <w:rFonts w:ascii="Times New Roman" w:hAnsi="Times New Roman"/>
        </w:rPr>
        <w:t>.</w:t>
      </w:r>
    </w:p>
    <w:p w:rsidR="00681724" w:rsidRDefault="00681724" w:rsidP="005C5C14">
      <w:pPr>
        <w:spacing w:after="0" w:line="264" w:lineRule="auto"/>
        <w:ind w:firstLine="709"/>
        <w:jc w:val="both"/>
        <w:rPr>
          <w:rFonts w:ascii="Times New Roman" w:hAnsi="Times New Roman"/>
        </w:rPr>
      </w:pPr>
      <w:r>
        <w:rPr>
          <w:rFonts w:ascii="Times New Roman" w:hAnsi="Times New Roman"/>
        </w:rPr>
        <w:t>V tejto súvislosti sa navrhuje u dôchodcov, ktorí splnili podmienku 40 odpracovaných rokov postupné prepočítanie ich vypláca</w:t>
      </w:r>
      <w:r w:rsidR="00B5285F">
        <w:rPr>
          <w:rFonts w:ascii="Times New Roman" w:hAnsi="Times New Roman"/>
        </w:rPr>
        <w:t>ných</w:t>
      </w:r>
      <w:r w:rsidR="009D65FA">
        <w:rPr>
          <w:rFonts w:ascii="Times New Roman" w:hAnsi="Times New Roman"/>
        </w:rPr>
        <w:t xml:space="preserve"> predčasných starobných dôchodkov, resp.</w:t>
      </w:r>
      <w:r w:rsidR="00B5285F">
        <w:rPr>
          <w:rFonts w:ascii="Times New Roman" w:hAnsi="Times New Roman"/>
        </w:rPr>
        <w:t xml:space="preserve"> starobných dôchodkov s aktuárne neutrálnym krátením o 0,3 % za každých začatých 30 dní skoršieho poberania dôchodku za predpokladu, že tieto dôchodky</w:t>
      </w:r>
      <w:r>
        <w:rPr>
          <w:rFonts w:ascii="Times New Roman" w:hAnsi="Times New Roman"/>
        </w:rPr>
        <w:t xml:space="preserve"> boli pôvodne priznané ako </w:t>
      </w:r>
      <w:r>
        <w:rPr>
          <w:rFonts w:ascii="Times New Roman" w:hAnsi="Times New Roman"/>
        </w:rPr>
        <w:lastRenderedPageBreak/>
        <w:t xml:space="preserve">predčasné starobné dôchodky. </w:t>
      </w:r>
      <w:r w:rsidR="0005673A">
        <w:rPr>
          <w:rFonts w:ascii="Times New Roman" w:hAnsi="Times New Roman"/>
        </w:rPr>
        <w:t>P</w:t>
      </w:r>
      <w:r w:rsidR="00B5285F">
        <w:rPr>
          <w:rFonts w:ascii="Times New Roman" w:hAnsi="Times New Roman"/>
        </w:rPr>
        <w:t xml:space="preserve">repočet vyplácaných starobných dôchodkov pôvodne priznaných ako predčasné starobné dôchodky </w:t>
      </w:r>
      <w:r w:rsidR="0022078E">
        <w:rPr>
          <w:rFonts w:ascii="Times New Roman" w:hAnsi="Times New Roman"/>
        </w:rPr>
        <w:t xml:space="preserve">z dôvodu zmeny krátenia v čase </w:t>
      </w:r>
      <w:r w:rsidR="00B5285F">
        <w:rPr>
          <w:rFonts w:ascii="Times New Roman" w:hAnsi="Times New Roman"/>
        </w:rPr>
        <w:t xml:space="preserve">bude znamenať zvýšenie výdavkov Sociálnej poisťovne o približne </w:t>
      </w:r>
      <w:r w:rsidR="00C06246">
        <w:rPr>
          <w:rFonts w:ascii="Times New Roman" w:hAnsi="Times New Roman"/>
        </w:rPr>
        <w:t>11,0 mil. eur v roku 2023, o približne 33,2 mil. eur v roku 2024 a o približne 54,6 mil. eur v roku 2025. Nerovnomerné rozdelenie výdavkov vychádza z predpokladu, že ročne Sociálna poisťovňa prepočíta približne 1/3 dôchodcov z cieľovej skupiny. V</w:t>
      </w:r>
      <w:r w:rsidR="009D65FA">
        <w:rPr>
          <w:rFonts w:ascii="Times New Roman" w:hAnsi="Times New Roman"/>
        </w:rPr>
        <w:t> </w:t>
      </w:r>
      <w:r w:rsidR="00C06246">
        <w:rPr>
          <w:rFonts w:ascii="Times New Roman" w:hAnsi="Times New Roman"/>
        </w:rPr>
        <w:t>prípade</w:t>
      </w:r>
      <w:r w:rsidR="009D65FA">
        <w:rPr>
          <w:rFonts w:ascii="Times New Roman" w:hAnsi="Times New Roman"/>
        </w:rPr>
        <w:t>,</w:t>
      </w:r>
      <w:r w:rsidR="00C76310">
        <w:rPr>
          <w:rFonts w:ascii="Times New Roman" w:hAnsi="Times New Roman"/>
        </w:rPr>
        <w:t xml:space="preserve"> </w:t>
      </w:r>
      <w:r w:rsidR="00C06246">
        <w:rPr>
          <w:rFonts w:ascii="Times New Roman" w:hAnsi="Times New Roman"/>
        </w:rPr>
        <w:t xml:space="preserve">ak by </w:t>
      </w:r>
      <w:r w:rsidR="00C76310">
        <w:rPr>
          <w:rFonts w:ascii="Times New Roman" w:hAnsi="Times New Roman"/>
        </w:rPr>
        <w:t xml:space="preserve">sa prepočítaná suma dôchodku s novým krátením </w:t>
      </w:r>
      <w:r w:rsidR="00C06246">
        <w:rPr>
          <w:rFonts w:ascii="Times New Roman" w:hAnsi="Times New Roman"/>
        </w:rPr>
        <w:t xml:space="preserve">všetkým poistencom </w:t>
      </w:r>
      <w:r w:rsidR="00C76310">
        <w:rPr>
          <w:rFonts w:ascii="Times New Roman" w:hAnsi="Times New Roman"/>
        </w:rPr>
        <w:t xml:space="preserve">začala vyplácať </w:t>
      </w:r>
      <w:r w:rsidR="00C06246">
        <w:rPr>
          <w:rFonts w:ascii="Times New Roman" w:hAnsi="Times New Roman"/>
        </w:rPr>
        <w:t xml:space="preserve">automaticky v januári </w:t>
      </w:r>
      <w:r w:rsidR="00C76310">
        <w:rPr>
          <w:rFonts w:ascii="Times New Roman" w:hAnsi="Times New Roman"/>
        </w:rPr>
        <w:t>2023</w:t>
      </w:r>
      <w:r w:rsidR="0075778A">
        <w:rPr>
          <w:rFonts w:ascii="Times New Roman" w:hAnsi="Times New Roman"/>
        </w:rPr>
        <w:t xml:space="preserve"> (bez potreby 3</w:t>
      </w:r>
      <w:r w:rsidR="00944DE5">
        <w:rPr>
          <w:rFonts w:ascii="Times New Roman" w:hAnsi="Times New Roman"/>
        </w:rPr>
        <w:t>,</w:t>
      </w:r>
      <w:r w:rsidR="0075778A">
        <w:rPr>
          <w:rFonts w:ascii="Times New Roman" w:hAnsi="Times New Roman"/>
        </w:rPr>
        <w:t xml:space="preserve"> resp. 4 ročného prepočítavania)</w:t>
      </w:r>
      <w:r w:rsidR="00C76310">
        <w:rPr>
          <w:rFonts w:ascii="Times New Roman" w:hAnsi="Times New Roman"/>
        </w:rPr>
        <w:t xml:space="preserve">, predpokladané </w:t>
      </w:r>
      <w:r w:rsidR="00C06246">
        <w:rPr>
          <w:rFonts w:ascii="Times New Roman" w:hAnsi="Times New Roman"/>
        </w:rPr>
        <w:t xml:space="preserve">ročné zvýšené výdavky odhaduje MPSVR SR na úrovni približne 33 mil. eur. </w:t>
      </w:r>
      <w:r w:rsidR="00B5285F">
        <w:rPr>
          <w:rFonts w:ascii="Times New Roman" w:hAnsi="Times New Roman"/>
        </w:rPr>
        <w:t xml:space="preserve"> </w:t>
      </w:r>
    </w:p>
    <w:p w:rsidR="009C11D6" w:rsidRDefault="009C11D6" w:rsidP="00C135B2">
      <w:pPr>
        <w:spacing w:after="0" w:line="240" w:lineRule="auto"/>
        <w:jc w:val="both"/>
        <w:rPr>
          <w:rFonts w:ascii="Times New Roman" w:eastAsia="Times New Roman" w:hAnsi="Times New Roman" w:cs="Times New Roman"/>
          <w:b/>
          <w:sz w:val="24"/>
          <w:szCs w:val="24"/>
          <w:lang w:eastAsia="sk-SK"/>
        </w:rPr>
      </w:pPr>
    </w:p>
    <w:p w:rsidR="00B4169F" w:rsidRPr="00B94369" w:rsidRDefault="00B4169F" w:rsidP="00B4169F">
      <w:pPr>
        <w:tabs>
          <w:tab w:val="num" w:pos="1080"/>
        </w:tabs>
        <w:spacing w:after="0" w:line="240" w:lineRule="auto"/>
        <w:jc w:val="both"/>
        <w:rPr>
          <w:rFonts w:ascii="Times New Roman" w:eastAsia="Times New Roman" w:hAnsi="Times New Roman" w:cs="Times New Roman"/>
          <w:b/>
          <w:bCs/>
          <w:szCs w:val="20"/>
          <w:lang w:eastAsia="sk-SK"/>
        </w:rPr>
      </w:pPr>
      <w:r w:rsidRPr="00C77987">
        <w:rPr>
          <w:rFonts w:ascii="Times New Roman" w:eastAsia="Times New Roman" w:hAnsi="Times New Roman" w:cs="Times New Roman"/>
          <w:b/>
          <w:bCs/>
          <w:sz w:val="24"/>
          <w:szCs w:val="20"/>
          <w:lang w:eastAsia="sk-SK"/>
        </w:rPr>
        <w:t xml:space="preserve">C) </w:t>
      </w:r>
      <w:r w:rsidRPr="00B94369">
        <w:rPr>
          <w:rFonts w:ascii="Times New Roman" w:eastAsia="Times New Roman" w:hAnsi="Times New Roman" w:cs="Times New Roman"/>
          <w:b/>
          <w:bCs/>
          <w:szCs w:val="20"/>
          <w:lang w:eastAsia="sk-SK"/>
        </w:rPr>
        <w:t>Asignácia odvodov</w:t>
      </w:r>
      <w:r>
        <w:rPr>
          <w:rFonts w:ascii="Times New Roman" w:eastAsia="Times New Roman" w:hAnsi="Times New Roman" w:cs="Times New Roman"/>
          <w:b/>
          <w:bCs/>
          <w:szCs w:val="20"/>
          <w:lang w:eastAsia="sk-SK"/>
        </w:rPr>
        <w:t xml:space="preserve"> – zavedenie rodičovského dôchodku</w:t>
      </w:r>
      <w:r w:rsidRPr="00B94369">
        <w:rPr>
          <w:rFonts w:ascii="Times New Roman" w:eastAsia="Times New Roman" w:hAnsi="Times New Roman" w:cs="Times New Roman"/>
          <w:b/>
          <w:bCs/>
          <w:szCs w:val="20"/>
          <w:lang w:eastAsia="sk-SK"/>
        </w:rPr>
        <w:t xml:space="preserve"> </w:t>
      </w:r>
    </w:p>
    <w:p w:rsidR="00B4169F" w:rsidRPr="00B94369" w:rsidRDefault="00B4169F" w:rsidP="00B4169F">
      <w:pPr>
        <w:spacing w:after="0" w:line="240" w:lineRule="auto"/>
        <w:ind w:firstLine="708"/>
        <w:jc w:val="both"/>
        <w:rPr>
          <w:rFonts w:ascii="Times New Roman" w:eastAsia="Times New Roman" w:hAnsi="Times New Roman" w:cs="Times New Roman"/>
          <w:szCs w:val="24"/>
          <w:lang w:eastAsia="sk-SK"/>
        </w:rPr>
      </w:pPr>
    </w:p>
    <w:p w:rsidR="00B4169F" w:rsidRPr="00B94369" w:rsidRDefault="00B4169F" w:rsidP="00B4169F">
      <w:pPr>
        <w:spacing w:after="0" w:line="264" w:lineRule="auto"/>
        <w:ind w:firstLine="709"/>
        <w:jc w:val="both"/>
        <w:rPr>
          <w:rFonts w:ascii="Times New Roman" w:hAnsi="Times New Roman"/>
        </w:rPr>
      </w:pPr>
      <w:r w:rsidRPr="0016082F">
        <w:rPr>
          <w:rFonts w:ascii="Times New Roman" w:hAnsi="Times New Roman"/>
        </w:rPr>
        <w:t>Uvedené opatrenie predstavuje možnosť detí asignovať rodičom časť svojich odvodov</w:t>
      </w:r>
      <w:r>
        <w:rPr>
          <w:rFonts w:ascii="Times New Roman" w:hAnsi="Times New Roman"/>
        </w:rPr>
        <w:t xml:space="preserve"> prostredníctvom zavedenia rodičovského dôchodku</w:t>
      </w:r>
      <w:r w:rsidRPr="00B94369">
        <w:rPr>
          <w:rFonts w:ascii="Times New Roman" w:hAnsi="Times New Roman"/>
        </w:rPr>
        <w:t xml:space="preserve">. V prípade, že by deti prispievali každému rodičovi sumou zodpovedajúcou </w:t>
      </w:r>
      <w:r w:rsidR="00923EE6">
        <w:rPr>
          <w:rFonts w:ascii="Times New Roman" w:hAnsi="Times New Roman"/>
        </w:rPr>
        <w:t>1</w:t>
      </w:r>
      <w:r w:rsidRPr="00B94369">
        <w:rPr>
          <w:rFonts w:ascii="Times New Roman" w:hAnsi="Times New Roman"/>
        </w:rPr>
        <w:t>,5 % vymeriavacieho základu na starobné  poistenie</w:t>
      </w:r>
      <w:r w:rsidR="00923EE6">
        <w:rPr>
          <w:rFonts w:ascii="Times New Roman" w:hAnsi="Times New Roman"/>
        </w:rPr>
        <w:t xml:space="preserve"> (maximálne však z vymeriavacieho základu na úrovni 1,2 násobku priemernej mzdy v národnom hospodárstve)</w:t>
      </w:r>
      <w:r w:rsidRPr="00B94369">
        <w:rPr>
          <w:rFonts w:ascii="Times New Roman" w:hAnsi="Times New Roman"/>
        </w:rPr>
        <w:t xml:space="preserve"> spred dvoch rokov, t. j. ak má poistenec dvoch rodičov poberajúcich starobný dôchodok môže im spolu prispieť sumou zodpovedajúcou </w:t>
      </w:r>
      <w:r w:rsidR="00923EE6">
        <w:rPr>
          <w:rFonts w:ascii="Times New Roman" w:hAnsi="Times New Roman"/>
        </w:rPr>
        <w:t>3</w:t>
      </w:r>
      <w:r w:rsidRPr="00B94369">
        <w:rPr>
          <w:rFonts w:ascii="Times New Roman" w:hAnsi="Times New Roman"/>
        </w:rPr>
        <w:t xml:space="preserve"> % vymeriavacieho základu na starobné poistenie</w:t>
      </w:r>
      <w:r>
        <w:rPr>
          <w:rFonts w:ascii="Times New Roman" w:hAnsi="Times New Roman"/>
        </w:rPr>
        <w:t>.</w:t>
      </w:r>
      <w:r w:rsidRPr="00B94369">
        <w:rPr>
          <w:rFonts w:ascii="Times New Roman" w:hAnsi="Times New Roman"/>
        </w:rPr>
        <w:t xml:space="preserve"> </w:t>
      </w:r>
      <w:r w:rsidR="00715DE4">
        <w:rPr>
          <w:rFonts w:ascii="Times New Roman" w:hAnsi="Times New Roman"/>
        </w:rPr>
        <w:t>Zvýšenie výdavkov</w:t>
      </w:r>
      <w:r w:rsidRPr="00B94369">
        <w:rPr>
          <w:rFonts w:ascii="Times New Roman" w:hAnsi="Times New Roman"/>
        </w:rPr>
        <w:t xml:space="preserve"> Sociálnej poisťovne </w:t>
      </w:r>
      <w:r>
        <w:rPr>
          <w:rFonts w:ascii="Times New Roman" w:hAnsi="Times New Roman"/>
        </w:rPr>
        <w:t>predpokladáme</w:t>
      </w:r>
      <w:r w:rsidRPr="00B94369">
        <w:rPr>
          <w:rFonts w:ascii="Times New Roman" w:hAnsi="Times New Roman"/>
        </w:rPr>
        <w:t xml:space="preserve"> v roku 2023 </w:t>
      </w:r>
      <w:r w:rsidR="00715DE4">
        <w:rPr>
          <w:rFonts w:ascii="Times New Roman" w:hAnsi="Times New Roman"/>
        </w:rPr>
        <w:t xml:space="preserve">na úrovni </w:t>
      </w:r>
      <w:r w:rsidRPr="00B94369">
        <w:rPr>
          <w:rFonts w:ascii="Times New Roman" w:hAnsi="Times New Roman"/>
        </w:rPr>
        <w:t xml:space="preserve">približne </w:t>
      </w:r>
      <w:r w:rsidR="00923EE6">
        <w:rPr>
          <w:rFonts w:ascii="Times New Roman" w:hAnsi="Times New Roman"/>
        </w:rPr>
        <w:t>252,6</w:t>
      </w:r>
      <w:r w:rsidRPr="00B94369">
        <w:rPr>
          <w:rFonts w:ascii="Times New Roman" w:hAnsi="Times New Roman"/>
        </w:rPr>
        <w:t xml:space="preserve"> mil. eur</w:t>
      </w:r>
      <w:r w:rsidR="00715DE4">
        <w:rPr>
          <w:rFonts w:ascii="Times New Roman" w:hAnsi="Times New Roman"/>
        </w:rPr>
        <w:t xml:space="preserve">, </w:t>
      </w:r>
      <w:r w:rsidRPr="00B94369">
        <w:rPr>
          <w:rFonts w:ascii="Times New Roman" w:hAnsi="Times New Roman"/>
        </w:rPr>
        <w:t xml:space="preserve">v roku 2024 </w:t>
      </w:r>
      <w:r w:rsidR="00715DE4">
        <w:rPr>
          <w:rFonts w:ascii="Times New Roman" w:hAnsi="Times New Roman"/>
        </w:rPr>
        <w:t xml:space="preserve">na úrovni </w:t>
      </w:r>
      <w:r w:rsidRPr="00B94369">
        <w:rPr>
          <w:rFonts w:ascii="Times New Roman" w:hAnsi="Times New Roman"/>
        </w:rPr>
        <w:t xml:space="preserve">približne </w:t>
      </w:r>
      <w:r w:rsidR="00923EE6">
        <w:rPr>
          <w:rFonts w:ascii="Times New Roman" w:hAnsi="Times New Roman"/>
        </w:rPr>
        <w:t>274,0</w:t>
      </w:r>
      <w:r w:rsidRPr="00B94369">
        <w:rPr>
          <w:rFonts w:ascii="Times New Roman" w:hAnsi="Times New Roman"/>
        </w:rPr>
        <w:t xml:space="preserve"> mil. eur</w:t>
      </w:r>
      <w:r w:rsidR="00715DE4">
        <w:rPr>
          <w:rFonts w:ascii="Times New Roman" w:hAnsi="Times New Roman"/>
        </w:rPr>
        <w:t xml:space="preserve"> a v roku </w:t>
      </w:r>
      <w:r w:rsidR="00923EE6">
        <w:rPr>
          <w:rFonts w:ascii="Times New Roman" w:hAnsi="Times New Roman"/>
        </w:rPr>
        <w:t>2025 na úrovni 295,8</w:t>
      </w:r>
      <w:r w:rsidR="00715DE4">
        <w:rPr>
          <w:rFonts w:ascii="Times New Roman" w:hAnsi="Times New Roman"/>
        </w:rPr>
        <w:t xml:space="preserve"> mil. eur</w:t>
      </w:r>
      <w:r w:rsidRPr="00B94369">
        <w:rPr>
          <w:rFonts w:ascii="Times New Roman" w:hAnsi="Times New Roman"/>
        </w:rPr>
        <w:t>. Na základe údajov Sociálnej poisťovne predpokladáme, že takýmto spôsobom by prispievalo rodičom na dôchodok v roku 2023 približne 1 004 tis. poistencov</w:t>
      </w:r>
      <w:r w:rsidR="00715DE4">
        <w:rPr>
          <w:rFonts w:ascii="Times New Roman" w:hAnsi="Times New Roman"/>
        </w:rPr>
        <w:t xml:space="preserve">, </w:t>
      </w:r>
      <w:r w:rsidRPr="00B94369">
        <w:rPr>
          <w:rFonts w:ascii="Times New Roman" w:hAnsi="Times New Roman"/>
        </w:rPr>
        <w:t>v roku 2024 približne 1</w:t>
      </w:r>
      <w:r>
        <w:rPr>
          <w:rFonts w:ascii="Times New Roman" w:hAnsi="Times New Roman"/>
        </w:rPr>
        <w:t xml:space="preserve"> </w:t>
      </w:r>
      <w:r w:rsidRPr="00B94369">
        <w:rPr>
          <w:rFonts w:ascii="Times New Roman" w:hAnsi="Times New Roman"/>
        </w:rPr>
        <w:t>014 tis. poistencov</w:t>
      </w:r>
      <w:r w:rsidR="00715DE4">
        <w:rPr>
          <w:rFonts w:ascii="Times New Roman" w:hAnsi="Times New Roman"/>
        </w:rPr>
        <w:t xml:space="preserve"> a v roku 2025 približne 1 022 tis. poistencov.</w:t>
      </w:r>
    </w:p>
    <w:p w:rsidR="00B4169F" w:rsidRDefault="00B4169F" w:rsidP="00B4169F">
      <w:pPr>
        <w:spacing w:after="0" w:line="240" w:lineRule="auto"/>
        <w:jc w:val="both"/>
        <w:rPr>
          <w:rFonts w:ascii="Times New Roman" w:eastAsia="Times New Roman" w:hAnsi="Times New Roman" w:cs="Times New Roman"/>
          <w:sz w:val="24"/>
          <w:szCs w:val="24"/>
          <w:lang w:eastAsia="sk-SK"/>
        </w:rPr>
      </w:pPr>
    </w:p>
    <w:p w:rsidR="00B4169F" w:rsidRPr="00434852" w:rsidRDefault="00B4169F" w:rsidP="00434852">
      <w:pPr>
        <w:pStyle w:val="Nadpis3"/>
        <w:spacing w:before="0"/>
        <w:jc w:val="both"/>
        <w:rPr>
          <w:rFonts w:ascii="Times New Roman" w:hAnsi="Times New Roman" w:cs="Times New Roman"/>
          <w:color w:val="auto"/>
          <w:sz w:val="22"/>
          <w:szCs w:val="22"/>
        </w:rPr>
      </w:pPr>
      <w:r w:rsidRPr="00B94369">
        <w:rPr>
          <w:rFonts w:ascii="Times New Roman" w:hAnsi="Times New Roman" w:cs="Times New Roman"/>
          <w:b/>
          <w:color w:val="auto"/>
          <w:sz w:val="22"/>
          <w:szCs w:val="22"/>
        </w:rPr>
        <w:t xml:space="preserve">Tabuľka </w:t>
      </w:r>
      <w:r>
        <w:rPr>
          <w:rFonts w:ascii="Times New Roman" w:hAnsi="Times New Roman" w:cs="Times New Roman"/>
          <w:b/>
          <w:color w:val="auto"/>
          <w:sz w:val="22"/>
          <w:szCs w:val="22"/>
        </w:rPr>
        <w:t>4</w:t>
      </w:r>
      <w:r w:rsidRPr="00B94369">
        <w:rPr>
          <w:rFonts w:ascii="Times New Roman" w:hAnsi="Times New Roman" w:cs="Times New Roman"/>
          <w:b/>
          <w:color w:val="auto"/>
          <w:sz w:val="22"/>
          <w:szCs w:val="22"/>
        </w:rPr>
        <w:t>B:</w:t>
      </w:r>
      <w:r w:rsidRPr="00B94369">
        <w:rPr>
          <w:rFonts w:ascii="Times New Roman" w:hAnsi="Times New Roman" w:cs="Times New Roman"/>
          <w:color w:val="auto"/>
          <w:sz w:val="22"/>
          <w:szCs w:val="22"/>
        </w:rPr>
        <w:t xml:space="preserve"> Vplyv</w:t>
      </w:r>
      <w:r>
        <w:rPr>
          <w:rFonts w:ascii="Times New Roman" w:hAnsi="Times New Roman" w:cs="Times New Roman"/>
          <w:color w:val="auto"/>
          <w:sz w:val="22"/>
          <w:szCs w:val="22"/>
        </w:rPr>
        <w:t xml:space="preserve"> zavedenia</w:t>
      </w:r>
      <w:r w:rsidRPr="00B94369">
        <w:rPr>
          <w:rFonts w:ascii="Times New Roman" w:hAnsi="Times New Roman" w:cs="Times New Roman"/>
          <w:color w:val="auto"/>
          <w:sz w:val="22"/>
          <w:szCs w:val="22"/>
        </w:rPr>
        <w:t xml:space="preserve"> rodičovského </w:t>
      </w:r>
      <w:r>
        <w:rPr>
          <w:rFonts w:ascii="Times New Roman" w:hAnsi="Times New Roman" w:cs="Times New Roman"/>
          <w:color w:val="auto"/>
          <w:sz w:val="22"/>
          <w:szCs w:val="22"/>
        </w:rPr>
        <w:t>dôchodku</w:t>
      </w:r>
      <w:r w:rsidRPr="00B94369">
        <w:rPr>
          <w:rFonts w:ascii="Times New Roman" w:hAnsi="Times New Roman" w:cs="Times New Roman"/>
          <w:color w:val="auto"/>
          <w:sz w:val="22"/>
          <w:szCs w:val="22"/>
        </w:rPr>
        <w:t xml:space="preserve"> (asignácia) na bilanciu dôchodkového systému v dlhodobom horizonte</w:t>
      </w:r>
    </w:p>
    <w:tbl>
      <w:tblPr>
        <w:tblStyle w:val="Mriekatabuky"/>
        <w:tblW w:w="9052" w:type="dxa"/>
        <w:jc w:val="center"/>
        <w:tblLook w:val="04A0" w:firstRow="1" w:lastRow="0" w:firstColumn="1" w:lastColumn="0" w:noHBand="0" w:noVBand="1"/>
      </w:tblPr>
      <w:tblGrid>
        <w:gridCol w:w="1561"/>
        <w:gridCol w:w="592"/>
        <w:gridCol w:w="589"/>
        <w:gridCol w:w="589"/>
        <w:gridCol w:w="670"/>
        <w:gridCol w:w="670"/>
        <w:gridCol w:w="670"/>
        <w:gridCol w:w="670"/>
        <w:gridCol w:w="670"/>
        <w:gridCol w:w="619"/>
        <w:gridCol w:w="590"/>
        <w:gridCol w:w="581"/>
        <w:gridCol w:w="581"/>
      </w:tblGrid>
      <w:tr w:rsidR="00B4169F" w:rsidRPr="006C6991" w:rsidTr="00A27E08">
        <w:trPr>
          <w:trHeight w:val="300"/>
          <w:jc w:val="center"/>
        </w:trPr>
        <w:tc>
          <w:tcPr>
            <w:tcW w:w="1561" w:type="dxa"/>
            <w:shd w:val="clear" w:color="auto" w:fill="A6A6A6" w:themeFill="background1" w:themeFillShade="A6"/>
            <w:noWrap/>
            <w:hideMark/>
          </w:tcPr>
          <w:p w:rsidR="00B4169F" w:rsidRPr="00A27E08" w:rsidRDefault="00B4169F" w:rsidP="00122FB4">
            <w:pPr>
              <w:spacing w:after="0" w:line="240" w:lineRule="auto"/>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 </w:t>
            </w:r>
          </w:p>
        </w:tc>
        <w:tc>
          <w:tcPr>
            <w:tcW w:w="592"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2023</w:t>
            </w:r>
          </w:p>
        </w:tc>
        <w:tc>
          <w:tcPr>
            <w:tcW w:w="589"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2024</w:t>
            </w:r>
          </w:p>
        </w:tc>
        <w:tc>
          <w:tcPr>
            <w:tcW w:w="589"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2025</w:t>
            </w:r>
          </w:p>
        </w:tc>
        <w:tc>
          <w:tcPr>
            <w:tcW w:w="670"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2030</w:t>
            </w:r>
          </w:p>
        </w:tc>
        <w:tc>
          <w:tcPr>
            <w:tcW w:w="670"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2035</w:t>
            </w:r>
          </w:p>
        </w:tc>
        <w:tc>
          <w:tcPr>
            <w:tcW w:w="670"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2040</w:t>
            </w:r>
          </w:p>
        </w:tc>
        <w:tc>
          <w:tcPr>
            <w:tcW w:w="670"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2045</w:t>
            </w:r>
          </w:p>
        </w:tc>
        <w:tc>
          <w:tcPr>
            <w:tcW w:w="670" w:type="dxa"/>
            <w:shd w:val="clear" w:color="auto" w:fill="A6A6A6" w:themeFill="background1" w:themeFillShade="A6"/>
            <w:noWrap/>
            <w:hideMark/>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2050</w:t>
            </w:r>
          </w:p>
        </w:tc>
        <w:tc>
          <w:tcPr>
            <w:tcW w:w="619" w:type="dxa"/>
            <w:shd w:val="clear" w:color="auto" w:fill="A6A6A6" w:themeFill="background1" w:themeFillShade="A6"/>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2055</w:t>
            </w:r>
          </w:p>
        </w:tc>
        <w:tc>
          <w:tcPr>
            <w:tcW w:w="590" w:type="dxa"/>
            <w:shd w:val="clear" w:color="auto" w:fill="A6A6A6" w:themeFill="background1" w:themeFillShade="A6"/>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2060</w:t>
            </w:r>
          </w:p>
        </w:tc>
        <w:tc>
          <w:tcPr>
            <w:tcW w:w="581" w:type="dxa"/>
            <w:shd w:val="clear" w:color="auto" w:fill="A6A6A6" w:themeFill="background1" w:themeFillShade="A6"/>
          </w:tcPr>
          <w:p w:rsidR="00B4169F" w:rsidRPr="00A27E08" w:rsidRDefault="00B4169F" w:rsidP="00122FB4">
            <w:pPr>
              <w:spacing w:after="0" w:line="240" w:lineRule="auto"/>
              <w:jc w:val="right"/>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2065</w:t>
            </w:r>
          </w:p>
        </w:tc>
        <w:tc>
          <w:tcPr>
            <w:tcW w:w="581" w:type="dxa"/>
            <w:shd w:val="clear" w:color="auto" w:fill="A6A6A6" w:themeFill="background1" w:themeFillShade="A6"/>
          </w:tcPr>
          <w:p w:rsidR="00B4169F" w:rsidRPr="00A27E08" w:rsidRDefault="00B4169F" w:rsidP="00122FB4">
            <w:pPr>
              <w:spacing w:after="0" w:line="240" w:lineRule="auto"/>
              <w:rPr>
                <w:rFonts w:ascii="Arial Narrow" w:hAnsi="Arial Narrow" w:cs="Times New Roman"/>
                <w:b/>
                <w:color w:val="000000"/>
                <w:sz w:val="20"/>
                <w:szCs w:val="20"/>
                <w:lang w:eastAsia="sk-SK"/>
              </w:rPr>
            </w:pPr>
            <w:r w:rsidRPr="00A27E08">
              <w:rPr>
                <w:rFonts w:ascii="Arial Narrow" w:hAnsi="Arial Narrow" w:cs="Times New Roman"/>
                <w:b/>
                <w:color w:val="000000"/>
                <w:sz w:val="20"/>
                <w:szCs w:val="20"/>
                <w:lang w:eastAsia="sk-SK"/>
              </w:rPr>
              <w:t>2070</w:t>
            </w:r>
          </w:p>
        </w:tc>
      </w:tr>
      <w:tr w:rsidR="0005673A" w:rsidRPr="006C6991" w:rsidTr="0016082F">
        <w:trPr>
          <w:trHeight w:val="300"/>
          <w:jc w:val="center"/>
        </w:trPr>
        <w:tc>
          <w:tcPr>
            <w:tcW w:w="1561" w:type="dxa"/>
            <w:noWrap/>
            <w:vAlign w:val="bottom"/>
            <w:hideMark/>
          </w:tcPr>
          <w:p w:rsidR="0005673A" w:rsidRPr="00A27E08" w:rsidRDefault="0005673A" w:rsidP="0005673A">
            <w:pPr>
              <w:spacing w:after="0" w:line="240" w:lineRule="auto"/>
              <w:jc w:val="center"/>
              <w:rPr>
                <w:rFonts w:ascii="Arial Narrow" w:hAnsi="Arial Narrow" w:cs="Times New Roman"/>
                <w:bCs/>
                <w:color w:val="000000"/>
                <w:sz w:val="20"/>
                <w:szCs w:val="20"/>
                <w:lang w:eastAsia="sk-SK"/>
              </w:rPr>
            </w:pPr>
            <w:r w:rsidRPr="00A27E08">
              <w:rPr>
                <w:rFonts w:ascii="Arial Narrow" w:hAnsi="Arial Narrow" w:cs="Times New Roman"/>
                <w:bCs/>
                <w:color w:val="000000"/>
                <w:sz w:val="20"/>
                <w:szCs w:val="20"/>
                <w:lang w:eastAsia="sk-SK"/>
              </w:rPr>
              <w:t>Vplyv na bilanciu v p. b. HDP</w:t>
            </w:r>
          </w:p>
        </w:tc>
        <w:tc>
          <w:tcPr>
            <w:tcW w:w="592"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923EE6">
              <w:rPr>
                <w:rFonts w:ascii="Arial Narrow" w:hAnsi="Arial Narrow" w:cs="Times New Roman"/>
                <w:sz w:val="20"/>
                <w:szCs w:val="20"/>
              </w:rPr>
              <w:t>2</w:t>
            </w:r>
          </w:p>
        </w:tc>
        <w:tc>
          <w:tcPr>
            <w:tcW w:w="589"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923EE6">
              <w:rPr>
                <w:rFonts w:ascii="Arial Narrow" w:hAnsi="Arial Narrow" w:cs="Times New Roman"/>
                <w:sz w:val="20"/>
                <w:szCs w:val="20"/>
              </w:rPr>
              <w:t>2</w:t>
            </w:r>
          </w:p>
        </w:tc>
        <w:tc>
          <w:tcPr>
            <w:tcW w:w="589"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923EE6">
              <w:rPr>
                <w:rFonts w:ascii="Arial Narrow" w:hAnsi="Arial Narrow" w:cs="Times New Roman"/>
                <w:sz w:val="20"/>
                <w:szCs w:val="20"/>
              </w:rPr>
              <w:t>2</w:t>
            </w:r>
          </w:p>
        </w:tc>
        <w:tc>
          <w:tcPr>
            <w:tcW w:w="670"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2</w:t>
            </w:r>
          </w:p>
        </w:tc>
        <w:tc>
          <w:tcPr>
            <w:tcW w:w="670"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2</w:t>
            </w:r>
          </w:p>
        </w:tc>
        <w:tc>
          <w:tcPr>
            <w:tcW w:w="670"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670"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670" w:type="dxa"/>
            <w:noWrap/>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619" w:type="dxa"/>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590" w:type="dxa"/>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581" w:type="dxa"/>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c>
          <w:tcPr>
            <w:tcW w:w="581" w:type="dxa"/>
            <w:vAlign w:val="center"/>
          </w:tcPr>
          <w:p w:rsidR="0005673A" w:rsidRPr="00A27E08" w:rsidRDefault="0005673A" w:rsidP="0016082F">
            <w:pPr>
              <w:spacing w:after="0" w:line="240" w:lineRule="auto"/>
              <w:jc w:val="center"/>
              <w:rPr>
                <w:rFonts w:ascii="Arial Narrow" w:hAnsi="Arial Narrow" w:cs="Times New Roman"/>
                <w:sz w:val="20"/>
                <w:szCs w:val="20"/>
              </w:rPr>
            </w:pPr>
            <w:r w:rsidRPr="00A27E08">
              <w:rPr>
                <w:rFonts w:ascii="Arial Narrow" w:hAnsi="Arial Narrow" w:cs="Times New Roman"/>
                <w:sz w:val="20"/>
                <w:szCs w:val="20"/>
              </w:rPr>
              <w:t>0,</w:t>
            </w:r>
            <w:r w:rsidR="0052047A">
              <w:rPr>
                <w:rFonts w:ascii="Arial Narrow" w:hAnsi="Arial Narrow" w:cs="Times New Roman"/>
                <w:sz w:val="20"/>
                <w:szCs w:val="20"/>
              </w:rPr>
              <w:t>3</w:t>
            </w:r>
          </w:p>
        </w:tc>
      </w:tr>
    </w:tbl>
    <w:p w:rsidR="00B4169F" w:rsidRPr="001D51F8" w:rsidRDefault="00B4169F" w:rsidP="00B4169F">
      <w:pPr>
        <w:spacing w:after="0"/>
        <w:rPr>
          <w:rFonts w:ascii="Times New Roman" w:hAnsi="Times New Roman"/>
          <w:sz w:val="20"/>
          <w:szCs w:val="20"/>
        </w:rPr>
      </w:pPr>
      <w:r w:rsidRPr="001D51F8">
        <w:rPr>
          <w:rFonts w:ascii="Times New Roman" w:hAnsi="Times New Roman"/>
          <w:sz w:val="20"/>
          <w:szCs w:val="20"/>
        </w:rPr>
        <w:t>Zdroj: MPSVR SR; (-) záporná hodnota predstavuje úsporu</w:t>
      </w:r>
    </w:p>
    <w:p w:rsidR="00B4169F" w:rsidRDefault="00B4169F" w:rsidP="00B4169F">
      <w:pPr>
        <w:spacing w:after="0"/>
        <w:rPr>
          <w:rFonts w:ascii="Times New Roman" w:hAnsi="Times New Roman"/>
        </w:rPr>
      </w:pPr>
    </w:p>
    <w:p w:rsidR="00B4169F" w:rsidRPr="006C6991" w:rsidRDefault="00B4169F" w:rsidP="00B4169F">
      <w:pPr>
        <w:spacing w:after="0"/>
        <w:rPr>
          <w:rFonts w:ascii="Times New Roman" w:hAnsi="Times New Roman"/>
        </w:rPr>
      </w:pPr>
      <w:r w:rsidRPr="006C6991">
        <w:rPr>
          <w:rFonts w:ascii="Times New Roman" w:hAnsi="Times New Roman"/>
        </w:rPr>
        <w:t>Predpoklady použité pri kvantifikácii:</w:t>
      </w:r>
    </w:p>
    <w:p w:rsidR="00B4169F" w:rsidRPr="006C6991" w:rsidRDefault="00B4169F" w:rsidP="00B4169F">
      <w:pPr>
        <w:pStyle w:val="Odsekzoznamu"/>
        <w:numPr>
          <w:ilvl w:val="0"/>
          <w:numId w:val="20"/>
        </w:numPr>
        <w:spacing w:after="0"/>
        <w:jc w:val="both"/>
        <w:rPr>
          <w:rFonts w:ascii="Times New Roman" w:hAnsi="Times New Roman" w:cs="Times New Roman"/>
        </w:rPr>
      </w:pPr>
      <w:r w:rsidRPr="006C6991">
        <w:rPr>
          <w:rFonts w:ascii="Times New Roman" w:hAnsi="Times New Roman" w:cs="Times New Roman"/>
        </w:rPr>
        <w:t xml:space="preserve">Nárok na </w:t>
      </w:r>
      <w:r>
        <w:rPr>
          <w:rFonts w:ascii="Times New Roman" w:hAnsi="Times New Roman" w:cs="Times New Roman"/>
        </w:rPr>
        <w:t>rodičovský</w:t>
      </w:r>
      <w:r w:rsidRPr="006C6991">
        <w:rPr>
          <w:rFonts w:ascii="Times New Roman" w:hAnsi="Times New Roman" w:cs="Times New Roman"/>
        </w:rPr>
        <w:t xml:space="preserve"> dôchod</w:t>
      </w:r>
      <w:r>
        <w:rPr>
          <w:rFonts w:ascii="Times New Roman" w:hAnsi="Times New Roman" w:cs="Times New Roman"/>
        </w:rPr>
        <w:t>ok</w:t>
      </w:r>
      <w:r w:rsidRPr="006C6991">
        <w:rPr>
          <w:rFonts w:ascii="Times New Roman" w:hAnsi="Times New Roman" w:cs="Times New Roman"/>
        </w:rPr>
        <w:t xml:space="preserve"> má každý starobný dôchodca a invalidný dôchodca po dovŕšení dôchodkového veku, ktorý má pracujúce dieťa, ktoré platí poistné na </w:t>
      </w:r>
      <w:r>
        <w:rPr>
          <w:rFonts w:ascii="Times New Roman" w:hAnsi="Times New Roman" w:cs="Times New Roman"/>
        </w:rPr>
        <w:t>starobné</w:t>
      </w:r>
      <w:r w:rsidRPr="006C6991">
        <w:rPr>
          <w:rFonts w:ascii="Times New Roman" w:hAnsi="Times New Roman" w:cs="Times New Roman"/>
        </w:rPr>
        <w:t xml:space="preserve"> poistenie (vrátane tzv. poistencov štátu).</w:t>
      </w:r>
    </w:p>
    <w:p w:rsidR="00B4169F" w:rsidRPr="006C6991" w:rsidRDefault="00B4169F" w:rsidP="00B4169F">
      <w:pPr>
        <w:pStyle w:val="Odsekzoznamu"/>
        <w:numPr>
          <w:ilvl w:val="0"/>
          <w:numId w:val="20"/>
        </w:numPr>
        <w:spacing w:after="0"/>
        <w:jc w:val="both"/>
        <w:rPr>
          <w:rFonts w:ascii="Times New Roman" w:hAnsi="Times New Roman" w:cs="Times New Roman"/>
        </w:rPr>
      </w:pPr>
      <w:r>
        <w:rPr>
          <w:rFonts w:ascii="Times New Roman" w:hAnsi="Times New Roman" w:cs="Times New Roman"/>
        </w:rPr>
        <w:t>Rodičovský dôchodok</w:t>
      </w:r>
      <w:r w:rsidRPr="006C6991">
        <w:rPr>
          <w:rFonts w:ascii="Times New Roman" w:hAnsi="Times New Roman" w:cs="Times New Roman"/>
        </w:rPr>
        <w:t xml:space="preserve"> sa predpokladá vo výške </w:t>
      </w:r>
      <w:r w:rsidR="0052047A">
        <w:rPr>
          <w:rFonts w:ascii="Times New Roman" w:hAnsi="Times New Roman" w:cs="Times New Roman"/>
        </w:rPr>
        <w:t>1</w:t>
      </w:r>
      <w:r w:rsidRPr="006C6991">
        <w:rPr>
          <w:rFonts w:ascii="Times New Roman" w:hAnsi="Times New Roman" w:cs="Times New Roman"/>
        </w:rPr>
        <w:t>,5 % vymeriavacieho základu na starobné  poistenie pre každého rodiča</w:t>
      </w:r>
      <w:r w:rsidR="0052047A">
        <w:rPr>
          <w:rFonts w:ascii="Times New Roman" w:hAnsi="Times New Roman" w:cs="Times New Roman"/>
        </w:rPr>
        <w:t>, maximálne však z vymeriavacieho základu na úrovni 1,2 násobku priemernej mzdy v národnom hospodárstve spred dvoch rokov</w:t>
      </w:r>
    </w:p>
    <w:p w:rsidR="00B4169F" w:rsidRPr="002120F0" w:rsidRDefault="00B4169F" w:rsidP="00B4169F">
      <w:pPr>
        <w:pStyle w:val="Odsekzoznamu"/>
        <w:numPr>
          <w:ilvl w:val="0"/>
          <w:numId w:val="20"/>
        </w:numPr>
        <w:spacing w:after="0"/>
        <w:jc w:val="both"/>
        <w:rPr>
          <w:rFonts w:ascii="Times New Roman" w:hAnsi="Times New Roman" w:cs="Times New Roman"/>
          <w:color w:val="595959" w:themeColor="text1" w:themeTint="A6"/>
        </w:rPr>
      </w:pPr>
      <w:r w:rsidRPr="006C6991">
        <w:rPr>
          <w:rFonts w:ascii="Times New Roman" w:hAnsi="Times New Roman" w:cs="Times New Roman"/>
        </w:rPr>
        <w:t>Náklady na asignáciu rastú spolu s rastom priemernej mzdy v hospodárstve, vplyvom vývoja počtu prispievateľov do dôchodkového systému a vplyvov vývoja počtu starobných dôchodcov.</w:t>
      </w:r>
    </w:p>
    <w:p w:rsidR="00B4169F" w:rsidRPr="006C6991" w:rsidRDefault="00B4169F" w:rsidP="00B4169F">
      <w:pPr>
        <w:pStyle w:val="Odsekzoznamu"/>
        <w:numPr>
          <w:ilvl w:val="0"/>
          <w:numId w:val="20"/>
        </w:numPr>
        <w:spacing w:after="0"/>
        <w:jc w:val="both"/>
        <w:rPr>
          <w:rFonts w:ascii="Times New Roman" w:hAnsi="Times New Roman" w:cs="Times New Roman"/>
        </w:rPr>
      </w:pPr>
      <w:r>
        <w:rPr>
          <w:rFonts w:ascii="Times New Roman" w:hAnsi="Times New Roman" w:cs="Times New Roman"/>
        </w:rPr>
        <w:t xml:space="preserve">Predpokladá sa, že možnosť detí asignovať rodičom časť odvodov bude využitá na 100%. </w:t>
      </w:r>
    </w:p>
    <w:p w:rsidR="00B4169F" w:rsidRDefault="00B4169F" w:rsidP="00C135B2">
      <w:pPr>
        <w:spacing w:after="0" w:line="240" w:lineRule="auto"/>
        <w:jc w:val="both"/>
        <w:rPr>
          <w:rFonts w:ascii="Times New Roman" w:eastAsia="Times New Roman" w:hAnsi="Times New Roman" w:cs="Times New Roman"/>
          <w:b/>
          <w:sz w:val="24"/>
          <w:szCs w:val="24"/>
          <w:lang w:eastAsia="sk-SK"/>
        </w:rPr>
      </w:pPr>
    </w:p>
    <w:p w:rsidR="00434852" w:rsidRDefault="00434852" w:rsidP="00C135B2">
      <w:pPr>
        <w:spacing w:after="0" w:line="240" w:lineRule="auto"/>
        <w:jc w:val="both"/>
        <w:rPr>
          <w:rFonts w:ascii="Times New Roman" w:eastAsia="Times New Roman" w:hAnsi="Times New Roman" w:cs="Times New Roman"/>
          <w:b/>
          <w:sz w:val="24"/>
          <w:szCs w:val="24"/>
          <w:lang w:eastAsia="sk-SK"/>
        </w:rPr>
      </w:pPr>
    </w:p>
    <w:p w:rsidR="00434852" w:rsidRDefault="00434852" w:rsidP="00C135B2">
      <w:pPr>
        <w:spacing w:after="0" w:line="240" w:lineRule="auto"/>
        <w:jc w:val="both"/>
        <w:rPr>
          <w:rFonts w:ascii="Times New Roman" w:eastAsia="Times New Roman" w:hAnsi="Times New Roman" w:cs="Times New Roman"/>
          <w:b/>
          <w:sz w:val="24"/>
          <w:szCs w:val="24"/>
          <w:lang w:eastAsia="sk-SK"/>
        </w:rPr>
      </w:pPr>
    </w:p>
    <w:p w:rsidR="00B4417E" w:rsidRDefault="00B4417E" w:rsidP="00C135B2">
      <w:pPr>
        <w:spacing w:after="0" w:line="240" w:lineRule="auto"/>
        <w:jc w:val="both"/>
        <w:rPr>
          <w:rFonts w:ascii="Times New Roman" w:eastAsia="Times New Roman" w:hAnsi="Times New Roman" w:cs="Times New Roman"/>
          <w:b/>
          <w:sz w:val="24"/>
          <w:szCs w:val="24"/>
          <w:lang w:eastAsia="sk-SK"/>
        </w:rPr>
      </w:pPr>
    </w:p>
    <w:p w:rsidR="00B4417E" w:rsidRDefault="00B4417E" w:rsidP="00C135B2">
      <w:pPr>
        <w:spacing w:after="0" w:line="240" w:lineRule="auto"/>
        <w:jc w:val="both"/>
        <w:rPr>
          <w:rFonts w:ascii="Times New Roman" w:eastAsia="Times New Roman" w:hAnsi="Times New Roman" w:cs="Times New Roman"/>
          <w:b/>
          <w:sz w:val="24"/>
          <w:szCs w:val="24"/>
          <w:lang w:eastAsia="sk-SK"/>
        </w:rPr>
      </w:pPr>
    </w:p>
    <w:p w:rsidR="00434852" w:rsidRDefault="00434852" w:rsidP="00C135B2">
      <w:pPr>
        <w:spacing w:after="0" w:line="240" w:lineRule="auto"/>
        <w:jc w:val="both"/>
        <w:rPr>
          <w:rFonts w:ascii="Times New Roman" w:eastAsia="Times New Roman" w:hAnsi="Times New Roman" w:cs="Times New Roman"/>
          <w:b/>
          <w:sz w:val="24"/>
          <w:szCs w:val="24"/>
          <w:lang w:eastAsia="sk-SK"/>
        </w:rPr>
      </w:pPr>
    </w:p>
    <w:p w:rsidR="000344CB" w:rsidRDefault="000344CB" w:rsidP="000344CB">
      <w:pPr>
        <w:spacing w:after="0" w:line="264" w:lineRule="auto"/>
        <w:jc w:val="both"/>
        <w:rPr>
          <w:rFonts w:ascii="Times New Roman" w:hAnsi="Times New Roman" w:cs="Times New Roman"/>
          <w:b/>
        </w:rPr>
      </w:pPr>
      <w:r>
        <w:rPr>
          <w:rFonts w:ascii="Times New Roman" w:hAnsi="Times New Roman" w:cs="Verdana"/>
          <w:b/>
          <w:bCs/>
          <w:iCs/>
          <w:sz w:val="24"/>
          <w:szCs w:val="24"/>
        </w:rPr>
        <w:lastRenderedPageBreak/>
        <w:t>D</w:t>
      </w:r>
      <w:r w:rsidRPr="009C11D6">
        <w:rPr>
          <w:rFonts w:ascii="Times New Roman" w:hAnsi="Times New Roman" w:cs="Verdana"/>
          <w:b/>
          <w:bCs/>
          <w:iCs/>
          <w:sz w:val="24"/>
          <w:szCs w:val="24"/>
        </w:rPr>
        <w:t>)</w:t>
      </w:r>
      <w:r>
        <w:rPr>
          <w:rFonts w:ascii="Times New Roman" w:hAnsi="Times New Roman" w:cs="Verdana"/>
          <w:b/>
          <w:bCs/>
          <w:iCs/>
          <w:sz w:val="24"/>
          <w:szCs w:val="24"/>
        </w:rPr>
        <w:t xml:space="preserve"> </w:t>
      </w:r>
      <w:r>
        <w:rPr>
          <w:rFonts w:ascii="Times New Roman" w:hAnsi="Times New Roman" w:cs="Times New Roman"/>
          <w:b/>
        </w:rPr>
        <w:t>S</w:t>
      </w:r>
      <w:r w:rsidRPr="0016082F">
        <w:rPr>
          <w:rFonts w:ascii="Times New Roman" w:hAnsi="Times New Roman" w:cs="Times New Roman"/>
          <w:b/>
        </w:rPr>
        <w:t>prísnenie podmienok nároku na predčasný starobný dôchodok</w:t>
      </w:r>
    </w:p>
    <w:p w:rsidR="000344CB" w:rsidRDefault="000344CB" w:rsidP="000344CB">
      <w:pPr>
        <w:spacing w:after="0" w:line="264" w:lineRule="auto"/>
        <w:jc w:val="both"/>
        <w:rPr>
          <w:rFonts w:ascii="Times New Roman" w:hAnsi="Times New Roman" w:cs="Times New Roman"/>
          <w:b/>
        </w:rPr>
      </w:pPr>
    </w:p>
    <w:p w:rsidR="00A04F9F" w:rsidRPr="0016082F" w:rsidRDefault="00A04F9F" w:rsidP="0016082F">
      <w:pPr>
        <w:spacing w:after="0" w:line="240" w:lineRule="auto"/>
        <w:ind w:firstLine="708"/>
        <w:jc w:val="both"/>
        <w:rPr>
          <w:rFonts w:ascii="Times New Roman" w:hAnsi="Times New Roman" w:cs="Times New Roman"/>
          <w:bCs/>
        </w:rPr>
      </w:pPr>
      <w:r w:rsidRPr="0016082F">
        <w:rPr>
          <w:rFonts w:ascii="Times New Roman" w:hAnsi="Times New Roman" w:cs="Times New Roman"/>
          <w:bCs/>
        </w:rPr>
        <w:t xml:space="preserve">V záujme predchádzania zvyšovania predčasného starobného dôchodku po dovŕšení dôchodkového veku na sumu minimálneho dôchodku sa navrhuje, aby nárok na predčasný starobný dôchodok vznikol iba tomu poistencovi, ktorého suma predčasného starobného dôchodku bola ku dňu, od ktorého si žiada o jeho priznanie minimálne na úrovni sumy minimálneho dôchodku, ktorá poistencovi patrí za dĺžku kvalifikovaného obdobia dôchodkového poistenia. Ak takýto poistenec nezískal 30 rokov kvalifikovaného obdobia dôchodkového poistenia, potom je nárok na predčasný starobný dôchodok podmienený sumou minimálneho dôchodku, ktorá patrí za 30 kvalifikovaných rokov dôchodkového poistenia. </w:t>
      </w:r>
    </w:p>
    <w:p w:rsidR="00B25E5B" w:rsidRDefault="00B25E5B" w:rsidP="000344CB">
      <w:pPr>
        <w:spacing w:after="0" w:line="264" w:lineRule="auto"/>
        <w:jc w:val="both"/>
        <w:rPr>
          <w:rFonts w:ascii="Times New Roman" w:hAnsi="Times New Roman" w:cs="Times New Roman"/>
        </w:rPr>
      </w:pPr>
    </w:p>
    <w:p w:rsidR="000344CB" w:rsidRPr="00AC13E2" w:rsidRDefault="00A04F9F" w:rsidP="00603206">
      <w:pPr>
        <w:spacing w:after="0" w:line="264" w:lineRule="auto"/>
        <w:ind w:firstLine="708"/>
        <w:jc w:val="both"/>
        <w:rPr>
          <w:rFonts w:ascii="Times New Roman" w:hAnsi="Times New Roman" w:cs="Times New Roman"/>
        </w:rPr>
      </w:pPr>
      <w:r w:rsidRPr="00AC13E2">
        <w:rPr>
          <w:rFonts w:ascii="Times New Roman" w:hAnsi="Times New Roman" w:cs="Times New Roman"/>
        </w:rPr>
        <w:t>Na základe údajov Sociálnej poisťovne</w:t>
      </w:r>
      <w:r w:rsidR="00AC13E2">
        <w:rPr>
          <w:rFonts w:ascii="Times New Roman" w:hAnsi="Times New Roman" w:cs="Times New Roman"/>
        </w:rPr>
        <w:t xml:space="preserve"> sa</w:t>
      </w:r>
      <w:r w:rsidRPr="00AC13E2">
        <w:rPr>
          <w:rFonts w:ascii="Times New Roman" w:hAnsi="Times New Roman" w:cs="Times New Roman"/>
        </w:rPr>
        <w:t xml:space="preserve"> odhaduje počet dotknutých osôb (osôb, ktorým po sprísnení podmienok nevznikne nárok na predčasný starobný dôchodok) na úrovni 1 200 osôb  v roku 2022 (zohľadnenie navrhovanej účinnosti od 1. augusta 2022), na úrovni 2 200 osôb v roku 2023, na úrovni 1 700 osôb v roku 2024 a na úrovni 1 300 osôb v roku 2025. </w:t>
      </w:r>
      <w:r w:rsidR="00FF08F8" w:rsidRPr="00AC13E2">
        <w:rPr>
          <w:rFonts w:ascii="Times New Roman" w:hAnsi="Times New Roman" w:cs="Times New Roman"/>
        </w:rPr>
        <w:t>Pomerne výrazný k</w:t>
      </w:r>
      <w:r w:rsidRPr="00AC13E2">
        <w:rPr>
          <w:rFonts w:ascii="Times New Roman" w:hAnsi="Times New Roman" w:cs="Times New Roman"/>
        </w:rPr>
        <w:t xml:space="preserve">lesajúci počet dotknutých osôb je spôsobený </w:t>
      </w:r>
      <w:r w:rsidR="00FF08F8" w:rsidRPr="00AC13E2">
        <w:rPr>
          <w:rFonts w:ascii="Times New Roman" w:hAnsi="Times New Roman" w:cs="Times New Roman"/>
        </w:rPr>
        <w:t xml:space="preserve">aktuálnym zmrazením súm minimálneho dôchodku. V roku 2022 predpokladáme, že z uvedeného počtu 1 200 dotknutých osôb v roku 2022 približne 75 % poistencov odíde do predčasného starobného dôchodku pred 1. augustom 2022 (pred účinnosťou navrhovanej právnej úpravy), t. j. ešte podľa aktuálnych podmienok nároku na predčasný starobný dôchodok. Z tohto dôvodu predpokladáme v roku 2022 negatívny vplyv na rozpočet verejnej správy na úrovni približne 0,6 mil. eur. V nasledujúcich rokoch predpokladáme pozitívny vplyv </w:t>
      </w:r>
      <w:r w:rsidR="00F9535E" w:rsidRPr="00AC13E2">
        <w:rPr>
          <w:rFonts w:ascii="Times New Roman" w:hAnsi="Times New Roman" w:cs="Times New Roman"/>
        </w:rPr>
        <w:t xml:space="preserve">na rozpočet Sociálnej poisťovne </w:t>
      </w:r>
      <w:r w:rsidR="00FF08F8" w:rsidRPr="00AC13E2">
        <w:rPr>
          <w:rFonts w:ascii="Times New Roman" w:hAnsi="Times New Roman" w:cs="Times New Roman"/>
        </w:rPr>
        <w:t xml:space="preserve">na úrovni </w:t>
      </w:r>
      <w:r w:rsidR="00F9535E" w:rsidRPr="00AC13E2">
        <w:rPr>
          <w:rFonts w:ascii="Times New Roman" w:hAnsi="Times New Roman" w:cs="Times New Roman"/>
        </w:rPr>
        <w:t>približne 5,3 mil. eur v roku 2023, na úrovni približne 14,1 mil. eur v roku 2024 a na úrovni približne 11,2 mil. eur v roku 2025.</w:t>
      </w:r>
    </w:p>
    <w:p w:rsidR="00506756" w:rsidRDefault="00506756" w:rsidP="00C135B2">
      <w:pPr>
        <w:spacing w:after="0" w:line="240" w:lineRule="auto"/>
        <w:jc w:val="both"/>
        <w:rPr>
          <w:rFonts w:ascii="Times New Roman" w:eastAsia="Times New Roman" w:hAnsi="Times New Roman" w:cs="Times New Roman"/>
          <w:b/>
          <w:sz w:val="24"/>
          <w:szCs w:val="24"/>
          <w:lang w:eastAsia="sk-SK"/>
        </w:rPr>
      </w:pPr>
    </w:p>
    <w:p w:rsidR="00561388" w:rsidRDefault="00715DE4" w:rsidP="009C11D6">
      <w:pPr>
        <w:spacing w:after="0" w:line="264" w:lineRule="auto"/>
        <w:jc w:val="both"/>
        <w:rPr>
          <w:rFonts w:ascii="Times New Roman" w:hAnsi="Times New Roman" w:cs="Times New Roman"/>
        </w:rPr>
      </w:pPr>
      <w:r>
        <w:rPr>
          <w:rFonts w:ascii="Times New Roman" w:hAnsi="Times New Roman" w:cs="Verdana"/>
          <w:b/>
          <w:bCs/>
          <w:iCs/>
          <w:sz w:val="24"/>
          <w:szCs w:val="24"/>
        </w:rPr>
        <w:t>E</w:t>
      </w:r>
      <w:r w:rsidR="00F3440B" w:rsidRPr="009C11D6">
        <w:rPr>
          <w:rFonts w:ascii="Times New Roman" w:hAnsi="Times New Roman" w:cs="Verdana"/>
          <w:b/>
          <w:bCs/>
          <w:iCs/>
          <w:sz w:val="24"/>
          <w:szCs w:val="24"/>
        </w:rPr>
        <w:t>)</w:t>
      </w:r>
      <w:r w:rsidR="00561388">
        <w:rPr>
          <w:rFonts w:ascii="Times New Roman" w:hAnsi="Times New Roman" w:cs="Verdana"/>
          <w:b/>
          <w:bCs/>
          <w:iCs/>
          <w:sz w:val="24"/>
          <w:szCs w:val="24"/>
        </w:rPr>
        <w:t xml:space="preserve"> </w:t>
      </w:r>
      <w:r w:rsidR="00561388" w:rsidRPr="009C11D6">
        <w:rPr>
          <w:rFonts w:ascii="Times New Roman" w:hAnsi="Times New Roman" w:cs="Times New Roman"/>
          <w:b/>
        </w:rPr>
        <w:t>Korekcia mechanizmu medziročnej úpravy aktuálnej dôchodkovej hodnoty</w:t>
      </w:r>
    </w:p>
    <w:p w:rsidR="00561388" w:rsidRPr="00AD678C" w:rsidRDefault="00561388" w:rsidP="009C11D6">
      <w:pPr>
        <w:spacing w:after="0" w:line="264" w:lineRule="auto"/>
        <w:jc w:val="both"/>
        <w:rPr>
          <w:rFonts w:ascii="Times New Roman" w:hAnsi="Times New Roman" w:cs="Verdana"/>
          <w:b/>
          <w:bCs/>
          <w:iCs/>
          <w:sz w:val="24"/>
          <w:szCs w:val="24"/>
        </w:rPr>
      </w:pPr>
    </w:p>
    <w:p w:rsidR="00B25E5B" w:rsidRDefault="00561388" w:rsidP="009C11D6">
      <w:pPr>
        <w:spacing w:after="0" w:line="264" w:lineRule="auto"/>
        <w:ind w:firstLine="708"/>
        <w:jc w:val="both"/>
        <w:rPr>
          <w:rFonts w:ascii="Times New Roman" w:hAnsi="Times New Roman" w:cs="Times New Roman"/>
        </w:rPr>
      </w:pPr>
      <w:r w:rsidRPr="009C11D6">
        <w:rPr>
          <w:rFonts w:ascii="Times New Roman" w:hAnsi="Times New Roman" w:cs="Times New Roman"/>
        </w:rPr>
        <w:t xml:space="preserve">V nadväznosti </w:t>
      </w:r>
      <w:r w:rsidR="00603206">
        <w:rPr>
          <w:rFonts w:ascii="Times New Roman" w:hAnsi="Times New Roman" w:cs="Times New Roman"/>
        </w:rPr>
        <w:t xml:space="preserve">na snahu </w:t>
      </w:r>
      <w:r w:rsidRPr="009C11D6">
        <w:rPr>
          <w:rFonts w:ascii="Times New Roman" w:hAnsi="Times New Roman" w:cs="Times New Roman"/>
        </w:rPr>
        <w:t>zabezpečiť dlhodobú udržateľnosť verejných financií, a to najmä systému zdravotnej starostlivosti a dôchodkového systému sa navrhuje korekcia mechanizmu medziročnej úpravy aktuálnej dôchodkovej hodnoty.</w:t>
      </w:r>
      <w:r>
        <w:rPr>
          <w:rFonts w:ascii="Times New Roman" w:hAnsi="Times New Roman" w:cs="Times New Roman"/>
        </w:rPr>
        <w:t xml:space="preserve"> </w:t>
      </w:r>
      <w:r w:rsidR="00B4169F" w:rsidRPr="00B4169F">
        <w:rPr>
          <w:rFonts w:ascii="Times New Roman" w:hAnsi="Times New Roman" w:cs="Times New Roman"/>
        </w:rPr>
        <w:t xml:space="preserve">V súčasnosti je aktuálna dôchodková hodnota každoročne k 1. januáru upravovaná vzhľadom na medziročnú zmenu priemernej mzdy </w:t>
      </w:r>
      <w:r w:rsidR="00B4169F">
        <w:rPr>
          <w:rFonts w:ascii="Times New Roman" w:hAnsi="Times New Roman" w:cs="Times New Roman"/>
        </w:rPr>
        <w:t>v národnom hospodárstve zistenú</w:t>
      </w:r>
      <w:r w:rsidR="00B4169F" w:rsidRPr="00B4169F">
        <w:rPr>
          <w:rFonts w:ascii="Times New Roman" w:hAnsi="Times New Roman" w:cs="Times New Roman"/>
        </w:rPr>
        <w:t xml:space="preserve"> Štatistickým úradom SR za 3. štvrťrok kalendárneho roka. Korekčný mechanizmus spočíva v tom, že z medziročnej zmeny priemernej mzdy  sa na účely určenia indexu úpravy aktuálnej dôchodkovej hodnoty od 1. januára 2023 použije len 95 % tejto hodnoty. To znamená, že ak by predstavovala medziročná zmena priemernej mzdy za 3. štvrťrok napríklad rast na úrovni 5 %, na určenie aktuálnej dôchodkovej hodnoty sa použije hodnota 0,95*5 % = 4,75 %, t. j. index úpravy aktuálnej dôchodkovej hodnoty bude predstavovať hodnotu 1,0475.</w:t>
      </w:r>
      <w:r>
        <w:rPr>
          <w:rFonts w:ascii="Times New Roman" w:hAnsi="Times New Roman" w:cs="Times New Roman"/>
        </w:rPr>
        <w:t xml:space="preserve"> Vplyv uvedeného opatrenia bude postupný a výraznejšie ovplyvní predovšetkým poistencov, ktorí budú odchádzať do dôchodku v budúcnosti, nakoľko budú mať nižšiu novopriznanú sumu dôchodku v porovnaní so súčasným právnym stavom. </w:t>
      </w:r>
      <w:r w:rsidR="00E143EB">
        <w:rPr>
          <w:rFonts w:ascii="Times New Roman" w:hAnsi="Times New Roman" w:cs="Times New Roman"/>
        </w:rPr>
        <w:t>V</w:t>
      </w:r>
      <w:r>
        <w:rPr>
          <w:rFonts w:ascii="Times New Roman" w:hAnsi="Times New Roman" w:cs="Times New Roman"/>
        </w:rPr>
        <w:t xml:space="preserve"> roku 2070 predpokladáme pokles novopriznaných dôchodkov o približne 8,</w:t>
      </w:r>
      <w:r w:rsidR="00EB0FD4">
        <w:rPr>
          <w:rFonts w:ascii="Times New Roman" w:hAnsi="Times New Roman" w:cs="Times New Roman"/>
        </w:rPr>
        <w:t>4</w:t>
      </w:r>
      <w:r>
        <w:rPr>
          <w:rFonts w:ascii="Times New Roman" w:hAnsi="Times New Roman" w:cs="Times New Roman"/>
        </w:rPr>
        <w:t xml:space="preserve"> %. </w:t>
      </w:r>
    </w:p>
    <w:p w:rsidR="00B25E5B" w:rsidRDefault="00B25E5B" w:rsidP="009C11D6">
      <w:pPr>
        <w:spacing w:after="0" w:line="264" w:lineRule="auto"/>
        <w:ind w:firstLine="708"/>
        <w:jc w:val="both"/>
        <w:rPr>
          <w:rFonts w:ascii="Times New Roman" w:hAnsi="Times New Roman" w:cs="Times New Roman"/>
        </w:rPr>
      </w:pPr>
    </w:p>
    <w:p w:rsidR="00561388" w:rsidRPr="009C11D6" w:rsidRDefault="00561388">
      <w:pPr>
        <w:spacing w:after="0" w:line="264" w:lineRule="auto"/>
        <w:ind w:firstLine="708"/>
        <w:jc w:val="both"/>
        <w:rPr>
          <w:rFonts w:ascii="Times New Roman" w:hAnsi="Times New Roman" w:cs="Times New Roman"/>
        </w:rPr>
      </w:pPr>
      <w:r w:rsidRPr="00EB0FD4">
        <w:rPr>
          <w:rFonts w:ascii="Times New Roman" w:hAnsi="Times New Roman" w:cs="Times New Roman"/>
        </w:rPr>
        <w:t>Úsporu vo</w:t>
      </w:r>
      <w:r w:rsidR="00E143EB" w:rsidRPr="00EB0FD4">
        <w:rPr>
          <w:rFonts w:ascii="Times New Roman" w:hAnsi="Times New Roman" w:cs="Times New Roman"/>
        </w:rPr>
        <w:t xml:space="preserve"> výdavkoch v roku 2023 odhadujeme na úrovni približne </w:t>
      </w:r>
      <w:r w:rsidR="00EB0FD4" w:rsidRPr="00603206">
        <w:rPr>
          <w:rFonts w:ascii="Times New Roman" w:hAnsi="Times New Roman" w:cs="Times New Roman"/>
        </w:rPr>
        <w:t>1,5</w:t>
      </w:r>
      <w:r w:rsidR="00E143EB" w:rsidRPr="00EB0FD4">
        <w:rPr>
          <w:rFonts w:ascii="Times New Roman" w:hAnsi="Times New Roman" w:cs="Times New Roman"/>
        </w:rPr>
        <w:t xml:space="preserve"> mil. eur</w:t>
      </w:r>
      <w:r w:rsidR="00EB0FD4" w:rsidRPr="00603206">
        <w:rPr>
          <w:rFonts w:ascii="Times New Roman" w:hAnsi="Times New Roman" w:cs="Times New Roman"/>
        </w:rPr>
        <w:t xml:space="preserve">, </w:t>
      </w:r>
      <w:r w:rsidR="00E143EB" w:rsidRPr="00EB0FD4">
        <w:rPr>
          <w:rFonts w:ascii="Times New Roman" w:hAnsi="Times New Roman" w:cs="Times New Roman"/>
        </w:rPr>
        <w:t xml:space="preserve">v roku 2024 na úrovni približne </w:t>
      </w:r>
      <w:r w:rsidR="00EB0FD4" w:rsidRPr="00603206">
        <w:rPr>
          <w:rFonts w:ascii="Times New Roman" w:hAnsi="Times New Roman" w:cs="Times New Roman"/>
        </w:rPr>
        <w:t>4,4</w:t>
      </w:r>
      <w:r w:rsidR="00E143EB" w:rsidRPr="00EB0FD4">
        <w:rPr>
          <w:rFonts w:ascii="Times New Roman" w:hAnsi="Times New Roman" w:cs="Times New Roman"/>
        </w:rPr>
        <w:t xml:space="preserve"> mil. eur</w:t>
      </w:r>
      <w:r w:rsidR="00EB0FD4" w:rsidRPr="00603206">
        <w:rPr>
          <w:rFonts w:ascii="Times New Roman" w:hAnsi="Times New Roman" w:cs="Times New Roman"/>
        </w:rPr>
        <w:t xml:space="preserve"> a v roku 2025 na úrovni približne 7,8 mil. eur</w:t>
      </w:r>
      <w:r w:rsidR="00E143EB" w:rsidRPr="00EB0FD4">
        <w:rPr>
          <w:rFonts w:ascii="Times New Roman" w:hAnsi="Times New Roman" w:cs="Times New Roman"/>
        </w:rPr>
        <w:t>.</w:t>
      </w:r>
    </w:p>
    <w:p w:rsidR="00F3440B" w:rsidRDefault="00F3440B" w:rsidP="009C11D6">
      <w:pPr>
        <w:spacing w:after="0" w:line="240" w:lineRule="auto"/>
        <w:jc w:val="both"/>
        <w:rPr>
          <w:rFonts w:ascii="Times New Roman" w:hAnsi="Times New Roman" w:cs="Verdana"/>
          <w:b/>
          <w:bCs/>
          <w:iCs/>
          <w:sz w:val="24"/>
          <w:szCs w:val="24"/>
        </w:rPr>
      </w:pPr>
    </w:p>
    <w:p w:rsidR="00E143EB" w:rsidRPr="006C6991" w:rsidRDefault="00E143EB" w:rsidP="00E143EB">
      <w:pPr>
        <w:pStyle w:val="Nadpis3"/>
        <w:spacing w:before="0"/>
        <w:jc w:val="both"/>
        <w:rPr>
          <w:rFonts w:ascii="Times New Roman" w:hAnsi="Times New Roman" w:cs="Times New Roman"/>
          <w:color w:val="auto"/>
          <w:sz w:val="22"/>
          <w:szCs w:val="22"/>
        </w:rPr>
      </w:pPr>
      <w:r>
        <w:rPr>
          <w:rFonts w:ascii="Times New Roman" w:hAnsi="Times New Roman" w:cs="Times New Roman"/>
          <w:b/>
          <w:color w:val="auto"/>
          <w:sz w:val="22"/>
          <w:szCs w:val="22"/>
        </w:rPr>
        <w:t>Tabuľka 4</w:t>
      </w:r>
      <w:r w:rsidR="00B4169F">
        <w:rPr>
          <w:rFonts w:ascii="Times New Roman" w:hAnsi="Times New Roman" w:cs="Times New Roman"/>
          <w:b/>
          <w:color w:val="auto"/>
          <w:sz w:val="22"/>
          <w:szCs w:val="22"/>
        </w:rPr>
        <w:t>C</w:t>
      </w:r>
      <w:r w:rsidRPr="006C6991">
        <w:rPr>
          <w:rFonts w:ascii="Times New Roman" w:hAnsi="Times New Roman" w:cs="Times New Roman"/>
          <w:color w:val="auto"/>
          <w:sz w:val="22"/>
          <w:szCs w:val="22"/>
        </w:rPr>
        <w:t xml:space="preserve">: Vplyv </w:t>
      </w:r>
      <w:r>
        <w:rPr>
          <w:rFonts w:ascii="Times New Roman" w:hAnsi="Times New Roman" w:cs="Times New Roman"/>
          <w:color w:val="auto"/>
          <w:sz w:val="22"/>
          <w:szCs w:val="22"/>
        </w:rPr>
        <w:t>korekcie medziročnej úpravy aktuálnej dôchodkovej hodnoty n</w:t>
      </w:r>
      <w:r w:rsidRPr="006C6991">
        <w:rPr>
          <w:rFonts w:ascii="Times New Roman" w:hAnsi="Times New Roman" w:cs="Times New Roman"/>
          <w:color w:val="auto"/>
          <w:sz w:val="22"/>
          <w:szCs w:val="22"/>
        </w:rPr>
        <w:t xml:space="preserve">a výdavky dôchodkového systému </w:t>
      </w:r>
      <w:r>
        <w:rPr>
          <w:rFonts w:ascii="Times New Roman" w:hAnsi="Times New Roman" w:cs="Times New Roman"/>
          <w:color w:val="auto"/>
          <w:sz w:val="22"/>
          <w:szCs w:val="22"/>
        </w:rPr>
        <w:t>v dlhodobom horizonte</w:t>
      </w:r>
    </w:p>
    <w:tbl>
      <w:tblPr>
        <w:tblStyle w:val="Mriekatabuky"/>
        <w:tblW w:w="9222" w:type="dxa"/>
        <w:jc w:val="center"/>
        <w:tblLook w:val="04A0" w:firstRow="1" w:lastRow="0" w:firstColumn="1" w:lastColumn="0" w:noHBand="0" w:noVBand="1"/>
      </w:tblPr>
      <w:tblGrid>
        <w:gridCol w:w="1560"/>
        <w:gridCol w:w="616"/>
        <w:gridCol w:w="616"/>
        <w:gridCol w:w="616"/>
        <w:gridCol w:w="670"/>
        <w:gridCol w:w="670"/>
        <w:gridCol w:w="670"/>
        <w:gridCol w:w="670"/>
        <w:gridCol w:w="670"/>
        <w:gridCol w:w="616"/>
        <w:gridCol w:w="616"/>
        <w:gridCol w:w="616"/>
        <w:gridCol w:w="616"/>
      </w:tblGrid>
      <w:tr w:rsidR="00E143EB" w:rsidRPr="006C6991" w:rsidTr="00434852">
        <w:trPr>
          <w:trHeight w:val="300"/>
          <w:jc w:val="center"/>
        </w:trPr>
        <w:tc>
          <w:tcPr>
            <w:tcW w:w="1560" w:type="dxa"/>
            <w:shd w:val="clear" w:color="auto" w:fill="A6A6A6" w:themeFill="background1" w:themeFillShade="A6"/>
            <w:noWrap/>
            <w:hideMark/>
          </w:tcPr>
          <w:p w:rsidR="00E143EB" w:rsidRPr="00434852" w:rsidRDefault="00E143EB" w:rsidP="00B3691A">
            <w:pPr>
              <w:spacing w:after="0" w:line="240" w:lineRule="auto"/>
              <w:rPr>
                <w:rFonts w:ascii="Arial Narrow" w:hAnsi="Arial Narrow"/>
                <w:b/>
                <w:color w:val="000000"/>
                <w:sz w:val="20"/>
                <w:szCs w:val="20"/>
                <w:lang w:eastAsia="sk-SK"/>
              </w:rPr>
            </w:pPr>
            <w:r w:rsidRPr="00434852">
              <w:rPr>
                <w:rFonts w:ascii="Arial Narrow" w:hAnsi="Arial Narrow"/>
                <w:b/>
                <w:color w:val="000000"/>
                <w:sz w:val="20"/>
                <w:szCs w:val="20"/>
                <w:lang w:eastAsia="sk-SK"/>
              </w:rPr>
              <w:t> </w:t>
            </w:r>
          </w:p>
        </w:tc>
        <w:tc>
          <w:tcPr>
            <w:tcW w:w="616"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2023</w:t>
            </w:r>
          </w:p>
        </w:tc>
        <w:tc>
          <w:tcPr>
            <w:tcW w:w="616"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2024</w:t>
            </w:r>
          </w:p>
        </w:tc>
        <w:tc>
          <w:tcPr>
            <w:tcW w:w="616"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2025</w:t>
            </w:r>
          </w:p>
        </w:tc>
        <w:tc>
          <w:tcPr>
            <w:tcW w:w="670"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2030</w:t>
            </w:r>
          </w:p>
        </w:tc>
        <w:tc>
          <w:tcPr>
            <w:tcW w:w="670"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2035</w:t>
            </w:r>
          </w:p>
        </w:tc>
        <w:tc>
          <w:tcPr>
            <w:tcW w:w="670"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2040</w:t>
            </w:r>
          </w:p>
        </w:tc>
        <w:tc>
          <w:tcPr>
            <w:tcW w:w="670"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2045</w:t>
            </w:r>
          </w:p>
        </w:tc>
        <w:tc>
          <w:tcPr>
            <w:tcW w:w="670" w:type="dxa"/>
            <w:shd w:val="clear" w:color="auto" w:fill="A6A6A6" w:themeFill="background1" w:themeFillShade="A6"/>
            <w:noWrap/>
            <w:hideMark/>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2050</w:t>
            </w:r>
          </w:p>
        </w:tc>
        <w:tc>
          <w:tcPr>
            <w:tcW w:w="616" w:type="dxa"/>
            <w:shd w:val="clear" w:color="auto" w:fill="A6A6A6" w:themeFill="background1" w:themeFillShade="A6"/>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2055</w:t>
            </w:r>
          </w:p>
        </w:tc>
        <w:tc>
          <w:tcPr>
            <w:tcW w:w="616" w:type="dxa"/>
            <w:shd w:val="clear" w:color="auto" w:fill="A6A6A6" w:themeFill="background1" w:themeFillShade="A6"/>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2060</w:t>
            </w:r>
          </w:p>
        </w:tc>
        <w:tc>
          <w:tcPr>
            <w:tcW w:w="616" w:type="dxa"/>
            <w:shd w:val="clear" w:color="auto" w:fill="A6A6A6" w:themeFill="background1" w:themeFillShade="A6"/>
          </w:tcPr>
          <w:p w:rsidR="00E143EB" w:rsidRPr="00434852" w:rsidRDefault="00E143EB" w:rsidP="00B3691A">
            <w:pPr>
              <w:spacing w:after="0" w:line="240" w:lineRule="auto"/>
              <w:jc w:val="right"/>
              <w:rPr>
                <w:rFonts w:ascii="Arial Narrow" w:hAnsi="Arial Narrow"/>
                <w:b/>
                <w:color w:val="000000"/>
                <w:sz w:val="20"/>
                <w:szCs w:val="20"/>
                <w:lang w:eastAsia="sk-SK"/>
              </w:rPr>
            </w:pPr>
            <w:r w:rsidRPr="00434852">
              <w:rPr>
                <w:rFonts w:ascii="Arial Narrow" w:hAnsi="Arial Narrow"/>
                <w:b/>
                <w:color w:val="000000"/>
                <w:sz w:val="20"/>
                <w:szCs w:val="20"/>
                <w:lang w:eastAsia="sk-SK"/>
              </w:rPr>
              <w:t>2065</w:t>
            </w:r>
          </w:p>
        </w:tc>
        <w:tc>
          <w:tcPr>
            <w:tcW w:w="616" w:type="dxa"/>
            <w:shd w:val="clear" w:color="auto" w:fill="A6A6A6" w:themeFill="background1" w:themeFillShade="A6"/>
          </w:tcPr>
          <w:p w:rsidR="00E143EB" w:rsidRPr="00434852" w:rsidRDefault="00E143EB" w:rsidP="00B3691A">
            <w:pPr>
              <w:spacing w:after="0" w:line="240" w:lineRule="auto"/>
              <w:rPr>
                <w:rFonts w:ascii="Arial Narrow" w:hAnsi="Arial Narrow"/>
                <w:b/>
                <w:color w:val="000000"/>
                <w:sz w:val="20"/>
                <w:szCs w:val="20"/>
                <w:lang w:eastAsia="sk-SK"/>
              </w:rPr>
            </w:pPr>
            <w:r w:rsidRPr="00434852">
              <w:rPr>
                <w:rFonts w:ascii="Arial Narrow" w:hAnsi="Arial Narrow"/>
                <w:b/>
                <w:color w:val="000000"/>
                <w:sz w:val="20"/>
                <w:szCs w:val="20"/>
                <w:lang w:eastAsia="sk-SK"/>
              </w:rPr>
              <w:t>2070</w:t>
            </w:r>
          </w:p>
        </w:tc>
      </w:tr>
      <w:tr w:rsidR="00EB0FD4" w:rsidRPr="006C6991" w:rsidTr="00603206">
        <w:trPr>
          <w:trHeight w:val="300"/>
          <w:jc w:val="center"/>
        </w:trPr>
        <w:tc>
          <w:tcPr>
            <w:tcW w:w="1560" w:type="dxa"/>
            <w:noWrap/>
            <w:vAlign w:val="bottom"/>
            <w:hideMark/>
          </w:tcPr>
          <w:p w:rsidR="00EB0FD4" w:rsidRPr="00434852" w:rsidRDefault="00EB0FD4" w:rsidP="00EB0FD4">
            <w:pPr>
              <w:spacing w:after="0" w:line="240" w:lineRule="auto"/>
              <w:jc w:val="center"/>
              <w:rPr>
                <w:rFonts w:ascii="Arial Narrow" w:hAnsi="Arial Narrow" w:cs="Times New Roman"/>
                <w:bCs/>
                <w:color w:val="000000"/>
                <w:sz w:val="20"/>
                <w:szCs w:val="20"/>
                <w:lang w:eastAsia="sk-SK"/>
              </w:rPr>
            </w:pPr>
            <w:r w:rsidRPr="00434852">
              <w:rPr>
                <w:rFonts w:ascii="Arial Narrow" w:hAnsi="Arial Narrow" w:cs="Times New Roman"/>
                <w:bCs/>
                <w:color w:val="000000"/>
                <w:sz w:val="20"/>
                <w:szCs w:val="20"/>
                <w:lang w:eastAsia="sk-SK"/>
              </w:rPr>
              <w:t>Vplyv na bilanciu v p. b. HDP</w:t>
            </w:r>
          </w:p>
        </w:tc>
        <w:tc>
          <w:tcPr>
            <w:tcW w:w="616"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0,0</w:t>
            </w:r>
          </w:p>
        </w:tc>
        <w:tc>
          <w:tcPr>
            <w:tcW w:w="616"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0,0</w:t>
            </w:r>
          </w:p>
        </w:tc>
        <w:tc>
          <w:tcPr>
            <w:tcW w:w="616"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0,0</w:t>
            </w:r>
          </w:p>
        </w:tc>
        <w:tc>
          <w:tcPr>
            <w:tcW w:w="670"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0,0</w:t>
            </w:r>
          </w:p>
        </w:tc>
        <w:tc>
          <w:tcPr>
            <w:tcW w:w="670"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-0,1</w:t>
            </w:r>
          </w:p>
        </w:tc>
        <w:tc>
          <w:tcPr>
            <w:tcW w:w="670"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-0,1</w:t>
            </w:r>
          </w:p>
        </w:tc>
        <w:tc>
          <w:tcPr>
            <w:tcW w:w="670"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-0,2</w:t>
            </w:r>
          </w:p>
        </w:tc>
        <w:tc>
          <w:tcPr>
            <w:tcW w:w="670" w:type="dxa"/>
            <w:noWrap/>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-0,3</w:t>
            </w:r>
          </w:p>
        </w:tc>
        <w:tc>
          <w:tcPr>
            <w:tcW w:w="616" w:type="dxa"/>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-0,4</w:t>
            </w:r>
          </w:p>
        </w:tc>
        <w:tc>
          <w:tcPr>
            <w:tcW w:w="616" w:type="dxa"/>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-0,5</w:t>
            </w:r>
          </w:p>
        </w:tc>
        <w:tc>
          <w:tcPr>
            <w:tcW w:w="616" w:type="dxa"/>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-0,5</w:t>
            </w:r>
          </w:p>
        </w:tc>
        <w:tc>
          <w:tcPr>
            <w:tcW w:w="616" w:type="dxa"/>
            <w:vAlign w:val="center"/>
          </w:tcPr>
          <w:p w:rsidR="00EB0FD4" w:rsidRPr="00434852" w:rsidRDefault="00EB0FD4" w:rsidP="00603206">
            <w:pPr>
              <w:spacing w:after="0"/>
              <w:jc w:val="center"/>
              <w:rPr>
                <w:rFonts w:ascii="Arial Narrow" w:hAnsi="Arial Narrow"/>
                <w:color w:val="000000" w:themeColor="text1"/>
                <w:sz w:val="20"/>
                <w:szCs w:val="20"/>
              </w:rPr>
            </w:pPr>
            <w:r w:rsidRPr="00434852">
              <w:rPr>
                <w:rFonts w:ascii="Arial Narrow" w:hAnsi="Arial Narrow"/>
                <w:color w:val="000000" w:themeColor="text1"/>
                <w:sz w:val="20"/>
                <w:szCs w:val="20"/>
              </w:rPr>
              <w:t>-0,6</w:t>
            </w:r>
          </w:p>
        </w:tc>
      </w:tr>
    </w:tbl>
    <w:p w:rsidR="00E143EB" w:rsidRPr="00CA3860" w:rsidRDefault="00E143EB" w:rsidP="00E143EB">
      <w:pPr>
        <w:spacing w:after="0"/>
        <w:rPr>
          <w:rFonts w:ascii="Times New Roman" w:hAnsi="Times New Roman"/>
          <w:sz w:val="20"/>
          <w:szCs w:val="20"/>
        </w:rPr>
      </w:pPr>
      <w:r>
        <w:rPr>
          <w:rFonts w:ascii="Times New Roman" w:hAnsi="Times New Roman"/>
          <w:sz w:val="20"/>
          <w:szCs w:val="20"/>
        </w:rPr>
        <w:lastRenderedPageBreak/>
        <w:t>Zdroj: MPSVR SR</w:t>
      </w:r>
      <w:r w:rsidRPr="00CA3860">
        <w:rPr>
          <w:rFonts w:ascii="Times New Roman" w:hAnsi="Times New Roman"/>
          <w:sz w:val="20"/>
          <w:szCs w:val="20"/>
        </w:rPr>
        <w:t>; (-) záporná hodnota predstavuje úsporu</w:t>
      </w:r>
    </w:p>
    <w:p w:rsidR="00E143EB" w:rsidRDefault="00E143EB" w:rsidP="009C11D6">
      <w:pPr>
        <w:spacing w:after="0" w:line="240" w:lineRule="auto"/>
        <w:jc w:val="both"/>
        <w:rPr>
          <w:rFonts w:ascii="Times New Roman" w:hAnsi="Times New Roman" w:cs="Verdana"/>
          <w:b/>
          <w:bCs/>
          <w:iCs/>
          <w:sz w:val="24"/>
          <w:szCs w:val="24"/>
        </w:rPr>
      </w:pPr>
    </w:p>
    <w:p w:rsidR="00FC61BB" w:rsidRDefault="00FC61BB" w:rsidP="009C11D6">
      <w:pPr>
        <w:spacing w:after="0" w:line="240" w:lineRule="auto"/>
        <w:jc w:val="both"/>
        <w:rPr>
          <w:rFonts w:ascii="Times New Roman" w:hAnsi="Times New Roman" w:cs="Verdana"/>
          <w:b/>
          <w:bCs/>
          <w:iCs/>
          <w:sz w:val="24"/>
          <w:szCs w:val="24"/>
        </w:rPr>
      </w:pPr>
    </w:p>
    <w:p w:rsidR="00E143EB" w:rsidRDefault="00E143EB" w:rsidP="00E143EB">
      <w:pPr>
        <w:spacing w:after="0" w:line="240" w:lineRule="auto"/>
        <w:rPr>
          <w:rFonts w:ascii="Times New Roman" w:hAnsi="Times New Roman" w:cs="Verdana"/>
          <w:b/>
          <w:bCs/>
          <w:iCs/>
          <w:sz w:val="24"/>
          <w:szCs w:val="24"/>
        </w:rPr>
      </w:pPr>
      <w:r>
        <w:rPr>
          <w:rFonts w:ascii="Times New Roman" w:hAnsi="Times New Roman" w:cs="Verdana"/>
          <w:b/>
          <w:bCs/>
          <w:iCs/>
          <w:sz w:val="24"/>
          <w:szCs w:val="24"/>
        </w:rPr>
        <w:t>Vplyv niektorých opatrení na dlhodobom horizonte</w:t>
      </w:r>
    </w:p>
    <w:p w:rsidR="00E143EB" w:rsidRDefault="00E143EB" w:rsidP="00E143EB">
      <w:pPr>
        <w:spacing w:after="0" w:line="240" w:lineRule="auto"/>
        <w:rPr>
          <w:rFonts w:ascii="Times New Roman" w:hAnsi="Times New Roman" w:cs="Verdana"/>
          <w:b/>
          <w:bCs/>
          <w:iCs/>
          <w:sz w:val="24"/>
          <w:szCs w:val="24"/>
        </w:rPr>
      </w:pPr>
    </w:p>
    <w:p w:rsidR="00E143EB" w:rsidRPr="00863545" w:rsidRDefault="00E143EB" w:rsidP="00E143EB">
      <w:pPr>
        <w:pStyle w:val="Nadpis2"/>
        <w:spacing w:before="0"/>
        <w:rPr>
          <w:rFonts w:ascii="Times New Roman" w:hAnsi="Times New Roman" w:cs="Times New Roman"/>
          <w:color w:val="auto"/>
          <w:sz w:val="22"/>
          <w:szCs w:val="22"/>
        </w:rPr>
      </w:pPr>
      <w:r w:rsidRPr="006C6991">
        <w:rPr>
          <w:rFonts w:ascii="Times New Roman" w:hAnsi="Times New Roman" w:cs="Times New Roman"/>
          <w:color w:val="auto"/>
          <w:sz w:val="22"/>
          <w:szCs w:val="22"/>
        </w:rPr>
        <w:t>Zhrnutie</w:t>
      </w:r>
      <w:r>
        <w:rPr>
          <w:rFonts w:ascii="Times New Roman" w:hAnsi="Times New Roman" w:cs="Times New Roman"/>
          <w:color w:val="auto"/>
          <w:sz w:val="22"/>
          <w:szCs w:val="22"/>
        </w:rPr>
        <w:t xml:space="preserve"> niektorých</w:t>
      </w:r>
      <w:r w:rsidRPr="006C6991">
        <w:rPr>
          <w:rFonts w:ascii="Times New Roman" w:hAnsi="Times New Roman" w:cs="Times New Roman"/>
          <w:color w:val="auto"/>
          <w:sz w:val="22"/>
          <w:szCs w:val="22"/>
        </w:rPr>
        <w:t xml:space="preserve"> vplyvov na bilanciu dôchodkového systému</w:t>
      </w:r>
      <w:r>
        <w:rPr>
          <w:rFonts w:ascii="Times New Roman" w:hAnsi="Times New Roman" w:cs="Times New Roman"/>
          <w:color w:val="auto"/>
          <w:sz w:val="22"/>
          <w:szCs w:val="22"/>
        </w:rPr>
        <w:t xml:space="preserve"> v dlhodobom horizonte</w:t>
      </w:r>
      <w:r w:rsidRPr="006C6991">
        <w:rPr>
          <w:rFonts w:ascii="Times New Roman" w:hAnsi="Times New Roman" w:cs="Times New Roman"/>
          <w:color w:val="auto"/>
          <w:sz w:val="22"/>
          <w:szCs w:val="22"/>
        </w:rPr>
        <w:t>:</w:t>
      </w:r>
    </w:p>
    <w:tbl>
      <w:tblPr>
        <w:tblStyle w:val="Mriekatabuky"/>
        <w:tblW w:w="10024" w:type="dxa"/>
        <w:jc w:val="center"/>
        <w:tblLook w:val="04A0" w:firstRow="1" w:lastRow="0" w:firstColumn="1" w:lastColumn="0" w:noHBand="0" w:noVBand="1"/>
      </w:tblPr>
      <w:tblGrid>
        <w:gridCol w:w="2148"/>
        <w:gridCol w:w="673"/>
        <w:gridCol w:w="646"/>
        <w:gridCol w:w="673"/>
        <w:gridCol w:w="673"/>
        <w:gridCol w:w="673"/>
        <w:gridCol w:w="673"/>
        <w:gridCol w:w="673"/>
        <w:gridCol w:w="673"/>
        <w:gridCol w:w="646"/>
        <w:gridCol w:w="646"/>
        <w:gridCol w:w="581"/>
        <w:gridCol w:w="646"/>
      </w:tblGrid>
      <w:tr w:rsidR="00EB0FD4" w:rsidRPr="006C6991" w:rsidTr="00671FD4">
        <w:trPr>
          <w:trHeight w:val="300"/>
          <w:jc w:val="center"/>
        </w:trPr>
        <w:tc>
          <w:tcPr>
            <w:tcW w:w="2148" w:type="dxa"/>
            <w:shd w:val="clear" w:color="auto" w:fill="A6A6A6" w:themeFill="background1" w:themeFillShade="A6"/>
            <w:noWrap/>
            <w:hideMark/>
          </w:tcPr>
          <w:p w:rsidR="00E143EB" w:rsidRPr="00FC61BB" w:rsidRDefault="00E143EB" w:rsidP="00B3691A">
            <w:pPr>
              <w:spacing w:after="0" w:line="240" w:lineRule="auto"/>
              <w:rPr>
                <w:rFonts w:ascii="Arial Narrow" w:hAnsi="Arial Narrow"/>
                <w:color w:val="000000"/>
                <w:sz w:val="20"/>
                <w:szCs w:val="20"/>
                <w:lang w:eastAsia="sk-SK"/>
              </w:rPr>
            </w:pPr>
            <w:r w:rsidRPr="00FC61BB">
              <w:rPr>
                <w:rFonts w:ascii="Arial Narrow" w:hAnsi="Arial Narrow"/>
                <w:color w:val="000000"/>
                <w:sz w:val="20"/>
                <w:szCs w:val="20"/>
                <w:lang w:eastAsia="sk-SK"/>
              </w:rPr>
              <w:t> </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2023</w:t>
            </w:r>
          </w:p>
        </w:tc>
        <w:tc>
          <w:tcPr>
            <w:tcW w:w="646" w:type="dxa"/>
            <w:shd w:val="clear" w:color="auto" w:fill="A6A6A6" w:themeFill="background1" w:themeFillShade="A6"/>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2024</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2025</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2030</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2035</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2040</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2045</w:t>
            </w:r>
          </w:p>
        </w:tc>
        <w:tc>
          <w:tcPr>
            <w:tcW w:w="673" w:type="dxa"/>
            <w:shd w:val="clear" w:color="auto" w:fill="A6A6A6" w:themeFill="background1" w:themeFillShade="A6"/>
            <w:noWrap/>
            <w:hideMark/>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2050</w:t>
            </w:r>
          </w:p>
        </w:tc>
        <w:tc>
          <w:tcPr>
            <w:tcW w:w="646" w:type="dxa"/>
            <w:shd w:val="clear" w:color="auto" w:fill="A6A6A6" w:themeFill="background1" w:themeFillShade="A6"/>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2055</w:t>
            </w:r>
          </w:p>
        </w:tc>
        <w:tc>
          <w:tcPr>
            <w:tcW w:w="646" w:type="dxa"/>
            <w:shd w:val="clear" w:color="auto" w:fill="A6A6A6" w:themeFill="background1" w:themeFillShade="A6"/>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2060</w:t>
            </w:r>
          </w:p>
        </w:tc>
        <w:tc>
          <w:tcPr>
            <w:tcW w:w="581" w:type="dxa"/>
            <w:shd w:val="clear" w:color="auto" w:fill="A6A6A6" w:themeFill="background1" w:themeFillShade="A6"/>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2065</w:t>
            </w:r>
          </w:p>
        </w:tc>
        <w:tc>
          <w:tcPr>
            <w:tcW w:w="646" w:type="dxa"/>
            <w:shd w:val="clear" w:color="auto" w:fill="A6A6A6" w:themeFill="background1" w:themeFillShade="A6"/>
          </w:tcPr>
          <w:p w:rsidR="00E143EB" w:rsidRPr="00FC61BB" w:rsidRDefault="00E143EB" w:rsidP="00B3691A">
            <w:pPr>
              <w:spacing w:after="0" w:line="240" w:lineRule="auto"/>
              <w:jc w:val="center"/>
              <w:rPr>
                <w:rFonts w:ascii="Arial Narrow" w:hAnsi="Arial Narrow"/>
                <w:b/>
                <w:color w:val="000000"/>
                <w:sz w:val="20"/>
                <w:szCs w:val="20"/>
                <w:lang w:eastAsia="sk-SK"/>
              </w:rPr>
            </w:pPr>
            <w:r w:rsidRPr="00FC61BB">
              <w:rPr>
                <w:rFonts w:ascii="Arial Narrow" w:hAnsi="Arial Narrow"/>
                <w:b/>
                <w:color w:val="000000"/>
                <w:sz w:val="20"/>
                <w:szCs w:val="20"/>
                <w:lang w:eastAsia="sk-SK"/>
              </w:rPr>
              <w:t>2070</w:t>
            </w:r>
          </w:p>
        </w:tc>
      </w:tr>
      <w:tr w:rsidR="00EB0FD4" w:rsidRPr="006C6991" w:rsidTr="00671FD4">
        <w:trPr>
          <w:trHeight w:val="300"/>
          <w:jc w:val="center"/>
        </w:trPr>
        <w:tc>
          <w:tcPr>
            <w:tcW w:w="2148" w:type="dxa"/>
            <w:noWrap/>
            <w:hideMark/>
          </w:tcPr>
          <w:p w:rsidR="00EB0FD4" w:rsidRPr="00FC61BB" w:rsidRDefault="00EB0FD4" w:rsidP="00EB0FD4">
            <w:pPr>
              <w:spacing w:after="0" w:line="240" w:lineRule="auto"/>
              <w:jc w:val="center"/>
              <w:rPr>
                <w:rFonts w:ascii="Arial Narrow" w:hAnsi="Arial Narrow"/>
                <w:bCs/>
                <w:color w:val="000000" w:themeColor="text1"/>
                <w:sz w:val="20"/>
                <w:szCs w:val="20"/>
                <w:lang w:eastAsia="sk-SK"/>
              </w:rPr>
            </w:pPr>
            <w:r w:rsidRPr="00FC61BB">
              <w:rPr>
                <w:rFonts w:ascii="Arial Narrow" w:hAnsi="Arial Narrow"/>
                <w:color w:val="000000" w:themeColor="text1"/>
                <w:sz w:val="20"/>
                <w:szCs w:val="20"/>
              </w:rPr>
              <w:t>Naviazanie dôchodkového veku na SDŽ</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-0,3</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-0,8</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-1,1</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-1,5</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-1,8</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-1,9</w:t>
            </w:r>
          </w:p>
        </w:tc>
        <w:tc>
          <w:tcPr>
            <w:tcW w:w="581"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-1,8</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-2,0</w:t>
            </w:r>
          </w:p>
        </w:tc>
      </w:tr>
      <w:tr w:rsidR="00EB0FD4" w:rsidRPr="006C6991" w:rsidTr="00671FD4">
        <w:trPr>
          <w:trHeight w:val="300"/>
          <w:jc w:val="center"/>
        </w:trPr>
        <w:tc>
          <w:tcPr>
            <w:tcW w:w="2148" w:type="dxa"/>
            <w:noWrap/>
          </w:tcPr>
          <w:p w:rsidR="00EB0FD4" w:rsidRPr="00FC61BB" w:rsidRDefault="00EB0FD4" w:rsidP="00EB0FD4">
            <w:pPr>
              <w:spacing w:after="0" w:line="240" w:lineRule="auto"/>
              <w:jc w:val="center"/>
              <w:rPr>
                <w:rFonts w:ascii="Arial Narrow" w:hAnsi="Arial Narrow"/>
                <w:bCs/>
                <w:color w:val="000000" w:themeColor="text1"/>
                <w:sz w:val="20"/>
                <w:szCs w:val="20"/>
                <w:lang w:eastAsia="sk-SK"/>
              </w:rPr>
            </w:pPr>
            <w:r w:rsidRPr="00FC61BB">
              <w:rPr>
                <w:rFonts w:ascii="Arial Narrow" w:hAnsi="Arial Narrow"/>
                <w:color w:val="000000" w:themeColor="text1"/>
                <w:sz w:val="20"/>
                <w:szCs w:val="20"/>
              </w:rPr>
              <w:t xml:space="preserve">Nárok na PSD po 40 odpracovaných rokov </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581"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c>
          <w:tcPr>
            <w:tcW w:w="646" w:type="dxa"/>
            <w:vAlign w:val="bottom"/>
          </w:tcPr>
          <w:p w:rsidR="00EB0FD4" w:rsidRPr="00FC61BB" w:rsidRDefault="00EB0FD4" w:rsidP="00EB0FD4">
            <w:pPr>
              <w:spacing w:after="0"/>
              <w:jc w:val="center"/>
              <w:rPr>
                <w:rFonts w:ascii="Arial Narrow" w:hAnsi="Arial Narrow"/>
                <w:color w:val="000000" w:themeColor="text1"/>
                <w:sz w:val="20"/>
                <w:szCs w:val="20"/>
              </w:rPr>
            </w:pPr>
            <w:r w:rsidRPr="00FC61BB">
              <w:rPr>
                <w:rFonts w:ascii="Arial Narrow" w:hAnsi="Arial Narrow" w:cs="Arial"/>
                <w:sz w:val="20"/>
                <w:szCs w:val="20"/>
              </w:rPr>
              <w:t>0,1</w:t>
            </w:r>
          </w:p>
        </w:tc>
      </w:tr>
      <w:tr w:rsidR="00671FD4" w:rsidRPr="006C6991" w:rsidTr="00671FD4">
        <w:trPr>
          <w:trHeight w:val="300"/>
          <w:jc w:val="center"/>
        </w:trPr>
        <w:tc>
          <w:tcPr>
            <w:tcW w:w="2148" w:type="dxa"/>
            <w:noWrap/>
          </w:tcPr>
          <w:p w:rsidR="00671FD4" w:rsidRPr="00FC61BB" w:rsidRDefault="00671FD4" w:rsidP="00671FD4">
            <w:pPr>
              <w:spacing w:after="0" w:line="240" w:lineRule="auto"/>
              <w:jc w:val="center"/>
              <w:rPr>
                <w:rFonts w:ascii="Arial Narrow" w:hAnsi="Arial Narrow"/>
                <w:bCs/>
                <w:color w:val="000000" w:themeColor="text1"/>
                <w:sz w:val="20"/>
                <w:szCs w:val="20"/>
                <w:lang w:eastAsia="sk-SK"/>
              </w:rPr>
            </w:pPr>
            <w:r w:rsidRPr="00FC61BB">
              <w:rPr>
                <w:rFonts w:ascii="Arial Narrow" w:hAnsi="Arial Narrow"/>
                <w:color w:val="000000" w:themeColor="text1"/>
                <w:sz w:val="20"/>
                <w:szCs w:val="20"/>
              </w:rPr>
              <w:t>Rodičovský dôchodok (asignácia)</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0,2</w:t>
            </w:r>
          </w:p>
        </w:tc>
        <w:tc>
          <w:tcPr>
            <w:tcW w:w="646" w:type="dxa"/>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0,2</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0,2</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0,3</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2</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673" w:type="dxa"/>
            <w:noWrap/>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646" w:type="dxa"/>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646" w:type="dxa"/>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581" w:type="dxa"/>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c>
          <w:tcPr>
            <w:tcW w:w="646" w:type="dxa"/>
            <w:vAlign w:val="bottom"/>
          </w:tcPr>
          <w:p w:rsidR="00671FD4" w:rsidRPr="00671FD4" w:rsidRDefault="00671FD4" w:rsidP="00671FD4">
            <w:pPr>
              <w:spacing w:after="0"/>
              <w:jc w:val="center"/>
              <w:rPr>
                <w:rFonts w:ascii="Arial Narrow" w:hAnsi="Arial Narrow" w:cs="Arial"/>
                <w:sz w:val="20"/>
                <w:szCs w:val="20"/>
              </w:rPr>
            </w:pPr>
            <w:r w:rsidRPr="00671FD4">
              <w:rPr>
                <w:rFonts w:ascii="Arial Narrow" w:hAnsi="Arial Narrow" w:cs="Arial"/>
                <w:sz w:val="20"/>
                <w:szCs w:val="20"/>
              </w:rPr>
              <w:t>0,</w:t>
            </w:r>
            <w:r w:rsidR="0052047A">
              <w:rPr>
                <w:rFonts w:ascii="Arial Narrow" w:hAnsi="Arial Narrow" w:cs="Arial"/>
                <w:sz w:val="20"/>
                <w:szCs w:val="20"/>
              </w:rPr>
              <w:t>3</w:t>
            </w:r>
          </w:p>
        </w:tc>
      </w:tr>
      <w:tr w:rsidR="00EB0FD4" w:rsidRPr="006C6991" w:rsidTr="00671FD4">
        <w:trPr>
          <w:trHeight w:val="300"/>
          <w:jc w:val="center"/>
        </w:trPr>
        <w:tc>
          <w:tcPr>
            <w:tcW w:w="2148" w:type="dxa"/>
            <w:noWrap/>
          </w:tcPr>
          <w:p w:rsidR="00EB0FD4" w:rsidRPr="00FC61BB" w:rsidRDefault="00EB0FD4" w:rsidP="00EB0FD4">
            <w:pPr>
              <w:spacing w:after="0" w:line="240" w:lineRule="auto"/>
              <w:jc w:val="center"/>
              <w:rPr>
                <w:rFonts w:ascii="Arial Narrow" w:hAnsi="Arial Narrow" w:cs="Times New Roman"/>
                <w:bCs/>
                <w:color w:val="000000" w:themeColor="text1"/>
                <w:sz w:val="20"/>
                <w:szCs w:val="20"/>
                <w:lang w:eastAsia="sk-SK"/>
              </w:rPr>
            </w:pPr>
            <w:r w:rsidRPr="00FC61BB">
              <w:rPr>
                <w:rFonts w:ascii="Arial Narrow" w:hAnsi="Arial Narrow" w:cs="Times New Roman"/>
                <w:color w:val="000000" w:themeColor="text1"/>
                <w:sz w:val="20"/>
                <w:szCs w:val="20"/>
              </w:rPr>
              <w:t xml:space="preserve">Korekcia ADH </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0,0</w:t>
            </w:r>
          </w:p>
        </w:tc>
        <w:tc>
          <w:tcPr>
            <w:tcW w:w="646" w:type="dxa"/>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0,0</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-0,1</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-0,2</w:t>
            </w:r>
          </w:p>
        </w:tc>
        <w:tc>
          <w:tcPr>
            <w:tcW w:w="673" w:type="dxa"/>
            <w:noWrap/>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-0,3</w:t>
            </w:r>
          </w:p>
        </w:tc>
        <w:tc>
          <w:tcPr>
            <w:tcW w:w="646" w:type="dxa"/>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-0,4</w:t>
            </w:r>
          </w:p>
        </w:tc>
        <w:tc>
          <w:tcPr>
            <w:tcW w:w="646" w:type="dxa"/>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-0,5</w:t>
            </w:r>
          </w:p>
        </w:tc>
        <w:tc>
          <w:tcPr>
            <w:tcW w:w="581" w:type="dxa"/>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-0,5</w:t>
            </w:r>
          </w:p>
        </w:tc>
        <w:tc>
          <w:tcPr>
            <w:tcW w:w="646" w:type="dxa"/>
            <w:vAlign w:val="bottom"/>
          </w:tcPr>
          <w:p w:rsidR="00EB0FD4" w:rsidRPr="00FC61BB" w:rsidRDefault="00EB0FD4" w:rsidP="00EB0FD4">
            <w:pPr>
              <w:spacing w:after="0"/>
              <w:jc w:val="center"/>
              <w:rPr>
                <w:rFonts w:ascii="Arial Narrow" w:hAnsi="Arial Narrow" w:cs="Times New Roman"/>
                <w:color w:val="000000" w:themeColor="text1"/>
                <w:sz w:val="20"/>
                <w:szCs w:val="20"/>
              </w:rPr>
            </w:pPr>
            <w:r w:rsidRPr="00FC61BB">
              <w:rPr>
                <w:rFonts w:ascii="Arial Narrow" w:hAnsi="Arial Narrow" w:cs="Arial"/>
                <w:sz w:val="20"/>
                <w:szCs w:val="20"/>
              </w:rPr>
              <w:t>-0,6</w:t>
            </w:r>
          </w:p>
        </w:tc>
      </w:tr>
      <w:tr w:rsidR="00EB0FD4" w:rsidRPr="006C6991" w:rsidTr="00671FD4">
        <w:trPr>
          <w:trHeight w:val="300"/>
          <w:jc w:val="center"/>
        </w:trPr>
        <w:tc>
          <w:tcPr>
            <w:tcW w:w="2148" w:type="dxa"/>
            <w:noWrap/>
          </w:tcPr>
          <w:p w:rsidR="00EB0FD4" w:rsidRPr="00A5146B" w:rsidRDefault="00EB0FD4" w:rsidP="00EB0FD4">
            <w:pPr>
              <w:spacing w:after="0" w:line="240" w:lineRule="auto"/>
              <w:jc w:val="center"/>
              <w:rPr>
                <w:rFonts w:ascii="Arial Narrow" w:hAnsi="Arial Narrow" w:cs="Times New Roman"/>
                <w:b/>
                <w:color w:val="000000" w:themeColor="text1"/>
                <w:sz w:val="20"/>
                <w:szCs w:val="20"/>
              </w:rPr>
            </w:pPr>
            <w:r w:rsidRPr="00A5146B">
              <w:rPr>
                <w:rFonts w:ascii="Arial Narrow" w:hAnsi="Arial Narrow" w:cs="Times New Roman"/>
                <w:b/>
                <w:color w:val="000000" w:themeColor="text1"/>
                <w:sz w:val="20"/>
                <w:szCs w:val="20"/>
              </w:rPr>
              <w:t>Vplyv kombinácie uvedených opatrení</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A5144D">
              <w:rPr>
                <w:rFonts w:ascii="Arial Narrow" w:hAnsi="Arial Narrow" w:cs="Arial"/>
                <w:b/>
                <w:sz w:val="20"/>
                <w:szCs w:val="20"/>
              </w:rPr>
              <w:t>3</w:t>
            </w:r>
          </w:p>
        </w:tc>
        <w:tc>
          <w:tcPr>
            <w:tcW w:w="646" w:type="dxa"/>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A5144D">
              <w:rPr>
                <w:rFonts w:ascii="Arial Narrow" w:hAnsi="Arial Narrow" w:cs="Arial"/>
                <w:b/>
                <w:sz w:val="20"/>
                <w:szCs w:val="20"/>
              </w:rPr>
              <w:t>3</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A5144D">
              <w:rPr>
                <w:rFonts w:ascii="Arial Narrow" w:hAnsi="Arial Narrow" w:cs="Arial"/>
                <w:b/>
                <w:sz w:val="20"/>
                <w:szCs w:val="20"/>
              </w:rPr>
              <w:t>3</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A5144D">
              <w:rPr>
                <w:rFonts w:ascii="Arial Narrow" w:hAnsi="Arial Narrow" w:cs="Arial"/>
                <w:b/>
                <w:sz w:val="20"/>
                <w:szCs w:val="20"/>
              </w:rPr>
              <w:t>3</w:t>
            </w:r>
          </w:p>
        </w:tc>
        <w:tc>
          <w:tcPr>
            <w:tcW w:w="673" w:type="dxa"/>
            <w:noWrap/>
            <w:vAlign w:val="bottom"/>
          </w:tcPr>
          <w:p w:rsidR="00EB0FD4" w:rsidRPr="00FC61BB" w:rsidRDefault="00A5144D" w:rsidP="00EB0FD4">
            <w:pPr>
              <w:spacing w:after="0"/>
              <w:jc w:val="center"/>
              <w:rPr>
                <w:rFonts w:ascii="Arial Narrow" w:hAnsi="Arial Narrow" w:cs="Times New Roman"/>
                <w:b/>
                <w:sz w:val="20"/>
                <w:szCs w:val="20"/>
              </w:rPr>
            </w:pPr>
            <w:r>
              <w:rPr>
                <w:rFonts w:ascii="Arial Narrow" w:hAnsi="Arial Narrow" w:cs="Arial"/>
                <w:b/>
                <w:sz w:val="20"/>
                <w:szCs w:val="20"/>
              </w:rPr>
              <w:t>-0,1</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52047A">
              <w:rPr>
                <w:rFonts w:ascii="Arial Narrow" w:hAnsi="Arial Narrow" w:cs="Arial"/>
                <w:b/>
                <w:sz w:val="20"/>
                <w:szCs w:val="20"/>
              </w:rPr>
              <w:t>5</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-0,</w:t>
            </w:r>
            <w:r w:rsidR="0052047A">
              <w:rPr>
                <w:rFonts w:ascii="Arial Narrow" w:hAnsi="Arial Narrow" w:cs="Arial"/>
                <w:b/>
                <w:sz w:val="20"/>
                <w:szCs w:val="20"/>
              </w:rPr>
              <w:t>9</w:t>
            </w:r>
          </w:p>
        </w:tc>
        <w:tc>
          <w:tcPr>
            <w:tcW w:w="673" w:type="dxa"/>
            <w:noWrap/>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-1,</w:t>
            </w:r>
            <w:r w:rsidR="0052047A">
              <w:rPr>
                <w:rFonts w:ascii="Arial Narrow" w:hAnsi="Arial Narrow" w:cs="Arial"/>
                <w:b/>
                <w:sz w:val="20"/>
                <w:szCs w:val="20"/>
              </w:rPr>
              <w:t>4</w:t>
            </w:r>
          </w:p>
        </w:tc>
        <w:tc>
          <w:tcPr>
            <w:tcW w:w="646" w:type="dxa"/>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-1,</w:t>
            </w:r>
            <w:r w:rsidR="0052047A">
              <w:rPr>
                <w:rFonts w:ascii="Arial Narrow" w:hAnsi="Arial Narrow" w:cs="Arial"/>
                <w:b/>
                <w:sz w:val="20"/>
                <w:szCs w:val="20"/>
              </w:rPr>
              <w:t>8</w:t>
            </w:r>
          </w:p>
        </w:tc>
        <w:tc>
          <w:tcPr>
            <w:tcW w:w="646" w:type="dxa"/>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-1,</w:t>
            </w:r>
            <w:r w:rsidR="0052047A">
              <w:rPr>
                <w:rFonts w:ascii="Arial Narrow" w:hAnsi="Arial Narrow" w:cs="Arial"/>
                <w:b/>
                <w:sz w:val="20"/>
                <w:szCs w:val="20"/>
              </w:rPr>
              <w:t>9</w:t>
            </w:r>
          </w:p>
        </w:tc>
        <w:tc>
          <w:tcPr>
            <w:tcW w:w="581" w:type="dxa"/>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-1,</w:t>
            </w:r>
            <w:r w:rsidR="0052047A">
              <w:rPr>
                <w:rFonts w:ascii="Arial Narrow" w:hAnsi="Arial Narrow" w:cs="Arial"/>
                <w:b/>
                <w:sz w:val="20"/>
                <w:szCs w:val="20"/>
              </w:rPr>
              <w:t>9</w:t>
            </w:r>
          </w:p>
        </w:tc>
        <w:tc>
          <w:tcPr>
            <w:tcW w:w="646" w:type="dxa"/>
            <w:vAlign w:val="bottom"/>
          </w:tcPr>
          <w:p w:rsidR="00EB0FD4" w:rsidRPr="00FC61BB" w:rsidRDefault="00EB0FD4" w:rsidP="00EB0FD4">
            <w:pPr>
              <w:spacing w:after="0"/>
              <w:jc w:val="center"/>
              <w:rPr>
                <w:rFonts w:ascii="Arial Narrow" w:hAnsi="Arial Narrow" w:cs="Times New Roman"/>
                <w:b/>
                <w:sz w:val="20"/>
                <w:szCs w:val="20"/>
              </w:rPr>
            </w:pPr>
            <w:r w:rsidRPr="00FC61BB">
              <w:rPr>
                <w:rFonts w:ascii="Arial Narrow" w:hAnsi="Arial Narrow" w:cs="Arial"/>
                <w:b/>
                <w:sz w:val="20"/>
                <w:szCs w:val="20"/>
              </w:rPr>
              <w:t>-</w:t>
            </w:r>
            <w:r w:rsidR="0052047A">
              <w:rPr>
                <w:rFonts w:ascii="Arial Narrow" w:hAnsi="Arial Narrow" w:cs="Arial"/>
                <w:b/>
                <w:sz w:val="20"/>
                <w:szCs w:val="20"/>
              </w:rPr>
              <w:t>2,2</w:t>
            </w:r>
          </w:p>
        </w:tc>
      </w:tr>
    </w:tbl>
    <w:p w:rsidR="00AD678C" w:rsidRDefault="00E143EB" w:rsidP="00506756">
      <w:pPr>
        <w:spacing w:after="0"/>
        <w:rPr>
          <w:rFonts w:ascii="Times New Roman" w:hAnsi="Times New Roman"/>
          <w:sz w:val="20"/>
          <w:szCs w:val="20"/>
        </w:rPr>
      </w:pPr>
      <w:r>
        <w:rPr>
          <w:rFonts w:ascii="Times New Roman" w:hAnsi="Times New Roman"/>
          <w:sz w:val="20"/>
          <w:szCs w:val="20"/>
        </w:rPr>
        <w:t>Zdroj: MPSVR SR</w:t>
      </w:r>
      <w:r w:rsidRPr="001D51F8">
        <w:rPr>
          <w:rFonts w:ascii="Times New Roman" w:hAnsi="Times New Roman"/>
          <w:sz w:val="20"/>
          <w:szCs w:val="20"/>
        </w:rPr>
        <w:t>; (-) zá</w:t>
      </w:r>
      <w:r>
        <w:rPr>
          <w:rFonts w:ascii="Times New Roman" w:hAnsi="Times New Roman"/>
          <w:sz w:val="20"/>
          <w:szCs w:val="20"/>
        </w:rPr>
        <w:t>porná hodnota predstavuje pozitívny vplyv na bilanciu dôchodkového systému</w:t>
      </w:r>
    </w:p>
    <w:p w:rsidR="00EB0FD4" w:rsidRPr="00506756" w:rsidRDefault="00EB0FD4" w:rsidP="00506756">
      <w:pPr>
        <w:spacing w:after="0"/>
        <w:rPr>
          <w:rFonts w:ascii="Times New Roman" w:hAnsi="Times New Roman"/>
          <w:sz w:val="20"/>
          <w:szCs w:val="20"/>
        </w:rPr>
      </w:pPr>
    </w:p>
    <w:p w:rsidR="00AD678C" w:rsidRDefault="00AD678C" w:rsidP="00FB7D52">
      <w:pPr>
        <w:spacing w:after="0" w:line="240" w:lineRule="auto"/>
        <w:jc w:val="right"/>
        <w:rPr>
          <w:rFonts w:ascii="Times New Roman" w:eastAsia="Times New Roman" w:hAnsi="Times New Roman" w:cs="Times New Roman"/>
          <w:bCs/>
          <w:lang w:eastAsia="sk-SK"/>
        </w:rPr>
      </w:pPr>
    </w:p>
    <w:p w:rsidR="007735A8" w:rsidRPr="00863545" w:rsidRDefault="00571A25" w:rsidP="00FB7D52">
      <w:pPr>
        <w:spacing w:after="0" w:line="240" w:lineRule="auto"/>
        <w:jc w:val="right"/>
        <w:rPr>
          <w:rFonts w:ascii="Times New Roman" w:hAnsi="Times New Roman" w:cs="Verdana"/>
          <w:b/>
          <w:bCs/>
          <w:iCs/>
        </w:rPr>
      </w:pPr>
      <w:r w:rsidRPr="00863545">
        <w:rPr>
          <w:rFonts w:ascii="Times New Roman" w:eastAsia="Times New Roman" w:hAnsi="Times New Roman" w:cs="Times New Roman"/>
          <w:bCs/>
          <w:lang w:eastAsia="sk-SK"/>
        </w:rPr>
        <w:t>Tabuľka č. 4</w:t>
      </w:r>
      <w:r w:rsidR="006C17A8" w:rsidRPr="00863545">
        <w:rPr>
          <w:rFonts w:ascii="Times New Roman" w:eastAsia="Times New Roman" w:hAnsi="Times New Roman" w:cs="Times New Roman"/>
          <w:bCs/>
          <w:lang w:eastAsia="sk-SK"/>
        </w:rPr>
        <w:t>A v eur</w:t>
      </w:r>
    </w:p>
    <w:tbl>
      <w:tblPr>
        <w:tblW w:w="9297" w:type="dxa"/>
        <w:tblCellMar>
          <w:left w:w="70" w:type="dxa"/>
          <w:right w:w="70" w:type="dxa"/>
        </w:tblCellMar>
        <w:tblLook w:val="04A0" w:firstRow="1" w:lastRow="0" w:firstColumn="1" w:lastColumn="0" w:noHBand="0" w:noVBand="1"/>
      </w:tblPr>
      <w:tblGrid>
        <w:gridCol w:w="3959"/>
        <w:gridCol w:w="978"/>
        <w:gridCol w:w="1058"/>
        <w:gridCol w:w="1158"/>
        <w:gridCol w:w="1201"/>
        <w:gridCol w:w="943"/>
      </w:tblGrid>
      <w:tr w:rsidR="000344CB" w:rsidRPr="00EB0FD4" w:rsidTr="00944DE5">
        <w:trPr>
          <w:trHeight w:val="1005"/>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Výdavky štátny rozpočet (v eurách)</w:t>
            </w:r>
          </w:p>
        </w:tc>
        <w:tc>
          <w:tcPr>
            <w:tcW w:w="4395" w:type="dxa"/>
            <w:gridSpan w:val="4"/>
            <w:tcBorders>
              <w:top w:val="single" w:sz="8" w:space="0" w:color="auto"/>
              <w:left w:val="nil"/>
              <w:bottom w:val="single" w:sz="8" w:space="0" w:color="auto"/>
              <w:right w:val="single" w:sz="8" w:space="0" w:color="000000"/>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 xml:space="preserve">Vplyv na výdavky štátneho rozpočtu    </w:t>
            </w:r>
          </w:p>
        </w:tc>
        <w:tc>
          <w:tcPr>
            <w:tcW w:w="943"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EB0FD4" w:rsidRPr="00163E02" w:rsidRDefault="00EB0FD4" w:rsidP="00EB0FD4">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poznámka</w:t>
            </w:r>
          </w:p>
        </w:tc>
      </w:tr>
      <w:tr w:rsidR="00EB0FD4" w:rsidRPr="00EB0FD4" w:rsidTr="00944DE5">
        <w:trPr>
          <w:trHeight w:val="270"/>
        </w:trPr>
        <w:tc>
          <w:tcPr>
            <w:tcW w:w="3959" w:type="dxa"/>
            <w:vMerge/>
            <w:tcBorders>
              <w:top w:val="single" w:sz="8" w:space="0" w:color="auto"/>
              <w:left w:val="single" w:sz="8" w:space="0" w:color="auto"/>
              <w:bottom w:val="single" w:sz="8" w:space="0" w:color="000000"/>
              <w:right w:val="single" w:sz="8" w:space="0" w:color="auto"/>
            </w:tcBorders>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p>
        </w:tc>
        <w:tc>
          <w:tcPr>
            <w:tcW w:w="97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2022</w:t>
            </w:r>
          </w:p>
        </w:tc>
        <w:tc>
          <w:tcPr>
            <w:tcW w:w="105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2023</w:t>
            </w:r>
          </w:p>
        </w:tc>
        <w:tc>
          <w:tcPr>
            <w:tcW w:w="115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2024</w:t>
            </w:r>
          </w:p>
        </w:tc>
        <w:tc>
          <w:tcPr>
            <w:tcW w:w="1201"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2025</w:t>
            </w: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Bežné výdavky (600)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-476 119</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-1 759 191</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Mzdy, platy, služobné príjmy a ostatné osobné vyrovnania (610)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Poistné a príspevok do poisťovní (620)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Tovary a služby (630)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Bežné transfery (640)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-476 119</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-1 759 191</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Transfery jednotlivcom a neziskovým právnickým osobám (642)</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-476 119</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-1 759 191</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85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Splácanie úrokov a ostatné platby súvisiace s  úverom, pôžičkou, návratnou finančnou výpomocou a finančným prenájmom (650)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Kapitálové výdavky (700)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Obstarávanie kapitálových aktív (710)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Kapitálové transfery (720)</w:t>
            </w:r>
          </w:p>
        </w:tc>
        <w:tc>
          <w:tcPr>
            <w:tcW w:w="97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0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158"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201" w:type="dxa"/>
            <w:tcBorders>
              <w:top w:val="nil"/>
              <w:left w:val="nil"/>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Výdavky z transakcií s finančnými aktívami a finančnými pasívami (800)</w:t>
            </w:r>
          </w:p>
        </w:tc>
        <w:tc>
          <w:tcPr>
            <w:tcW w:w="978" w:type="dxa"/>
            <w:tcBorders>
              <w:top w:val="nil"/>
              <w:left w:val="nil"/>
              <w:bottom w:val="single" w:sz="8" w:space="0" w:color="auto"/>
              <w:right w:val="single" w:sz="8" w:space="0" w:color="auto"/>
            </w:tcBorders>
            <w:shd w:val="clear" w:color="000000" w:fill="FFFF99"/>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058" w:type="dxa"/>
            <w:tcBorders>
              <w:top w:val="nil"/>
              <w:left w:val="nil"/>
              <w:bottom w:val="single" w:sz="8" w:space="0" w:color="auto"/>
              <w:right w:val="single" w:sz="8" w:space="0" w:color="auto"/>
            </w:tcBorders>
            <w:shd w:val="clear" w:color="000000" w:fill="FFFF99"/>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158" w:type="dxa"/>
            <w:tcBorders>
              <w:top w:val="nil"/>
              <w:left w:val="nil"/>
              <w:bottom w:val="single" w:sz="8" w:space="0" w:color="auto"/>
              <w:right w:val="single" w:sz="8" w:space="0" w:color="auto"/>
            </w:tcBorders>
            <w:shd w:val="clear" w:color="000000" w:fill="FFFF99"/>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201" w:type="dxa"/>
            <w:tcBorders>
              <w:top w:val="nil"/>
              <w:left w:val="nil"/>
              <w:bottom w:val="single" w:sz="8" w:space="0" w:color="auto"/>
              <w:right w:val="single" w:sz="8" w:space="0" w:color="auto"/>
            </w:tcBorders>
            <w:shd w:val="clear" w:color="000000" w:fill="FFFF99"/>
            <w:vAlign w:val="center"/>
            <w:hideMark/>
          </w:tcPr>
          <w:p w:rsidR="00EB0FD4" w:rsidRPr="00163E02" w:rsidRDefault="00EB0FD4" w:rsidP="00EB0FD4">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43" w:type="dxa"/>
            <w:tcBorders>
              <w:top w:val="nil"/>
              <w:left w:val="nil"/>
              <w:bottom w:val="single" w:sz="8" w:space="0" w:color="auto"/>
              <w:right w:val="single" w:sz="8" w:space="0" w:color="auto"/>
            </w:tcBorders>
            <w:shd w:val="clear" w:color="auto" w:fill="auto"/>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EB0FD4" w:rsidRPr="00EB0FD4" w:rsidTr="00944DE5">
        <w:trPr>
          <w:trHeight w:val="330"/>
        </w:trPr>
        <w:tc>
          <w:tcPr>
            <w:tcW w:w="3959" w:type="dxa"/>
            <w:tcBorders>
              <w:top w:val="nil"/>
              <w:left w:val="single" w:sz="8" w:space="0" w:color="auto"/>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Dopad na výdavky štátneho rozpočtu MPSVR SR celkom</w:t>
            </w:r>
          </w:p>
        </w:tc>
        <w:tc>
          <w:tcPr>
            <w:tcW w:w="97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0</w:t>
            </w:r>
          </w:p>
        </w:tc>
        <w:tc>
          <w:tcPr>
            <w:tcW w:w="105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0</w:t>
            </w:r>
          </w:p>
        </w:tc>
        <w:tc>
          <w:tcPr>
            <w:tcW w:w="1158"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-476 119</w:t>
            </w:r>
          </w:p>
        </w:tc>
        <w:tc>
          <w:tcPr>
            <w:tcW w:w="1201" w:type="dxa"/>
            <w:tcBorders>
              <w:top w:val="nil"/>
              <w:left w:val="nil"/>
              <w:bottom w:val="single" w:sz="8" w:space="0" w:color="auto"/>
              <w:right w:val="single" w:sz="8" w:space="0" w:color="auto"/>
            </w:tcBorders>
            <w:shd w:val="clear" w:color="000000" w:fill="BFBFBF"/>
            <w:vAlign w:val="center"/>
            <w:hideMark/>
          </w:tcPr>
          <w:p w:rsidR="00EB0FD4" w:rsidRPr="00163E02" w:rsidRDefault="00EB0FD4" w:rsidP="00EB0FD4">
            <w:pPr>
              <w:spacing w:after="0" w:line="240" w:lineRule="auto"/>
              <w:jc w:val="right"/>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-1 759 191</w:t>
            </w:r>
          </w:p>
        </w:tc>
        <w:tc>
          <w:tcPr>
            <w:tcW w:w="943" w:type="dxa"/>
            <w:tcBorders>
              <w:top w:val="nil"/>
              <w:left w:val="nil"/>
              <w:bottom w:val="single" w:sz="8" w:space="0" w:color="auto"/>
              <w:right w:val="single" w:sz="8" w:space="0" w:color="auto"/>
            </w:tcBorders>
            <w:shd w:val="clear" w:color="000000" w:fill="BFBFBF"/>
            <w:noWrap/>
            <w:vAlign w:val="center"/>
            <w:hideMark/>
          </w:tcPr>
          <w:p w:rsidR="00EB0FD4" w:rsidRPr="00163E02" w:rsidRDefault="00EB0FD4" w:rsidP="00EB0FD4">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bl>
    <w:p w:rsidR="00170476" w:rsidRDefault="00170476" w:rsidP="007735A8">
      <w:pPr>
        <w:rPr>
          <w:rFonts w:ascii="Times New Roman" w:hAnsi="Times New Roman" w:cs="Verdana"/>
          <w:sz w:val="24"/>
          <w:szCs w:val="24"/>
        </w:rPr>
      </w:pPr>
    </w:p>
    <w:p w:rsidR="00B4417E" w:rsidRDefault="00B4417E" w:rsidP="007735A8">
      <w:pPr>
        <w:rPr>
          <w:rFonts w:ascii="Times New Roman" w:hAnsi="Times New Roman" w:cs="Verdana"/>
          <w:sz w:val="24"/>
          <w:szCs w:val="24"/>
        </w:rPr>
      </w:pPr>
    </w:p>
    <w:p w:rsidR="00B4417E" w:rsidRDefault="00B4417E" w:rsidP="007735A8">
      <w:pPr>
        <w:rPr>
          <w:rFonts w:ascii="Times New Roman" w:hAnsi="Times New Roman" w:cs="Verdana"/>
          <w:sz w:val="24"/>
          <w:szCs w:val="24"/>
        </w:rPr>
      </w:pPr>
    </w:p>
    <w:p w:rsidR="00B4417E" w:rsidRDefault="00B4417E" w:rsidP="007735A8">
      <w:pPr>
        <w:rPr>
          <w:rFonts w:ascii="Times New Roman" w:hAnsi="Times New Roman" w:cs="Verdana"/>
          <w:sz w:val="24"/>
          <w:szCs w:val="24"/>
        </w:rPr>
      </w:pPr>
    </w:p>
    <w:p w:rsidR="00B4417E" w:rsidRDefault="00B4417E" w:rsidP="007735A8">
      <w:pPr>
        <w:rPr>
          <w:rFonts w:ascii="Times New Roman" w:hAnsi="Times New Roman" w:cs="Verdana"/>
          <w:sz w:val="24"/>
          <w:szCs w:val="24"/>
        </w:rPr>
      </w:pPr>
    </w:p>
    <w:p w:rsidR="00B4417E" w:rsidRDefault="00B4417E" w:rsidP="007735A8">
      <w:pPr>
        <w:rPr>
          <w:rFonts w:ascii="Times New Roman" w:hAnsi="Times New Roman" w:cs="Verdana"/>
          <w:sz w:val="24"/>
          <w:szCs w:val="24"/>
        </w:rPr>
      </w:pPr>
    </w:p>
    <w:p w:rsidR="00FB7D52" w:rsidRPr="00863545" w:rsidRDefault="00FB7D52" w:rsidP="00FB7D52">
      <w:pPr>
        <w:spacing w:after="0"/>
        <w:jc w:val="right"/>
        <w:rPr>
          <w:rFonts w:ascii="Times New Roman" w:hAnsi="Times New Roman" w:cs="Verdana"/>
        </w:rPr>
      </w:pPr>
      <w:r w:rsidRPr="00863545">
        <w:rPr>
          <w:rFonts w:ascii="Times New Roman" w:eastAsia="Times New Roman" w:hAnsi="Times New Roman" w:cs="Times New Roman"/>
          <w:bCs/>
          <w:lang w:eastAsia="sk-SK"/>
        </w:rPr>
        <w:t>Tabuľka č. 4B v eur</w:t>
      </w:r>
    </w:p>
    <w:tbl>
      <w:tblPr>
        <w:tblW w:w="9404" w:type="dxa"/>
        <w:tblCellMar>
          <w:left w:w="70" w:type="dxa"/>
          <w:right w:w="70" w:type="dxa"/>
        </w:tblCellMar>
        <w:tblLook w:val="04A0" w:firstRow="1" w:lastRow="0" w:firstColumn="1" w:lastColumn="0" w:noHBand="0" w:noVBand="1"/>
      </w:tblPr>
      <w:tblGrid>
        <w:gridCol w:w="3959"/>
        <w:gridCol w:w="978"/>
        <w:gridCol w:w="1058"/>
        <w:gridCol w:w="1158"/>
        <w:gridCol w:w="1300"/>
        <w:gridCol w:w="8"/>
        <w:gridCol w:w="935"/>
        <w:gridCol w:w="8"/>
      </w:tblGrid>
      <w:tr w:rsidR="000344CB" w:rsidRPr="000344CB" w:rsidTr="000344CB">
        <w:trPr>
          <w:trHeight w:val="270"/>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Výdavky rozpočet Sociálnej poisťovne</w:t>
            </w:r>
          </w:p>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 xml:space="preserve"> (v eurách)</w:t>
            </w:r>
          </w:p>
        </w:tc>
        <w:tc>
          <w:tcPr>
            <w:tcW w:w="4502" w:type="dxa"/>
            <w:gridSpan w:val="5"/>
            <w:tcBorders>
              <w:top w:val="single" w:sz="8" w:space="0" w:color="auto"/>
              <w:left w:val="nil"/>
              <w:bottom w:val="single" w:sz="8" w:space="0" w:color="auto"/>
              <w:right w:val="single" w:sz="8" w:space="0" w:color="000000"/>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 xml:space="preserve">Vplyv na rozpočet Sociálnej poisťovne                                                          </w:t>
            </w:r>
          </w:p>
        </w:tc>
        <w:tc>
          <w:tcPr>
            <w:tcW w:w="943" w:type="dxa"/>
            <w:gridSpan w:val="2"/>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poznámka</w:t>
            </w:r>
          </w:p>
        </w:tc>
      </w:tr>
      <w:tr w:rsidR="000344CB" w:rsidRPr="000344CB" w:rsidTr="00013C45">
        <w:trPr>
          <w:gridAfter w:val="1"/>
          <w:wAfter w:w="8" w:type="dxa"/>
          <w:trHeight w:val="270"/>
        </w:trPr>
        <w:tc>
          <w:tcPr>
            <w:tcW w:w="3959" w:type="dxa"/>
            <w:vMerge/>
            <w:tcBorders>
              <w:top w:val="single" w:sz="8" w:space="0" w:color="auto"/>
              <w:left w:val="single" w:sz="8" w:space="0" w:color="auto"/>
              <w:bottom w:val="single" w:sz="8" w:space="0" w:color="000000"/>
              <w:right w:val="single" w:sz="8" w:space="0" w:color="auto"/>
            </w:tcBorders>
            <w:vAlign w:val="center"/>
            <w:hideMark/>
          </w:tcPr>
          <w:p w:rsidR="000344CB" w:rsidRPr="00163E02" w:rsidRDefault="000344CB" w:rsidP="000344CB">
            <w:pPr>
              <w:spacing w:after="0" w:line="240" w:lineRule="auto"/>
              <w:rPr>
                <w:rFonts w:ascii="Arial Narrow" w:eastAsia="Times New Roman" w:hAnsi="Arial Narrow" w:cs="Arial"/>
                <w:b/>
                <w:bCs/>
                <w:sz w:val="20"/>
                <w:szCs w:val="20"/>
                <w:lang w:eastAsia="sk-SK"/>
              </w:rPr>
            </w:pPr>
          </w:p>
        </w:tc>
        <w:tc>
          <w:tcPr>
            <w:tcW w:w="978"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2022</w:t>
            </w:r>
          </w:p>
        </w:tc>
        <w:tc>
          <w:tcPr>
            <w:tcW w:w="1058"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2023</w:t>
            </w:r>
          </w:p>
        </w:tc>
        <w:tc>
          <w:tcPr>
            <w:tcW w:w="1158"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2024</w:t>
            </w:r>
          </w:p>
        </w:tc>
        <w:tc>
          <w:tcPr>
            <w:tcW w:w="1300"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2025</w:t>
            </w:r>
          </w:p>
        </w:tc>
        <w:tc>
          <w:tcPr>
            <w:tcW w:w="943" w:type="dxa"/>
            <w:gridSpan w:val="2"/>
            <w:tcBorders>
              <w:top w:val="single" w:sz="8" w:space="0" w:color="auto"/>
              <w:left w:val="single" w:sz="8" w:space="0" w:color="auto"/>
              <w:bottom w:val="single" w:sz="8" w:space="0" w:color="000000"/>
              <w:right w:val="single" w:sz="8" w:space="0" w:color="auto"/>
            </w:tcBorders>
            <w:vAlign w:val="center"/>
            <w:hideMark/>
          </w:tcPr>
          <w:p w:rsidR="000344CB" w:rsidRPr="00163E02" w:rsidRDefault="000344CB" w:rsidP="000344CB">
            <w:pPr>
              <w:spacing w:after="0" w:line="240" w:lineRule="auto"/>
              <w:rPr>
                <w:rFonts w:ascii="Arial Narrow" w:eastAsia="Times New Roman" w:hAnsi="Arial Narrow" w:cs="Arial"/>
                <w:b/>
                <w:bCs/>
                <w:sz w:val="20"/>
                <w:szCs w:val="20"/>
                <w:lang w:eastAsia="sk-SK"/>
              </w:rPr>
            </w:pPr>
          </w:p>
        </w:tc>
      </w:tr>
      <w:tr w:rsidR="00A5144D" w:rsidRPr="000344CB" w:rsidTr="00013C45">
        <w:trPr>
          <w:gridAfter w:val="1"/>
          <w:wAfter w:w="8" w:type="dxa"/>
          <w:trHeight w:val="100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Bežné výdavky (600)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914 042</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270 826 441</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333 269 483</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398 526 313</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lastRenderedPageBreak/>
              <w:t>Mzdy, platy, služobné príjmy a ostatné osobné vyrovnania (610)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43" w:type="dxa"/>
            <w:gridSpan w:val="2"/>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 </w:t>
            </w:r>
          </w:p>
        </w:tc>
      </w:tr>
      <w:tr w:rsidR="00A5144D" w:rsidRPr="000344CB" w:rsidTr="00013C45">
        <w:trPr>
          <w:gridAfter w:val="1"/>
          <w:wAfter w:w="8" w:type="dxa"/>
          <w:trHeight w:val="27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Poistné a príspevok do poisťovní (620)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43" w:type="dxa"/>
            <w:gridSpan w:val="2"/>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Tovary a služby (630)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300 000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Energie, voda a komunikácie (632)</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Materiál (633)</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Rutinná a štandardná údržba (635)</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300 000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Pr>
                <w:rFonts w:ascii="Arial Narrow" w:hAnsi="Arial Narrow" w:cs="Arial"/>
                <w:i/>
                <w:i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Bežné transfery (640)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614 042</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270 826 441</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333 269 483</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398 526 313</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Transfery jednotlivcom a neziskovým právnickým osobám (642)</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color w:val="000000"/>
                <w:sz w:val="20"/>
                <w:szCs w:val="20"/>
                <w:lang w:eastAsia="sk-SK"/>
              </w:rPr>
            </w:pPr>
            <w:r>
              <w:rPr>
                <w:rFonts w:ascii="Arial Narrow" w:hAnsi="Arial Narrow" w:cs="Arial"/>
                <w:i/>
                <w:iCs/>
                <w:color w:val="000000"/>
                <w:sz w:val="20"/>
                <w:szCs w:val="20"/>
              </w:rPr>
              <w:t>614 042</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color w:val="000000"/>
                <w:sz w:val="20"/>
                <w:szCs w:val="20"/>
                <w:lang w:eastAsia="sk-SK"/>
              </w:rPr>
            </w:pPr>
            <w:r>
              <w:rPr>
                <w:rFonts w:ascii="Arial Narrow" w:hAnsi="Arial Narrow" w:cs="Arial"/>
                <w:i/>
                <w:iCs/>
                <w:color w:val="000000"/>
                <w:sz w:val="20"/>
                <w:szCs w:val="20"/>
              </w:rPr>
              <w:t>270 826 441</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color w:val="000000"/>
                <w:sz w:val="20"/>
                <w:szCs w:val="20"/>
                <w:lang w:eastAsia="sk-SK"/>
              </w:rPr>
            </w:pPr>
            <w:r>
              <w:rPr>
                <w:rFonts w:ascii="Arial Narrow" w:hAnsi="Arial Narrow" w:cs="Arial"/>
                <w:i/>
                <w:iCs/>
                <w:color w:val="000000"/>
                <w:sz w:val="20"/>
                <w:szCs w:val="20"/>
              </w:rPr>
              <w:t>333 269 483</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color w:val="000000"/>
                <w:sz w:val="20"/>
                <w:szCs w:val="20"/>
                <w:lang w:eastAsia="sk-SK"/>
              </w:rPr>
            </w:pPr>
            <w:r>
              <w:rPr>
                <w:rFonts w:ascii="Arial Narrow" w:hAnsi="Arial Narrow" w:cs="Arial"/>
                <w:i/>
                <w:iCs/>
                <w:color w:val="000000"/>
                <w:sz w:val="20"/>
                <w:szCs w:val="20"/>
              </w:rPr>
              <w:t>398 526 313</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85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Splácanie úrokov a ostatné platby súvisiace s  úverom, pôžičkou, návratnou finančnou výpomocou a finančným prenájmom (650)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Kapitálové výdavky (700)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Obstarávanie kapitálových aktív (710)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Kapitálové transfery (720)</w:t>
            </w:r>
          </w:p>
        </w:tc>
        <w:tc>
          <w:tcPr>
            <w:tcW w:w="97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158"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30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Výdavky z transakcií s finančnými aktívami a finančnými pasívami (800)</w:t>
            </w:r>
          </w:p>
        </w:tc>
        <w:tc>
          <w:tcPr>
            <w:tcW w:w="978"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58"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158"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300"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43" w:type="dxa"/>
            <w:gridSpan w:val="2"/>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013C45">
        <w:trPr>
          <w:gridAfter w:val="1"/>
          <w:wAfter w:w="8" w:type="dxa"/>
          <w:trHeight w:val="330"/>
        </w:trPr>
        <w:tc>
          <w:tcPr>
            <w:tcW w:w="3959" w:type="dxa"/>
            <w:tcBorders>
              <w:top w:val="nil"/>
              <w:left w:val="single" w:sz="8" w:space="0" w:color="auto"/>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Dopad na výdavky verejnej správy celkom</w:t>
            </w:r>
          </w:p>
        </w:tc>
        <w:tc>
          <w:tcPr>
            <w:tcW w:w="978"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914 042</w:t>
            </w:r>
          </w:p>
        </w:tc>
        <w:tc>
          <w:tcPr>
            <w:tcW w:w="1058"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270 826 441</w:t>
            </w:r>
          </w:p>
        </w:tc>
        <w:tc>
          <w:tcPr>
            <w:tcW w:w="1158"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333 269 483</w:t>
            </w:r>
          </w:p>
        </w:tc>
        <w:tc>
          <w:tcPr>
            <w:tcW w:w="1300"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398 526 313</w:t>
            </w:r>
          </w:p>
        </w:tc>
        <w:tc>
          <w:tcPr>
            <w:tcW w:w="943" w:type="dxa"/>
            <w:gridSpan w:val="2"/>
            <w:tcBorders>
              <w:top w:val="nil"/>
              <w:left w:val="nil"/>
              <w:bottom w:val="single" w:sz="8" w:space="0" w:color="auto"/>
              <w:right w:val="single" w:sz="8" w:space="0" w:color="auto"/>
            </w:tcBorders>
            <w:shd w:val="clear" w:color="000000" w:fill="BFBFBF"/>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bl>
    <w:p w:rsidR="00FB7D52" w:rsidRDefault="00FB7D52" w:rsidP="007735A8">
      <w:pPr>
        <w:rPr>
          <w:rFonts w:ascii="Times New Roman" w:hAnsi="Times New Roman" w:cs="Verdana"/>
          <w:sz w:val="24"/>
          <w:szCs w:val="24"/>
        </w:rPr>
      </w:pPr>
    </w:p>
    <w:p w:rsidR="00FB7D52" w:rsidRPr="00863545" w:rsidRDefault="00FB7D52" w:rsidP="00FB7D52">
      <w:pPr>
        <w:spacing w:after="0"/>
        <w:jc w:val="right"/>
        <w:rPr>
          <w:rFonts w:ascii="Times New Roman" w:hAnsi="Times New Roman" w:cs="Verdana"/>
        </w:rPr>
      </w:pPr>
      <w:r w:rsidRPr="00863545">
        <w:rPr>
          <w:rFonts w:ascii="Times New Roman" w:eastAsia="Times New Roman" w:hAnsi="Times New Roman" w:cs="Times New Roman"/>
          <w:bCs/>
          <w:lang w:eastAsia="sk-SK"/>
        </w:rPr>
        <w:t>Tabuľka č. 4C v eur</w:t>
      </w:r>
    </w:p>
    <w:tbl>
      <w:tblPr>
        <w:tblW w:w="9415" w:type="dxa"/>
        <w:tblCellMar>
          <w:left w:w="70" w:type="dxa"/>
          <w:right w:w="70" w:type="dxa"/>
        </w:tblCellMar>
        <w:tblLook w:val="04A0" w:firstRow="1" w:lastRow="0" w:firstColumn="1" w:lastColumn="0" w:noHBand="0" w:noVBand="1"/>
      </w:tblPr>
      <w:tblGrid>
        <w:gridCol w:w="3959"/>
        <w:gridCol w:w="980"/>
        <w:gridCol w:w="1060"/>
        <w:gridCol w:w="1221"/>
        <w:gridCol w:w="1275"/>
        <w:gridCol w:w="920"/>
      </w:tblGrid>
      <w:tr w:rsidR="000344CB" w:rsidRPr="000344CB" w:rsidTr="00944DE5">
        <w:trPr>
          <w:trHeight w:val="270"/>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63E02" w:rsidRDefault="000344CB" w:rsidP="00163E02">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 xml:space="preserve">Výdavky rozpočet verejnej správy </w:t>
            </w:r>
          </w:p>
          <w:p w:rsidR="000344CB" w:rsidRPr="00163E02" w:rsidRDefault="000344CB" w:rsidP="00163E02">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(v eurách)</w:t>
            </w:r>
          </w:p>
        </w:tc>
        <w:tc>
          <w:tcPr>
            <w:tcW w:w="4536" w:type="dxa"/>
            <w:gridSpan w:val="4"/>
            <w:tcBorders>
              <w:top w:val="single" w:sz="8" w:space="0" w:color="auto"/>
              <w:left w:val="nil"/>
              <w:bottom w:val="single" w:sz="8" w:space="0" w:color="auto"/>
              <w:right w:val="single" w:sz="8" w:space="0" w:color="000000"/>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 xml:space="preserve">Vplyv na rozpočet verejnej správy celkom                                                      </w:t>
            </w:r>
          </w:p>
        </w:tc>
        <w:tc>
          <w:tcPr>
            <w:tcW w:w="920" w:type="dxa"/>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344CB" w:rsidRPr="00163E02" w:rsidRDefault="000344CB" w:rsidP="000344CB">
            <w:pPr>
              <w:spacing w:after="0" w:line="240" w:lineRule="auto"/>
              <w:jc w:val="center"/>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poznámka</w:t>
            </w:r>
          </w:p>
        </w:tc>
      </w:tr>
      <w:tr w:rsidR="000344CB" w:rsidRPr="000344CB" w:rsidTr="00944DE5">
        <w:trPr>
          <w:trHeight w:val="270"/>
        </w:trPr>
        <w:tc>
          <w:tcPr>
            <w:tcW w:w="3959" w:type="dxa"/>
            <w:vMerge/>
            <w:tcBorders>
              <w:top w:val="single" w:sz="8" w:space="0" w:color="auto"/>
              <w:left w:val="single" w:sz="8" w:space="0" w:color="auto"/>
              <w:bottom w:val="single" w:sz="8" w:space="0" w:color="000000"/>
              <w:right w:val="single" w:sz="8" w:space="0" w:color="auto"/>
            </w:tcBorders>
            <w:vAlign w:val="center"/>
            <w:hideMark/>
          </w:tcPr>
          <w:p w:rsidR="000344CB" w:rsidRPr="00163E02" w:rsidRDefault="000344CB" w:rsidP="000344CB">
            <w:pPr>
              <w:spacing w:after="0" w:line="240" w:lineRule="auto"/>
              <w:rPr>
                <w:rFonts w:ascii="Arial Narrow" w:eastAsia="Times New Roman" w:hAnsi="Arial Narrow" w:cs="Arial"/>
                <w:b/>
                <w:bCs/>
                <w:color w:val="000000" w:themeColor="text1"/>
                <w:sz w:val="20"/>
                <w:szCs w:val="20"/>
                <w:lang w:eastAsia="sk-SK"/>
              </w:rPr>
            </w:pPr>
          </w:p>
        </w:tc>
        <w:tc>
          <w:tcPr>
            <w:tcW w:w="980"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2022</w:t>
            </w:r>
          </w:p>
        </w:tc>
        <w:tc>
          <w:tcPr>
            <w:tcW w:w="1060"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2023</w:t>
            </w:r>
          </w:p>
        </w:tc>
        <w:tc>
          <w:tcPr>
            <w:tcW w:w="1221"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2024</w:t>
            </w:r>
          </w:p>
        </w:tc>
        <w:tc>
          <w:tcPr>
            <w:tcW w:w="1275" w:type="dxa"/>
            <w:tcBorders>
              <w:top w:val="nil"/>
              <w:left w:val="nil"/>
              <w:bottom w:val="single" w:sz="8" w:space="0" w:color="auto"/>
              <w:right w:val="single" w:sz="8" w:space="0" w:color="auto"/>
            </w:tcBorders>
            <w:shd w:val="clear" w:color="000000" w:fill="BFBFBF"/>
            <w:vAlign w:val="center"/>
            <w:hideMark/>
          </w:tcPr>
          <w:p w:rsidR="000344CB" w:rsidRPr="00163E02" w:rsidRDefault="000344CB" w:rsidP="000344CB">
            <w:pPr>
              <w:spacing w:after="0" w:line="240" w:lineRule="auto"/>
              <w:jc w:val="center"/>
              <w:rPr>
                <w:rFonts w:ascii="Arial Narrow" w:eastAsia="Times New Roman" w:hAnsi="Arial Narrow" w:cs="Arial"/>
                <w:b/>
                <w:bCs/>
                <w:color w:val="000000" w:themeColor="text1"/>
                <w:sz w:val="20"/>
                <w:szCs w:val="20"/>
                <w:lang w:eastAsia="sk-SK"/>
              </w:rPr>
            </w:pPr>
            <w:r w:rsidRPr="00163E02">
              <w:rPr>
                <w:rFonts w:ascii="Arial Narrow" w:eastAsia="Times New Roman" w:hAnsi="Arial Narrow" w:cs="Arial"/>
                <w:b/>
                <w:bCs/>
                <w:color w:val="000000" w:themeColor="text1"/>
                <w:sz w:val="20"/>
                <w:szCs w:val="20"/>
                <w:lang w:eastAsia="sk-SK"/>
              </w:rPr>
              <w:t>2025</w:t>
            </w:r>
          </w:p>
        </w:tc>
        <w:tc>
          <w:tcPr>
            <w:tcW w:w="920" w:type="dxa"/>
            <w:tcBorders>
              <w:top w:val="single" w:sz="8" w:space="0" w:color="auto"/>
              <w:left w:val="single" w:sz="8" w:space="0" w:color="auto"/>
              <w:bottom w:val="single" w:sz="8" w:space="0" w:color="000000"/>
              <w:right w:val="single" w:sz="8" w:space="0" w:color="auto"/>
            </w:tcBorders>
            <w:vAlign w:val="center"/>
            <w:hideMark/>
          </w:tcPr>
          <w:p w:rsidR="000344CB" w:rsidRPr="00163E02" w:rsidRDefault="000344CB" w:rsidP="000344CB">
            <w:pPr>
              <w:spacing w:after="0" w:line="240" w:lineRule="auto"/>
              <w:rPr>
                <w:rFonts w:ascii="Arial Narrow" w:eastAsia="Times New Roman" w:hAnsi="Arial Narrow" w:cs="Arial"/>
                <w:sz w:val="20"/>
                <w:szCs w:val="20"/>
                <w:lang w:eastAsia="sk-SK"/>
              </w:rPr>
            </w:pP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Bežné výdavky (600)</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914 042</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270 826 441</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332 793 364</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396 767 122</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Mzdy, platy, služobné príjmy a ostatné osobné vyrovnania (610)</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78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Tarifný plat, osobný plat, základný plat, funkčný plat policajta, profesionálneho vojaka, colníka, plat ústavného činiteľa, vrátane ich náhrad</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i/>
                <w:iCs/>
                <w:sz w:val="20"/>
                <w:szCs w:val="20"/>
                <w:lang w:eastAsia="sk-SK"/>
              </w:rPr>
            </w:pPr>
            <w:r w:rsidRPr="00A5144D">
              <w:rPr>
                <w:rFonts w:ascii="Arial Narrow" w:hAnsi="Arial Narrow" w:cs="Arial"/>
                <w:i/>
                <w:i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i/>
                <w:iCs/>
                <w:sz w:val="20"/>
                <w:szCs w:val="20"/>
                <w:lang w:eastAsia="sk-SK"/>
              </w:rPr>
            </w:pPr>
            <w:r w:rsidRPr="00A5144D">
              <w:rPr>
                <w:rFonts w:ascii="Arial Narrow" w:hAnsi="Arial Narrow" w:cs="Arial"/>
                <w:i/>
                <w:iCs/>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i/>
                <w:iCs/>
                <w:sz w:val="20"/>
                <w:szCs w:val="20"/>
                <w:lang w:eastAsia="sk-SK"/>
              </w:rPr>
            </w:pPr>
            <w:r w:rsidRPr="00A5144D">
              <w:rPr>
                <w:rFonts w:ascii="Arial Narrow" w:hAnsi="Arial Narrow" w:cs="Arial"/>
                <w:i/>
                <w:i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i/>
                <w:iCs/>
                <w:sz w:val="20"/>
                <w:szCs w:val="20"/>
                <w:lang w:eastAsia="sk-SK"/>
              </w:rPr>
            </w:pPr>
            <w:r w:rsidRPr="00A5144D">
              <w:rPr>
                <w:rFonts w:ascii="Arial Narrow" w:hAnsi="Arial Narrow" w:cs="Arial"/>
                <w:i/>
                <w:iCs/>
                <w:sz w:val="20"/>
                <w:szCs w:val="20"/>
              </w:rPr>
              <w:t>0</w:t>
            </w:r>
          </w:p>
        </w:tc>
        <w:tc>
          <w:tcPr>
            <w:tcW w:w="92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i/>
                <w:iCs/>
                <w:sz w:val="20"/>
                <w:szCs w:val="20"/>
                <w:lang w:eastAsia="sk-SK"/>
              </w:rPr>
            </w:pPr>
            <w:r w:rsidRPr="00163E02">
              <w:rPr>
                <w:rFonts w:ascii="Arial Narrow" w:eastAsia="Times New Roman" w:hAnsi="Arial Narrow" w:cs="Arial"/>
                <w:i/>
                <w:iCs/>
                <w:sz w:val="20"/>
                <w:szCs w:val="20"/>
                <w:lang w:eastAsia="sk-SK"/>
              </w:rPr>
              <w:t> </w:t>
            </w:r>
          </w:p>
        </w:tc>
      </w:tr>
      <w:tr w:rsidR="00A5144D" w:rsidRPr="000344CB" w:rsidTr="00944DE5">
        <w:trPr>
          <w:trHeight w:val="42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Poistné a príspevok do poisťovní (620)</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92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66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Tovary a služby (630)</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300 000</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sz w:val="20"/>
                <w:szCs w:val="20"/>
                <w:lang w:eastAsia="sk-SK"/>
              </w:rPr>
            </w:pPr>
            <w:r w:rsidRPr="00A5144D">
              <w:rPr>
                <w:rFonts w:ascii="Arial Narrow" w:hAnsi="Arial Narrow" w:cs="Arial"/>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Bežné transfery (640)</w:t>
            </w:r>
          </w:p>
        </w:tc>
        <w:tc>
          <w:tcPr>
            <w:tcW w:w="98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614 042</w:t>
            </w:r>
          </w:p>
        </w:tc>
        <w:tc>
          <w:tcPr>
            <w:tcW w:w="1060"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270 826 441</w:t>
            </w:r>
          </w:p>
        </w:tc>
        <w:tc>
          <w:tcPr>
            <w:tcW w:w="1221"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332 793 364</w:t>
            </w:r>
          </w:p>
        </w:tc>
        <w:tc>
          <w:tcPr>
            <w:tcW w:w="1275" w:type="dxa"/>
            <w:tcBorders>
              <w:top w:val="nil"/>
              <w:left w:val="nil"/>
              <w:bottom w:val="single" w:sz="8" w:space="0" w:color="auto"/>
              <w:right w:val="single" w:sz="8" w:space="0" w:color="auto"/>
            </w:tcBorders>
            <w:shd w:val="clear" w:color="auto" w:fill="auto"/>
            <w:vAlign w:val="center"/>
            <w:hideMark/>
          </w:tcPr>
          <w:p w:rsidR="00A5144D" w:rsidRPr="00A5144D" w:rsidRDefault="00A5144D" w:rsidP="00A5144D">
            <w:pPr>
              <w:spacing w:after="0" w:line="240" w:lineRule="auto"/>
              <w:jc w:val="right"/>
              <w:rPr>
                <w:rFonts w:ascii="Arial Narrow" w:eastAsia="Times New Roman" w:hAnsi="Arial Narrow" w:cs="Arial"/>
                <w:bCs/>
                <w:color w:val="000000"/>
                <w:sz w:val="20"/>
                <w:szCs w:val="20"/>
                <w:lang w:eastAsia="sk-SK"/>
              </w:rPr>
            </w:pPr>
            <w:r w:rsidRPr="00A5144D">
              <w:rPr>
                <w:rFonts w:ascii="Arial Narrow" w:hAnsi="Arial Narrow" w:cs="Arial"/>
                <w:bCs/>
                <w:color w:val="000000"/>
                <w:sz w:val="20"/>
                <w:szCs w:val="20"/>
              </w:rPr>
              <w:t>396 767 122</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85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Splácanie úrokov a ostatné platby súvisiace s  úverom, pôžičkou, návratnou finančnou výpomocou a finančným prenájmom (650)</w:t>
            </w:r>
          </w:p>
        </w:tc>
        <w:tc>
          <w:tcPr>
            <w:tcW w:w="98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Kapitálové výdavky (700)</w:t>
            </w:r>
          </w:p>
        </w:tc>
        <w:tc>
          <w:tcPr>
            <w:tcW w:w="98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Obstarávanie kapitálových aktív (710)</w:t>
            </w:r>
          </w:p>
        </w:tc>
        <w:tc>
          <w:tcPr>
            <w:tcW w:w="98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xml:space="preserve">  Kapitálové transfery (720)</w:t>
            </w:r>
          </w:p>
        </w:tc>
        <w:tc>
          <w:tcPr>
            <w:tcW w:w="98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060"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21"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jc w:val="right"/>
              <w:rPr>
                <w:rFonts w:ascii="Arial Narrow" w:eastAsia="Times New Roman" w:hAnsi="Arial Narrow" w:cs="Arial"/>
                <w:sz w:val="20"/>
                <w:szCs w:val="20"/>
                <w:lang w:eastAsia="sk-SK"/>
              </w:rPr>
            </w:pPr>
            <w:r>
              <w:rPr>
                <w:rFonts w:ascii="Arial Narrow" w:hAnsi="Arial Narrow" w:cs="Arial"/>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525"/>
        </w:trPr>
        <w:tc>
          <w:tcPr>
            <w:tcW w:w="3959" w:type="dxa"/>
            <w:tcBorders>
              <w:top w:val="nil"/>
              <w:left w:val="single" w:sz="8" w:space="0" w:color="auto"/>
              <w:bottom w:val="single" w:sz="8" w:space="0" w:color="auto"/>
              <w:right w:val="single" w:sz="8" w:space="0" w:color="auto"/>
            </w:tcBorders>
            <w:shd w:val="clear" w:color="auto" w:fill="auto"/>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Výdavky z transakcií s finančnými aktívami a finančnými pasívami (800)</w:t>
            </w:r>
          </w:p>
        </w:tc>
        <w:tc>
          <w:tcPr>
            <w:tcW w:w="980"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060"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221"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1275" w:type="dxa"/>
            <w:tcBorders>
              <w:top w:val="nil"/>
              <w:left w:val="nil"/>
              <w:bottom w:val="single" w:sz="8" w:space="0" w:color="auto"/>
              <w:right w:val="single" w:sz="8" w:space="0" w:color="auto"/>
            </w:tcBorders>
            <w:shd w:val="clear" w:color="000000" w:fill="FFFF99"/>
            <w:vAlign w:val="center"/>
            <w:hideMark/>
          </w:tcPr>
          <w:p w:rsidR="00A5144D" w:rsidRPr="00163E02" w:rsidRDefault="00A5144D" w:rsidP="00A5144D">
            <w:pPr>
              <w:spacing w:after="0" w:line="240" w:lineRule="auto"/>
              <w:jc w:val="right"/>
              <w:rPr>
                <w:rFonts w:ascii="Arial Narrow" w:eastAsia="Times New Roman" w:hAnsi="Arial Narrow" w:cs="Arial"/>
                <w:b/>
                <w:bCs/>
                <w:sz w:val="20"/>
                <w:szCs w:val="20"/>
                <w:lang w:eastAsia="sk-SK"/>
              </w:rPr>
            </w:pPr>
            <w:r>
              <w:rPr>
                <w:rFonts w:ascii="Arial Narrow" w:hAnsi="Arial Narrow" w:cs="Arial"/>
                <w:b/>
                <w:bCs/>
                <w:sz w:val="20"/>
                <w:szCs w:val="20"/>
              </w:rPr>
              <w:t>0</w:t>
            </w:r>
          </w:p>
        </w:tc>
        <w:tc>
          <w:tcPr>
            <w:tcW w:w="920" w:type="dxa"/>
            <w:tcBorders>
              <w:top w:val="nil"/>
              <w:left w:val="nil"/>
              <w:bottom w:val="single" w:sz="8" w:space="0" w:color="auto"/>
              <w:right w:val="single" w:sz="8" w:space="0" w:color="auto"/>
            </w:tcBorders>
            <w:shd w:val="clear" w:color="auto" w:fill="auto"/>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A5144D" w:rsidRPr="000344CB" w:rsidTr="00944DE5">
        <w:trPr>
          <w:trHeight w:val="330"/>
        </w:trPr>
        <w:tc>
          <w:tcPr>
            <w:tcW w:w="3959" w:type="dxa"/>
            <w:tcBorders>
              <w:top w:val="nil"/>
              <w:left w:val="single" w:sz="8" w:space="0" w:color="auto"/>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Dopad na výdavky verejnej správy celkom</w:t>
            </w:r>
          </w:p>
        </w:tc>
        <w:tc>
          <w:tcPr>
            <w:tcW w:w="980"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914 042</w:t>
            </w:r>
          </w:p>
        </w:tc>
        <w:tc>
          <w:tcPr>
            <w:tcW w:w="1060"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270 826 441</w:t>
            </w:r>
          </w:p>
        </w:tc>
        <w:tc>
          <w:tcPr>
            <w:tcW w:w="1221"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332 793 364</w:t>
            </w:r>
          </w:p>
        </w:tc>
        <w:tc>
          <w:tcPr>
            <w:tcW w:w="1275" w:type="dxa"/>
            <w:tcBorders>
              <w:top w:val="nil"/>
              <w:left w:val="nil"/>
              <w:bottom w:val="single" w:sz="8" w:space="0" w:color="auto"/>
              <w:right w:val="single" w:sz="8" w:space="0" w:color="auto"/>
            </w:tcBorders>
            <w:shd w:val="clear" w:color="000000" w:fill="BFBFBF"/>
            <w:vAlign w:val="center"/>
            <w:hideMark/>
          </w:tcPr>
          <w:p w:rsidR="00A5144D" w:rsidRPr="00163E02" w:rsidRDefault="00A5144D" w:rsidP="00A5144D">
            <w:pPr>
              <w:spacing w:after="0" w:line="240" w:lineRule="auto"/>
              <w:jc w:val="right"/>
              <w:rPr>
                <w:rFonts w:ascii="Arial Narrow" w:eastAsia="Times New Roman" w:hAnsi="Arial Narrow" w:cs="Arial"/>
                <w:b/>
                <w:bCs/>
                <w:color w:val="000000"/>
                <w:sz w:val="20"/>
                <w:szCs w:val="20"/>
                <w:lang w:eastAsia="sk-SK"/>
              </w:rPr>
            </w:pPr>
            <w:r>
              <w:rPr>
                <w:rFonts w:ascii="Arial Narrow" w:hAnsi="Arial Narrow" w:cs="Arial"/>
                <w:b/>
                <w:bCs/>
                <w:color w:val="000000"/>
                <w:sz w:val="20"/>
                <w:szCs w:val="20"/>
              </w:rPr>
              <w:t>396 767 122</w:t>
            </w:r>
          </w:p>
        </w:tc>
        <w:tc>
          <w:tcPr>
            <w:tcW w:w="920" w:type="dxa"/>
            <w:tcBorders>
              <w:top w:val="nil"/>
              <w:left w:val="nil"/>
              <w:bottom w:val="single" w:sz="8" w:space="0" w:color="auto"/>
              <w:right w:val="single" w:sz="8" w:space="0" w:color="auto"/>
            </w:tcBorders>
            <w:shd w:val="clear" w:color="000000" w:fill="BFBFBF"/>
            <w:noWrap/>
            <w:vAlign w:val="center"/>
            <w:hideMark/>
          </w:tcPr>
          <w:p w:rsidR="00A5144D" w:rsidRPr="00163E02" w:rsidRDefault="00A5144D" w:rsidP="00A5144D">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bl>
    <w:p w:rsidR="00FB7D52" w:rsidRDefault="00FB7D52" w:rsidP="007735A8">
      <w:pPr>
        <w:rPr>
          <w:rFonts w:ascii="Times New Roman" w:hAnsi="Times New Roman" w:cs="Verdana"/>
          <w:sz w:val="24"/>
          <w:szCs w:val="24"/>
        </w:rPr>
      </w:pPr>
    </w:p>
    <w:p w:rsidR="00F90DCD" w:rsidRDefault="00F90DCD" w:rsidP="00F90DCD">
      <w:pPr>
        <w:rPr>
          <w:rFonts w:ascii="Times New Roman" w:hAnsi="Times New Roman" w:cs="Verdana"/>
          <w:sz w:val="24"/>
          <w:szCs w:val="24"/>
        </w:rPr>
      </w:pPr>
    </w:p>
    <w:p w:rsidR="00E47C9F" w:rsidRPr="00F90DCD" w:rsidRDefault="00E47C9F" w:rsidP="00F90DCD">
      <w:pPr>
        <w:rPr>
          <w:rFonts w:ascii="Times New Roman" w:hAnsi="Times New Roman" w:cs="Verdana"/>
          <w:sz w:val="24"/>
          <w:szCs w:val="24"/>
        </w:rPr>
        <w:sectPr w:rsidR="00E47C9F" w:rsidRPr="00F90DCD" w:rsidSect="00E47C9F">
          <w:footerReference w:type="default" r:id="rId9"/>
          <w:pgSz w:w="11906" w:h="16838"/>
          <w:pgMar w:top="1418" w:right="1418" w:bottom="1418" w:left="1418" w:header="709" w:footer="709" w:gutter="0"/>
          <w:pgNumType w:start="1"/>
          <w:cols w:space="708"/>
          <w:docGrid w:linePitch="360"/>
        </w:sectPr>
      </w:pPr>
    </w:p>
    <w:p w:rsidR="00B733ED" w:rsidRDefault="00B733ED" w:rsidP="00B733ED">
      <w:pPr>
        <w:tabs>
          <w:tab w:val="num" w:pos="1080"/>
        </w:tabs>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    </w:t>
      </w:r>
    </w:p>
    <w:p w:rsidR="00E47C9F" w:rsidRDefault="00E47C9F" w:rsidP="007F378A">
      <w:pPr>
        <w:tabs>
          <w:tab w:val="left" w:pos="11382"/>
        </w:tabs>
      </w:pPr>
    </w:p>
    <w:p w:rsidR="007F378A" w:rsidRPr="00863545" w:rsidRDefault="00863545" w:rsidP="00863545">
      <w:pPr>
        <w:tabs>
          <w:tab w:val="left" w:pos="11382"/>
        </w:tabs>
        <w:spacing w:after="0"/>
        <w:ind w:right="1813"/>
        <w:jc w:val="center"/>
      </w:pPr>
      <w:r>
        <w:rPr>
          <w:rFonts w:ascii="Times New Roman" w:eastAsia="Times New Roman" w:hAnsi="Times New Roman" w:cs="Times New Roman"/>
          <w:bCs/>
          <w:lang w:eastAsia="sk-SK"/>
        </w:rPr>
        <w:t xml:space="preserve">                                                                                                                                                                                                 </w:t>
      </w:r>
      <w:r w:rsidR="007F378A" w:rsidRPr="00863545">
        <w:rPr>
          <w:rFonts w:ascii="Times New Roman" w:eastAsia="Times New Roman" w:hAnsi="Times New Roman" w:cs="Times New Roman"/>
          <w:bCs/>
          <w:lang w:eastAsia="sk-SK"/>
        </w:rPr>
        <w:t>Tabuľka č. 5</w:t>
      </w:r>
      <w:r w:rsidR="00AD678C">
        <w:rPr>
          <w:rFonts w:ascii="Times New Roman" w:eastAsia="Times New Roman" w:hAnsi="Times New Roman" w:cs="Times New Roman"/>
          <w:bCs/>
          <w:lang w:eastAsia="sk-SK"/>
        </w:rPr>
        <w:t>A</w:t>
      </w:r>
    </w:p>
    <w:tbl>
      <w:tblPr>
        <w:tblW w:w="12065" w:type="dxa"/>
        <w:tblInd w:w="-5" w:type="dxa"/>
        <w:tblCellMar>
          <w:left w:w="70" w:type="dxa"/>
          <w:right w:w="70" w:type="dxa"/>
        </w:tblCellMar>
        <w:tblLook w:val="04A0" w:firstRow="1" w:lastRow="0" w:firstColumn="1" w:lastColumn="0" w:noHBand="0" w:noVBand="1"/>
      </w:tblPr>
      <w:tblGrid>
        <w:gridCol w:w="5529"/>
        <w:gridCol w:w="1275"/>
        <w:gridCol w:w="1418"/>
        <w:gridCol w:w="1418"/>
        <w:gridCol w:w="1465"/>
        <w:gridCol w:w="960"/>
      </w:tblGrid>
      <w:tr w:rsidR="007F378A" w:rsidRPr="007F378A" w:rsidTr="007F378A">
        <w:trPr>
          <w:trHeight w:val="255"/>
        </w:trPr>
        <w:tc>
          <w:tcPr>
            <w:tcW w:w="5529"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Zamestnanosť - Sociálna poisťovňa</w:t>
            </w:r>
          </w:p>
        </w:tc>
        <w:tc>
          <w:tcPr>
            <w:tcW w:w="5576" w:type="dxa"/>
            <w:gridSpan w:val="4"/>
            <w:tcBorders>
              <w:top w:val="single" w:sz="4" w:space="0" w:color="auto"/>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Vplyvy na Sociálnu poisťovňu</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poznámka</w:t>
            </w:r>
          </w:p>
        </w:tc>
      </w:tr>
      <w:tr w:rsidR="007F378A" w:rsidRPr="007F378A" w:rsidTr="007F378A">
        <w:trPr>
          <w:trHeight w:val="255"/>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7F378A" w:rsidRPr="00163E02" w:rsidRDefault="007F378A" w:rsidP="007F378A">
            <w:pPr>
              <w:spacing w:after="0" w:line="240" w:lineRule="auto"/>
              <w:rPr>
                <w:rFonts w:ascii="Arial Narrow" w:eastAsia="Times New Roman" w:hAnsi="Arial Narrow" w:cs="Arial"/>
                <w:b/>
                <w:bCs/>
                <w:color w:val="000000"/>
                <w:sz w:val="20"/>
                <w:szCs w:val="20"/>
                <w:lang w:eastAsia="sk-SK"/>
              </w:rPr>
            </w:pPr>
          </w:p>
        </w:tc>
        <w:tc>
          <w:tcPr>
            <w:tcW w:w="1275" w:type="dxa"/>
            <w:tcBorders>
              <w:top w:val="nil"/>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w:t>
            </w:r>
            <w:r w:rsidR="000344CB" w:rsidRPr="00163E02">
              <w:rPr>
                <w:rFonts w:ascii="Arial Narrow" w:eastAsia="Times New Roman" w:hAnsi="Arial Narrow" w:cs="Arial"/>
                <w:b/>
                <w:bCs/>
                <w:color w:val="000000"/>
                <w:sz w:val="20"/>
                <w:szCs w:val="20"/>
                <w:lang w:eastAsia="sk-SK"/>
              </w:rPr>
              <w:t>2</w:t>
            </w:r>
          </w:p>
        </w:tc>
        <w:tc>
          <w:tcPr>
            <w:tcW w:w="1418" w:type="dxa"/>
            <w:tcBorders>
              <w:top w:val="nil"/>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w:t>
            </w:r>
            <w:r w:rsidR="000344CB" w:rsidRPr="00163E02">
              <w:rPr>
                <w:rFonts w:ascii="Arial Narrow" w:eastAsia="Times New Roman" w:hAnsi="Arial Narrow" w:cs="Arial"/>
                <w:b/>
                <w:bCs/>
                <w:color w:val="000000"/>
                <w:sz w:val="20"/>
                <w:szCs w:val="20"/>
                <w:lang w:eastAsia="sk-SK"/>
              </w:rPr>
              <w:t>3</w:t>
            </w:r>
          </w:p>
        </w:tc>
        <w:tc>
          <w:tcPr>
            <w:tcW w:w="1418" w:type="dxa"/>
            <w:tcBorders>
              <w:top w:val="nil"/>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w:t>
            </w:r>
            <w:r w:rsidR="000344CB" w:rsidRPr="00163E02">
              <w:rPr>
                <w:rFonts w:ascii="Arial Narrow" w:eastAsia="Times New Roman" w:hAnsi="Arial Narrow" w:cs="Arial"/>
                <w:b/>
                <w:bCs/>
                <w:color w:val="000000"/>
                <w:sz w:val="20"/>
                <w:szCs w:val="20"/>
                <w:lang w:eastAsia="sk-SK"/>
              </w:rPr>
              <w:t>4</w:t>
            </w:r>
          </w:p>
        </w:tc>
        <w:tc>
          <w:tcPr>
            <w:tcW w:w="1465" w:type="dxa"/>
            <w:tcBorders>
              <w:top w:val="nil"/>
              <w:left w:val="nil"/>
              <w:bottom w:val="single" w:sz="4" w:space="0" w:color="auto"/>
              <w:right w:val="single" w:sz="4" w:space="0" w:color="auto"/>
            </w:tcBorders>
            <w:shd w:val="clear" w:color="000000" w:fill="A6A6A6"/>
            <w:noWrap/>
            <w:vAlign w:val="center"/>
            <w:hideMark/>
          </w:tcPr>
          <w:p w:rsidR="007F378A" w:rsidRPr="00163E02" w:rsidRDefault="007F378A">
            <w:pPr>
              <w:spacing w:after="0" w:line="240" w:lineRule="auto"/>
              <w:jc w:val="center"/>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202</w:t>
            </w:r>
            <w:r w:rsidR="000344CB" w:rsidRPr="00163E02">
              <w:rPr>
                <w:rFonts w:ascii="Arial Narrow" w:eastAsia="Times New Roman" w:hAnsi="Arial Narrow" w:cs="Arial"/>
                <w:b/>
                <w:bCs/>
                <w:color w:val="000000"/>
                <w:sz w:val="20"/>
                <w:szCs w:val="20"/>
                <w:lang w:eastAsia="sk-SK"/>
              </w:rPr>
              <w:t>5</w:t>
            </w:r>
          </w:p>
        </w:tc>
        <w:tc>
          <w:tcPr>
            <w:tcW w:w="960" w:type="dxa"/>
            <w:tcBorders>
              <w:top w:val="nil"/>
              <w:left w:val="nil"/>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rPr>
                <w:rFonts w:ascii="Arial Narrow" w:eastAsia="Times New Roman" w:hAnsi="Arial Narrow" w:cs="Arial"/>
                <w:color w:val="000000"/>
                <w:sz w:val="20"/>
                <w:szCs w:val="20"/>
                <w:lang w:eastAsia="sk-SK"/>
              </w:rPr>
            </w:pPr>
            <w:r w:rsidRPr="00163E02">
              <w:rPr>
                <w:rFonts w:ascii="Arial Narrow" w:eastAsia="Times New Roman" w:hAnsi="Arial Narrow" w:cs="Arial"/>
                <w:color w:val="000000"/>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Počet zamestnancov celkom</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0344CB" w:rsidRPr="00163E02" w:rsidRDefault="000344CB">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i/>
                <w:iCs/>
                <w:sz w:val="20"/>
                <w:szCs w:val="20"/>
                <w:lang w:eastAsia="sk-SK"/>
              </w:rPr>
            </w:pPr>
            <w:r w:rsidRPr="00163E02">
              <w:rPr>
                <w:rFonts w:ascii="Arial Narrow" w:eastAsia="Times New Roman" w:hAnsi="Arial Narrow" w:cs="Arial"/>
                <w:i/>
                <w:iCs/>
                <w:sz w:val="20"/>
                <w:szCs w:val="20"/>
                <w:lang w:eastAsia="sk-SK"/>
              </w:rPr>
              <w:t xml:space="preserve">      z toho vplyv na štátny rozpočet</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7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Priemerný mzdový výdavkov (v eurách)</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i/>
                <w:iCs/>
                <w:sz w:val="20"/>
                <w:szCs w:val="20"/>
                <w:lang w:eastAsia="sk-SK"/>
              </w:rPr>
            </w:pPr>
            <w:r w:rsidRPr="00163E02">
              <w:rPr>
                <w:rFonts w:ascii="Arial Narrow" w:eastAsia="Times New Roman" w:hAnsi="Arial Narrow" w:cs="Arial"/>
                <w:i/>
                <w:iCs/>
                <w:sz w:val="20"/>
                <w:szCs w:val="20"/>
                <w:lang w:eastAsia="sk-SK"/>
              </w:rPr>
              <w:t xml:space="preserve">      z toho vplyv na štátny rozpočet</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60" w:type="dxa"/>
            <w:tcBorders>
              <w:top w:val="nil"/>
              <w:left w:val="nil"/>
              <w:bottom w:val="nil"/>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000000" w:fill="A6A6A6"/>
            <w:noWrap/>
            <w:vAlign w:val="center"/>
            <w:hideMark/>
          </w:tcPr>
          <w:p w:rsidR="007F378A" w:rsidRPr="00163E02" w:rsidRDefault="007F378A" w:rsidP="007F378A">
            <w:pPr>
              <w:spacing w:after="0" w:line="240" w:lineRule="auto"/>
              <w:rPr>
                <w:rFonts w:ascii="Arial Narrow" w:eastAsia="Times New Roman" w:hAnsi="Arial Narrow" w:cs="Arial"/>
                <w:b/>
                <w:bCs/>
                <w:color w:val="000000"/>
                <w:sz w:val="20"/>
                <w:szCs w:val="20"/>
                <w:lang w:eastAsia="sk-SK"/>
              </w:rPr>
            </w:pPr>
            <w:r w:rsidRPr="00163E02">
              <w:rPr>
                <w:rFonts w:ascii="Arial Narrow" w:eastAsia="Times New Roman" w:hAnsi="Arial Narrow" w:cs="Arial"/>
                <w:b/>
                <w:bCs/>
                <w:color w:val="000000"/>
                <w:sz w:val="20"/>
                <w:szCs w:val="20"/>
                <w:lang w:eastAsia="sk-SK"/>
              </w:rPr>
              <w:t>Osobné výdavky celkom (v eurách)</w:t>
            </w:r>
          </w:p>
        </w:tc>
        <w:tc>
          <w:tcPr>
            <w:tcW w:w="1275" w:type="dxa"/>
            <w:tcBorders>
              <w:top w:val="nil"/>
              <w:left w:val="nil"/>
              <w:bottom w:val="nil"/>
              <w:right w:val="single" w:sz="4" w:space="0" w:color="auto"/>
            </w:tcBorders>
            <w:shd w:val="clear" w:color="000000" w:fill="A6A6A6"/>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nil"/>
              <w:right w:val="single" w:sz="4" w:space="0" w:color="auto"/>
            </w:tcBorders>
            <w:shd w:val="clear" w:color="000000" w:fill="A6A6A6"/>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nil"/>
              <w:right w:val="single" w:sz="4" w:space="0" w:color="auto"/>
            </w:tcBorders>
            <w:shd w:val="clear" w:color="000000" w:fill="A6A6A6"/>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65" w:type="dxa"/>
            <w:tcBorders>
              <w:top w:val="nil"/>
              <w:left w:val="nil"/>
              <w:bottom w:val="nil"/>
              <w:right w:val="single" w:sz="4" w:space="0" w:color="auto"/>
            </w:tcBorders>
            <w:shd w:val="clear" w:color="000000" w:fill="A6A6A6"/>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60" w:type="dxa"/>
            <w:tcBorders>
              <w:top w:val="single" w:sz="4" w:space="0" w:color="auto"/>
              <w:left w:val="nil"/>
              <w:bottom w:val="nil"/>
              <w:right w:val="single" w:sz="4" w:space="0" w:color="auto"/>
            </w:tcBorders>
            <w:shd w:val="clear" w:color="000000" w:fill="A6A6A6"/>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Mzdy, platy, služobné príjmy a ostatné osobné vyrovnania (610)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i/>
                <w:iCs/>
                <w:sz w:val="20"/>
                <w:szCs w:val="20"/>
                <w:lang w:eastAsia="sk-SK"/>
              </w:rPr>
            </w:pPr>
            <w:r w:rsidRPr="00163E02">
              <w:rPr>
                <w:rFonts w:ascii="Arial Narrow" w:eastAsia="Times New Roman" w:hAnsi="Arial Narrow" w:cs="Arial"/>
                <w:i/>
                <w:iCs/>
                <w:sz w:val="20"/>
                <w:szCs w:val="20"/>
                <w:lang w:eastAsia="sk-SK"/>
              </w:rPr>
              <w:t xml:space="preserve">      z toho vplyv na štátny rozpočet</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Poistné a príspevok do poisťovní (620)</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rsidP="007F378A">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0344CB">
            <w:pPr>
              <w:spacing w:after="0" w:line="240" w:lineRule="auto"/>
              <w:jc w:val="right"/>
              <w:rPr>
                <w:rFonts w:ascii="Arial Narrow" w:eastAsia="Times New Roman" w:hAnsi="Arial Narrow" w:cs="Arial"/>
                <w:b/>
                <w:bCs/>
                <w:sz w:val="20"/>
                <w:szCs w:val="20"/>
                <w:lang w:eastAsia="sk-SK"/>
              </w:rPr>
            </w:pPr>
            <w:r w:rsidRPr="00163E02">
              <w:rPr>
                <w:rFonts w:ascii="Arial Narrow" w:eastAsia="Times New Roman" w:hAnsi="Arial Narrow" w:cs="Arial"/>
                <w:b/>
                <w:bCs/>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r w:rsidR="007F378A" w:rsidRPr="007F378A" w:rsidTr="007F378A">
        <w:trPr>
          <w:trHeight w:val="255"/>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i/>
                <w:iCs/>
                <w:sz w:val="20"/>
                <w:szCs w:val="20"/>
                <w:lang w:eastAsia="sk-SK"/>
              </w:rPr>
            </w:pPr>
            <w:r w:rsidRPr="00163E02">
              <w:rPr>
                <w:rFonts w:ascii="Arial Narrow" w:eastAsia="Times New Roman" w:hAnsi="Arial Narrow" w:cs="Arial"/>
                <w:i/>
                <w:iCs/>
                <w:sz w:val="20"/>
                <w:szCs w:val="20"/>
                <w:lang w:eastAsia="sk-SK"/>
              </w:rPr>
              <w:t xml:space="preserve">      z toho vplyv na štátny rozpočet</w:t>
            </w:r>
          </w:p>
        </w:tc>
        <w:tc>
          <w:tcPr>
            <w:tcW w:w="127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1465"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jc w:val="right"/>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0</w:t>
            </w:r>
          </w:p>
        </w:tc>
        <w:tc>
          <w:tcPr>
            <w:tcW w:w="960" w:type="dxa"/>
            <w:tcBorders>
              <w:top w:val="nil"/>
              <w:left w:val="nil"/>
              <w:bottom w:val="single" w:sz="4" w:space="0" w:color="auto"/>
              <w:right w:val="single" w:sz="4" w:space="0" w:color="auto"/>
            </w:tcBorders>
            <w:shd w:val="clear" w:color="auto" w:fill="auto"/>
            <w:noWrap/>
            <w:vAlign w:val="bottom"/>
            <w:hideMark/>
          </w:tcPr>
          <w:p w:rsidR="007F378A" w:rsidRPr="00163E02" w:rsidRDefault="007F378A" w:rsidP="007F378A">
            <w:pPr>
              <w:spacing w:after="0" w:line="240" w:lineRule="auto"/>
              <w:rPr>
                <w:rFonts w:ascii="Arial Narrow" w:eastAsia="Times New Roman" w:hAnsi="Arial Narrow" w:cs="Arial"/>
                <w:sz w:val="20"/>
                <w:szCs w:val="20"/>
                <w:lang w:eastAsia="sk-SK"/>
              </w:rPr>
            </w:pPr>
            <w:r w:rsidRPr="00163E02">
              <w:rPr>
                <w:rFonts w:ascii="Arial Narrow" w:eastAsia="Times New Roman" w:hAnsi="Arial Narrow" w:cs="Arial"/>
                <w:sz w:val="20"/>
                <w:szCs w:val="20"/>
                <w:lang w:eastAsia="sk-SK"/>
              </w:rPr>
              <w:t> </w:t>
            </w:r>
          </w:p>
        </w:tc>
      </w:tr>
    </w:tbl>
    <w:p w:rsidR="00392EC1" w:rsidRDefault="00392EC1"/>
    <w:sectPr w:rsidR="00392EC1" w:rsidSect="00B503B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73A" w:rsidRDefault="00DA173A" w:rsidP="00E47C9F">
      <w:pPr>
        <w:spacing w:after="0" w:line="240" w:lineRule="auto"/>
      </w:pPr>
      <w:r>
        <w:separator/>
      </w:r>
    </w:p>
  </w:endnote>
  <w:endnote w:type="continuationSeparator" w:id="0">
    <w:p w:rsidR="00DA173A" w:rsidRDefault="00DA173A" w:rsidP="00E4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430843"/>
      <w:docPartObj>
        <w:docPartGallery w:val="Page Numbers (Bottom of Page)"/>
        <w:docPartUnique/>
      </w:docPartObj>
    </w:sdtPr>
    <w:sdtEndPr/>
    <w:sdtContent>
      <w:p w:rsidR="004244D2" w:rsidRDefault="0028706A">
        <w:pPr>
          <w:pStyle w:val="Pta"/>
          <w:jc w:val="center"/>
        </w:pPr>
        <w:r>
          <w:fldChar w:fldCharType="begin"/>
        </w:r>
        <w:r w:rsidR="004244D2">
          <w:instrText>PAGE   \* MERGEFORMAT</w:instrText>
        </w:r>
        <w:r>
          <w:fldChar w:fldCharType="separate"/>
        </w:r>
        <w:r w:rsidR="00712C9E">
          <w:rPr>
            <w:noProof/>
          </w:rPr>
          <w:t>1</w:t>
        </w:r>
        <w:r>
          <w:fldChar w:fldCharType="end"/>
        </w:r>
      </w:p>
    </w:sdtContent>
  </w:sdt>
  <w:p w:rsidR="004244D2" w:rsidRDefault="004244D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73A" w:rsidRDefault="00DA173A" w:rsidP="00E47C9F">
      <w:pPr>
        <w:spacing w:after="0" w:line="240" w:lineRule="auto"/>
      </w:pPr>
      <w:r>
        <w:separator/>
      </w:r>
    </w:p>
  </w:footnote>
  <w:footnote w:type="continuationSeparator" w:id="0">
    <w:p w:rsidR="00DA173A" w:rsidRDefault="00DA173A" w:rsidP="00E4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97D"/>
    <w:multiLevelType w:val="hybridMultilevel"/>
    <w:tmpl w:val="11EE2F14"/>
    <w:lvl w:ilvl="0" w:tplc="D27680A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E31ED"/>
    <w:multiLevelType w:val="hybridMultilevel"/>
    <w:tmpl w:val="40186C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4089F"/>
    <w:multiLevelType w:val="hybridMultilevel"/>
    <w:tmpl w:val="BFACCED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D36E2A"/>
    <w:multiLevelType w:val="hybridMultilevel"/>
    <w:tmpl w:val="27D8FCE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4A19A2"/>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C06389"/>
    <w:multiLevelType w:val="hybridMultilevel"/>
    <w:tmpl w:val="861AFE8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5B86AA9"/>
    <w:multiLevelType w:val="hybridMultilevel"/>
    <w:tmpl w:val="09DE03D8"/>
    <w:lvl w:ilvl="0" w:tplc="CF9ABC4A">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A7F3500"/>
    <w:multiLevelType w:val="hybridMultilevel"/>
    <w:tmpl w:val="B12459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770C5"/>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B79D3"/>
    <w:multiLevelType w:val="hybridMultilevel"/>
    <w:tmpl w:val="9CE21F74"/>
    <w:lvl w:ilvl="0" w:tplc="60CAA0E2">
      <w:numFmt w:val="bullet"/>
      <w:lvlText w:val="-"/>
      <w:lvlJc w:val="left"/>
      <w:pPr>
        <w:ind w:left="1065" w:hanging="360"/>
      </w:pPr>
      <w:rPr>
        <w:rFonts w:ascii="Calibri" w:eastAsiaTheme="minorHAnsi" w:hAnsi="Calibri"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2" w15:restartNumberingAfterBreak="0">
    <w:nsid w:val="2E6C247D"/>
    <w:multiLevelType w:val="hybridMultilevel"/>
    <w:tmpl w:val="A93019F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0D5104"/>
    <w:multiLevelType w:val="hybridMultilevel"/>
    <w:tmpl w:val="AEAA512C"/>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5B358EF"/>
    <w:multiLevelType w:val="hybridMultilevel"/>
    <w:tmpl w:val="0E9859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612528"/>
    <w:multiLevelType w:val="hybridMultilevel"/>
    <w:tmpl w:val="3F7CD7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652961"/>
    <w:multiLevelType w:val="hybridMultilevel"/>
    <w:tmpl w:val="CCC676FC"/>
    <w:lvl w:ilvl="0" w:tplc="13BEB4E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5943B8"/>
    <w:multiLevelType w:val="hybridMultilevel"/>
    <w:tmpl w:val="CCC676FC"/>
    <w:lvl w:ilvl="0" w:tplc="13BEB4E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223734"/>
    <w:multiLevelType w:val="hybridMultilevel"/>
    <w:tmpl w:val="7A2C82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545121A"/>
    <w:multiLevelType w:val="hybridMultilevel"/>
    <w:tmpl w:val="5CA46012"/>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A42918"/>
    <w:multiLevelType w:val="hybridMultilevel"/>
    <w:tmpl w:val="EEB88B4C"/>
    <w:lvl w:ilvl="0" w:tplc="77E89A98">
      <w:start w:val="1"/>
      <w:numFmt w:val="lowerLetter"/>
      <w:lvlText w:val="%1)"/>
      <w:lvlJc w:val="left"/>
      <w:pPr>
        <w:ind w:left="360" w:hanging="360"/>
      </w:pPr>
      <w:rPr>
        <w:rFonts w:hint="default"/>
        <w:sz w:val="24"/>
        <w:szCs w:val="24"/>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C8823D4"/>
    <w:multiLevelType w:val="hybridMultilevel"/>
    <w:tmpl w:val="68E69D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9F1176"/>
    <w:multiLevelType w:val="hybridMultilevel"/>
    <w:tmpl w:val="0A54800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4" w15:restartNumberingAfterBreak="0">
    <w:nsid w:val="6D7B5BC8"/>
    <w:multiLevelType w:val="hybridMultilevel"/>
    <w:tmpl w:val="9C62029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6FEC6E55"/>
    <w:multiLevelType w:val="hybridMultilevel"/>
    <w:tmpl w:val="E618D8BC"/>
    <w:lvl w:ilvl="0" w:tplc="A1DA8F2A">
      <w:start w:val="1"/>
      <w:numFmt w:val="bullet"/>
      <w:lvlText w:val="-"/>
      <w:lvlJc w:val="left"/>
      <w:pPr>
        <w:ind w:left="360" w:hanging="360"/>
      </w:pPr>
      <w:rPr>
        <w:rFonts w:ascii="Arial Narrow" w:hAnsi="Arial Narrow" w:hint="default"/>
      </w:rPr>
    </w:lvl>
    <w:lvl w:ilvl="1" w:tplc="A1DA8F2A">
      <w:start w:val="1"/>
      <w:numFmt w:val="bullet"/>
      <w:lvlText w:val="-"/>
      <w:lvlJc w:val="left"/>
      <w:pPr>
        <w:ind w:left="1080" w:hanging="360"/>
      </w:pPr>
      <w:rPr>
        <w:rFonts w:ascii="Arial Narrow" w:hAnsi="Arial Narrow"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A92747B"/>
    <w:multiLevelType w:val="hybridMultilevel"/>
    <w:tmpl w:val="B12459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293ACC"/>
    <w:multiLevelType w:val="hybridMultilevel"/>
    <w:tmpl w:val="0046C7E2"/>
    <w:lvl w:ilvl="0" w:tplc="D41243A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19"/>
  </w:num>
  <w:num w:numId="5">
    <w:abstractNumId w:val="14"/>
  </w:num>
  <w:num w:numId="6">
    <w:abstractNumId w:val="1"/>
  </w:num>
  <w:num w:numId="7">
    <w:abstractNumId w:val="6"/>
  </w:num>
  <w:num w:numId="8">
    <w:abstractNumId w:val="7"/>
  </w:num>
  <w:num w:numId="9">
    <w:abstractNumId w:val="25"/>
  </w:num>
  <w:num w:numId="10">
    <w:abstractNumId w:val="21"/>
  </w:num>
  <w:num w:numId="11">
    <w:abstractNumId w:val="27"/>
  </w:num>
  <w:num w:numId="12">
    <w:abstractNumId w:val="11"/>
  </w:num>
  <w:num w:numId="13">
    <w:abstractNumId w:val="20"/>
  </w:num>
  <w:num w:numId="14">
    <w:abstractNumId w:val="5"/>
  </w:num>
  <w:num w:numId="15">
    <w:abstractNumId w:val="13"/>
  </w:num>
  <w:num w:numId="16">
    <w:abstractNumId w:val="4"/>
  </w:num>
  <w:num w:numId="17">
    <w:abstractNumId w:val="22"/>
  </w:num>
  <w:num w:numId="18">
    <w:abstractNumId w:val="18"/>
  </w:num>
  <w:num w:numId="19">
    <w:abstractNumId w:val="8"/>
  </w:num>
  <w:num w:numId="20">
    <w:abstractNumId w:val="17"/>
  </w:num>
  <w:num w:numId="21">
    <w:abstractNumId w:val="3"/>
  </w:num>
  <w:num w:numId="22">
    <w:abstractNumId w:val="26"/>
  </w:num>
  <w:num w:numId="23">
    <w:abstractNumId w:val="0"/>
  </w:num>
  <w:num w:numId="24">
    <w:abstractNumId w:val="23"/>
  </w:num>
  <w:num w:numId="25">
    <w:abstractNumId w:val="24"/>
  </w:num>
  <w:num w:numId="26">
    <w:abstractNumId w:val="9"/>
  </w:num>
  <w:num w:numId="27">
    <w:abstractNumId w:val="16"/>
  </w:num>
  <w:num w:numId="28">
    <w:abstractNumId w:val="12"/>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9F"/>
    <w:rsid w:val="00006AA1"/>
    <w:rsid w:val="00012E7D"/>
    <w:rsid w:val="00013C45"/>
    <w:rsid w:val="00026260"/>
    <w:rsid w:val="000344CB"/>
    <w:rsid w:val="00035393"/>
    <w:rsid w:val="0003698E"/>
    <w:rsid w:val="00043B6E"/>
    <w:rsid w:val="00045F73"/>
    <w:rsid w:val="00050899"/>
    <w:rsid w:val="00053B69"/>
    <w:rsid w:val="0005673A"/>
    <w:rsid w:val="00057447"/>
    <w:rsid w:val="00065664"/>
    <w:rsid w:val="00065D19"/>
    <w:rsid w:val="00076E3E"/>
    <w:rsid w:val="0009490C"/>
    <w:rsid w:val="000949D8"/>
    <w:rsid w:val="0009619C"/>
    <w:rsid w:val="000A09E0"/>
    <w:rsid w:val="000A1B25"/>
    <w:rsid w:val="000B3F18"/>
    <w:rsid w:val="000B48B1"/>
    <w:rsid w:val="000B5A21"/>
    <w:rsid w:val="000B5C0D"/>
    <w:rsid w:val="000B64F4"/>
    <w:rsid w:val="000C5CFF"/>
    <w:rsid w:val="000E3491"/>
    <w:rsid w:val="001116CF"/>
    <w:rsid w:val="00117006"/>
    <w:rsid w:val="00120CF4"/>
    <w:rsid w:val="00121C82"/>
    <w:rsid w:val="00122FB4"/>
    <w:rsid w:val="001230BD"/>
    <w:rsid w:val="001259A7"/>
    <w:rsid w:val="001355BC"/>
    <w:rsid w:val="00136638"/>
    <w:rsid w:val="00154099"/>
    <w:rsid w:val="0016011F"/>
    <w:rsid w:val="0016082F"/>
    <w:rsid w:val="00163E02"/>
    <w:rsid w:val="00170476"/>
    <w:rsid w:val="001716DB"/>
    <w:rsid w:val="001757E1"/>
    <w:rsid w:val="001844C1"/>
    <w:rsid w:val="001B00CD"/>
    <w:rsid w:val="001B1F79"/>
    <w:rsid w:val="001C04E3"/>
    <w:rsid w:val="001C60B3"/>
    <w:rsid w:val="001C64FD"/>
    <w:rsid w:val="001D3C48"/>
    <w:rsid w:val="001E6E4A"/>
    <w:rsid w:val="001F7169"/>
    <w:rsid w:val="00207EED"/>
    <w:rsid w:val="002133A2"/>
    <w:rsid w:val="0021449D"/>
    <w:rsid w:val="0022078E"/>
    <w:rsid w:val="00227B06"/>
    <w:rsid w:val="00231D26"/>
    <w:rsid w:val="00244BA9"/>
    <w:rsid w:val="00246485"/>
    <w:rsid w:val="00247ED6"/>
    <w:rsid w:val="00261E6D"/>
    <w:rsid w:val="00266FB9"/>
    <w:rsid w:val="00273948"/>
    <w:rsid w:val="00280D64"/>
    <w:rsid w:val="0028361B"/>
    <w:rsid w:val="0028706A"/>
    <w:rsid w:val="002C0776"/>
    <w:rsid w:val="002C1476"/>
    <w:rsid w:val="002C2100"/>
    <w:rsid w:val="002C5E86"/>
    <w:rsid w:val="002D232E"/>
    <w:rsid w:val="002D2CE5"/>
    <w:rsid w:val="002E00AC"/>
    <w:rsid w:val="002E18B8"/>
    <w:rsid w:val="00301959"/>
    <w:rsid w:val="00302208"/>
    <w:rsid w:val="00302EFD"/>
    <w:rsid w:val="003045F3"/>
    <w:rsid w:val="00305DEB"/>
    <w:rsid w:val="00306254"/>
    <w:rsid w:val="0031742D"/>
    <w:rsid w:val="003179A9"/>
    <w:rsid w:val="00320D08"/>
    <w:rsid w:val="00325FF7"/>
    <w:rsid w:val="00331841"/>
    <w:rsid w:val="00356273"/>
    <w:rsid w:val="00363644"/>
    <w:rsid w:val="00374587"/>
    <w:rsid w:val="003767D8"/>
    <w:rsid w:val="00376963"/>
    <w:rsid w:val="00380166"/>
    <w:rsid w:val="0039079E"/>
    <w:rsid w:val="00392EC1"/>
    <w:rsid w:val="003A0333"/>
    <w:rsid w:val="003A53B4"/>
    <w:rsid w:val="003A5874"/>
    <w:rsid w:val="003D26D6"/>
    <w:rsid w:val="00401842"/>
    <w:rsid w:val="00403BBB"/>
    <w:rsid w:val="00404376"/>
    <w:rsid w:val="00414F6F"/>
    <w:rsid w:val="004244D2"/>
    <w:rsid w:val="00434852"/>
    <w:rsid w:val="00440C97"/>
    <w:rsid w:val="0044326F"/>
    <w:rsid w:val="004506D9"/>
    <w:rsid w:val="004516AD"/>
    <w:rsid w:val="00453509"/>
    <w:rsid w:val="00453E3F"/>
    <w:rsid w:val="00455564"/>
    <w:rsid w:val="00457F53"/>
    <w:rsid w:val="00481E3B"/>
    <w:rsid w:val="00484436"/>
    <w:rsid w:val="004854DC"/>
    <w:rsid w:val="00492C2D"/>
    <w:rsid w:val="00497730"/>
    <w:rsid w:val="004A26BC"/>
    <w:rsid w:val="004C2740"/>
    <w:rsid w:val="004C482E"/>
    <w:rsid w:val="004D3933"/>
    <w:rsid w:val="004F0FD8"/>
    <w:rsid w:val="004F1825"/>
    <w:rsid w:val="004F1C8E"/>
    <w:rsid w:val="004F35CD"/>
    <w:rsid w:val="00506350"/>
    <w:rsid w:val="00506756"/>
    <w:rsid w:val="0051374A"/>
    <w:rsid w:val="0052047A"/>
    <w:rsid w:val="00527B72"/>
    <w:rsid w:val="00530751"/>
    <w:rsid w:val="0053620C"/>
    <w:rsid w:val="00546FAE"/>
    <w:rsid w:val="00551E4A"/>
    <w:rsid w:val="005610D5"/>
    <w:rsid w:val="00561388"/>
    <w:rsid w:val="00571808"/>
    <w:rsid w:val="00571A25"/>
    <w:rsid w:val="0057276F"/>
    <w:rsid w:val="005741D9"/>
    <w:rsid w:val="00577CF3"/>
    <w:rsid w:val="005810A3"/>
    <w:rsid w:val="00584200"/>
    <w:rsid w:val="00585375"/>
    <w:rsid w:val="00586C19"/>
    <w:rsid w:val="00590119"/>
    <w:rsid w:val="005A0148"/>
    <w:rsid w:val="005A063B"/>
    <w:rsid w:val="005A12AB"/>
    <w:rsid w:val="005C04FE"/>
    <w:rsid w:val="005C14B6"/>
    <w:rsid w:val="005C5C14"/>
    <w:rsid w:val="005E0C01"/>
    <w:rsid w:val="005F3EF6"/>
    <w:rsid w:val="00603206"/>
    <w:rsid w:val="0060539B"/>
    <w:rsid w:val="006075BB"/>
    <w:rsid w:val="006656FA"/>
    <w:rsid w:val="006670AA"/>
    <w:rsid w:val="00671FD4"/>
    <w:rsid w:val="00674BE0"/>
    <w:rsid w:val="00676FA6"/>
    <w:rsid w:val="00681724"/>
    <w:rsid w:val="00685314"/>
    <w:rsid w:val="00693CEC"/>
    <w:rsid w:val="006A4EA9"/>
    <w:rsid w:val="006A7C1E"/>
    <w:rsid w:val="006B0225"/>
    <w:rsid w:val="006B6643"/>
    <w:rsid w:val="006C17A8"/>
    <w:rsid w:val="006C5856"/>
    <w:rsid w:val="006C7758"/>
    <w:rsid w:val="006D25CF"/>
    <w:rsid w:val="006D3C9E"/>
    <w:rsid w:val="006F187A"/>
    <w:rsid w:val="006F2C58"/>
    <w:rsid w:val="00704176"/>
    <w:rsid w:val="00705127"/>
    <w:rsid w:val="00712C9E"/>
    <w:rsid w:val="00713B11"/>
    <w:rsid w:val="00714B08"/>
    <w:rsid w:val="00715DE4"/>
    <w:rsid w:val="00720538"/>
    <w:rsid w:val="00725B63"/>
    <w:rsid w:val="007402A4"/>
    <w:rsid w:val="00743E8B"/>
    <w:rsid w:val="00745B05"/>
    <w:rsid w:val="007475F8"/>
    <w:rsid w:val="00753AE7"/>
    <w:rsid w:val="00753D5F"/>
    <w:rsid w:val="0075778A"/>
    <w:rsid w:val="00762E6A"/>
    <w:rsid w:val="007663D2"/>
    <w:rsid w:val="00766A6C"/>
    <w:rsid w:val="007673B2"/>
    <w:rsid w:val="007735A8"/>
    <w:rsid w:val="00773810"/>
    <w:rsid w:val="007770BB"/>
    <w:rsid w:val="007811C5"/>
    <w:rsid w:val="0078327F"/>
    <w:rsid w:val="0078677D"/>
    <w:rsid w:val="007924B8"/>
    <w:rsid w:val="007934A3"/>
    <w:rsid w:val="007970EE"/>
    <w:rsid w:val="00797CAB"/>
    <w:rsid w:val="007A6481"/>
    <w:rsid w:val="007B02AE"/>
    <w:rsid w:val="007C36AA"/>
    <w:rsid w:val="007C7B62"/>
    <w:rsid w:val="007D0D8B"/>
    <w:rsid w:val="007D282E"/>
    <w:rsid w:val="007E1661"/>
    <w:rsid w:val="007F378A"/>
    <w:rsid w:val="007F69D9"/>
    <w:rsid w:val="0080025A"/>
    <w:rsid w:val="008042A9"/>
    <w:rsid w:val="00806408"/>
    <w:rsid w:val="00807369"/>
    <w:rsid w:val="008159FF"/>
    <w:rsid w:val="00820D1F"/>
    <w:rsid w:val="00821D5F"/>
    <w:rsid w:val="008367A4"/>
    <w:rsid w:val="00850BF9"/>
    <w:rsid w:val="00863545"/>
    <w:rsid w:val="0086738F"/>
    <w:rsid w:val="00867937"/>
    <w:rsid w:val="008773B7"/>
    <w:rsid w:val="00887442"/>
    <w:rsid w:val="00897D2E"/>
    <w:rsid w:val="008A0472"/>
    <w:rsid w:val="008A3160"/>
    <w:rsid w:val="008A5B8B"/>
    <w:rsid w:val="008A7617"/>
    <w:rsid w:val="008B1817"/>
    <w:rsid w:val="008C40CA"/>
    <w:rsid w:val="008D27D5"/>
    <w:rsid w:val="008D6DA5"/>
    <w:rsid w:val="008E4630"/>
    <w:rsid w:val="008F09E9"/>
    <w:rsid w:val="009048DE"/>
    <w:rsid w:val="00904E3A"/>
    <w:rsid w:val="00907BE4"/>
    <w:rsid w:val="00923EE6"/>
    <w:rsid w:val="009338A6"/>
    <w:rsid w:val="009361A4"/>
    <w:rsid w:val="0093736A"/>
    <w:rsid w:val="00944DE5"/>
    <w:rsid w:val="00975B2C"/>
    <w:rsid w:val="00991566"/>
    <w:rsid w:val="009B3B22"/>
    <w:rsid w:val="009B56B2"/>
    <w:rsid w:val="009C11D6"/>
    <w:rsid w:val="009C7D41"/>
    <w:rsid w:val="009D2F86"/>
    <w:rsid w:val="009D6224"/>
    <w:rsid w:val="009D6510"/>
    <w:rsid w:val="009D65FA"/>
    <w:rsid w:val="009E07AC"/>
    <w:rsid w:val="009E09A8"/>
    <w:rsid w:val="009F514F"/>
    <w:rsid w:val="00A04F9F"/>
    <w:rsid w:val="00A22F5D"/>
    <w:rsid w:val="00A24A47"/>
    <w:rsid w:val="00A27E08"/>
    <w:rsid w:val="00A33EDD"/>
    <w:rsid w:val="00A40F77"/>
    <w:rsid w:val="00A5144D"/>
    <w:rsid w:val="00A5146B"/>
    <w:rsid w:val="00A52274"/>
    <w:rsid w:val="00A530F6"/>
    <w:rsid w:val="00A55FA8"/>
    <w:rsid w:val="00A5646A"/>
    <w:rsid w:val="00A7007C"/>
    <w:rsid w:val="00A816A2"/>
    <w:rsid w:val="00A956C2"/>
    <w:rsid w:val="00AB50E5"/>
    <w:rsid w:val="00AC13E2"/>
    <w:rsid w:val="00AC24DC"/>
    <w:rsid w:val="00AC38CD"/>
    <w:rsid w:val="00AC419B"/>
    <w:rsid w:val="00AC6D8B"/>
    <w:rsid w:val="00AD0445"/>
    <w:rsid w:val="00AD0602"/>
    <w:rsid w:val="00AD2EBE"/>
    <w:rsid w:val="00AD678C"/>
    <w:rsid w:val="00AD7397"/>
    <w:rsid w:val="00AE4B8A"/>
    <w:rsid w:val="00B05D79"/>
    <w:rsid w:val="00B13819"/>
    <w:rsid w:val="00B13E64"/>
    <w:rsid w:val="00B244A5"/>
    <w:rsid w:val="00B25E5B"/>
    <w:rsid w:val="00B3691A"/>
    <w:rsid w:val="00B4169F"/>
    <w:rsid w:val="00B4417E"/>
    <w:rsid w:val="00B503B3"/>
    <w:rsid w:val="00B5285F"/>
    <w:rsid w:val="00B64E09"/>
    <w:rsid w:val="00B733ED"/>
    <w:rsid w:val="00B73BF6"/>
    <w:rsid w:val="00B74017"/>
    <w:rsid w:val="00B82D38"/>
    <w:rsid w:val="00B8370A"/>
    <w:rsid w:val="00B83F45"/>
    <w:rsid w:val="00B94369"/>
    <w:rsid w:val="00BA3D78"/>
    <w:rsid w:val="00BA5C7E"/>
    <w:rsid w:val="00BA5F87"/>
    <w:rsid w:val="00BB139D"/>
    <w:rsid w:val="00BC66DC"/>
    <w:rsid w:val="00BD1EB1"/>
    <w:rsid w:val="00BD6245"/>
    <w:rsid w:val="00BE3092"/>
    <w:rsid w:val="00BE32C8"/>
    <w:rsid w:val="00BF2F7A"/>
    <w:rsid w:val="00BF46E9"/>
    <w:rsid w:val="00BF72E6"/>
    <w:rsid w:val="00C06246"/>
    <w:rsid w:val="00C064FE"/>
    <w:rsid w:val="00C135B2"/>
    <w:rsid w:val="00C1633C"/>
    <w:rsid w:val="00C23087"/>
    <w:rsid w:val="00C2403A"/>
    <w:rsid w:val="00C26CBD"/>
    <w:rsid w:val="00C36D15"/>
    <w:rsid w:val="00C44CDD"/>
    <w:rsid w:val="00C46133"/>
    <w:rsid w:val="00C51161"/>
    <w:rsid w:val="00C54FA3"/>
    <w:rsid w:val="00C626DA"/>
    <w:rsid w:val="00C633AE"/>
    <w:rsid w:val="00C65D4C"/>
    <w:rsid w:val="00C76310"/>
    <w:rsid w:val="00C77987"/>
    <w:rsid w:val="00C909F3"/>
    <w:rsid w:val="00C95FEE"/>
    <w:rsid w:val="00C96405"/>
    <w:rsid w:val="00C9657E"/>
    <w:rsid w:val="00CA6CDC"/>
    <w:rsid w:val="00CB2A1D"/>
    <w:rsid w:val="00CB6ACF"/>
    <w:rsid w:val="00CC782A"/>
    <w:rsid w:val="00CD4DBB"/>
    <w:rsid w:val="00CE7994"/>
    <w:rsid w:val="00CF05CF"/>
    <w:rsid w:val="00CF609D"/>
    <w:rsid w:val="00D27686"/>
    <w:rsid w:val="00D30B73"/>
    <w:rsid w:val="00D35CA4"/>
    <w:rsid w:val="00D40191"/>
    <w:rsid w:val="00D42CEF"/>
    <w:rsid w:val="00D43E5C"/>
    <w:rsid w:val="00D53DEE"/>
    <w:rsid w:val="00D607D8"/>
    <w:rsid w:val="00D7244D"/>
    <w:rsid w:val="00D75B37"/>
    <w:rsid w:val="00D8340B"/>
    <w:rsid w:val="00D8528A"/>
    <w:rsid w:val="00D92884"/>
    <w:rsid w:val="00DA173A"/>
    <w:rsid w:val="00DB227A"/>
    <w:rsid w:val="00DB625D"/>
    <w:rsid w:val="00DB6EB2"/>
    <w:rsid w:val="00DC6AF5"/>
    <w:rsid w:val="00DF00AC"/>
    <w:rsid w:val="00DF2A1E"/>
    <w:rsid w:val="00E0143E"/>
    <w:rsid w:val="00E016EA"/>
    <w:rsid w:val="00E02476"/>
    <w:rsid w:val="00E143EB"/>
    <w:rsid w:val="00E2375E"/>
    <w:rsid w:val="00E2772D"/>
    <w:rsid w:val="00E31ABF"/>
    <w:rsid w:val="00E3225B"/>
    <w:rsid w:val="00E45AA9"/>
    <w:rsid w:val="00E47C9F"/>
    <w:rsid w:val="00E5214C"/>
    <w:rsid w:val="00E65D08"/>
    <w:rsid w:val="00E67266"/>
    <w:rsid w:val="00E70116"/>
    <w:rsid w:val="00E709BC"/>
    <w:rsid w:val="00E737AC"/>
    <w:rsid w:val="00E835D8"/>
    <w:rsid w:val="00EB0FD4"/>
    <w:rsid w:val="00EB26B9"/>
    <w:rsid w:val="00ED4864"/>
    <w:rsid w:val="00ED591E"/>
    <w:rsid w:val="00EE1B8B"/>
    <w:rsid w:val="00EF7B49"/>
    <w:rsid w:val="00F006B3"/>
    <w:rsid w:val="00F07188"/>
    <w:rsid w:val="00F0744A"/>
    <w:rsid w:val="00F11736"/>
    <w:rsid w:val="00F140E2"/>
    <w:rsid w:val="00F17EFD"/>
    <w:rsid w:val="00F3440B"/>
    <w:rsid w:val="00F378C4"/>
    <w:rsid w:val="00F5121A"/>
    <w:rsid w:val="00F51E5D"/>
    <w:rsid w:val="00F60A17"/>
    <w:rsid w:val="00F70C8A"/>
    <w:rsid w:val="00F90DCD"/>
    <w:rsid w:val="00F91B98"/>
    <w:rsid w:val="00F9268E"/>
    <w:rsid w:val="00F9535E"/>
    <w:rsid w:val="00FA7F29"/>
    <w:rsid w:val="00FB1771"/>
    <w:rsid w:val="00FB6734"/>
    <w:rsid w:val="00FB7C73"/>
    <w:rsid w:val="00FB7D52"/>
    <w:rsid w:val="00FC199C"/>
    <w:rsid w:val="00FC3EB3"/>
    <w:rsid w:val="00FC4AC0"/>
    <w:rsid w:val="00FC61BB"/>
    <w:rsid w:val="00FE413F"/>
    <w:rsid w:val="00FE6546"/>
    <w:rsid w:val="00FF08F8"/>
    <w:rsid w:val="00FF2F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BC10E-24E0-4293-8AA0-98C396B8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7C9F"/>
    <w:pPr>
      <w:spacing w:after="200" w:line="276" w:lineRule="auto"/>
    </w:pPr>
    <w:rPr>
      <w:rFonts w:asciiTheme="minorHAnsi" w:hAnsiTheme="minorHAnsi" w:cstheme="minorBidi"/>
      <w:sz w:val="22"/>
      <w:szCs w:val="22"/>
    </w:rPr>
  </w:style>
  <w:style w:type="paragraph" w:styleId="Nadpis2">
    <w:name w:val="heading 2"/>
    <w:basedOn w:val="Normlny"/>
    <w:next w:val="Normlny"/>
    <w:link w:val="Nadpis2Char"/>
    <w:uiPriority w:val="9"/>
    <w:unhideWhenUsed/>
    <w:qFormat/>
    <w:rsid w:val="004F35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adpis2"/>
    <w:next w:val="Normlny"/>
    <w:link w:val="Nadpis3Char"/>
    <w:uiPriority w:val="9"/>
    <w:unhideWhenUsed/>
    <w:qFormat/>
    <w:rsid w:val="004F35CD"/>
    <w:pPr>
      <w:spacing w:before="200" w:line="240" w:lineRule="auto"/>
      <w:outlineLvl w:val="2"/>
    </w:pPr>
    <w:rPr>
      <w:rFonts w:ascii="Arial Black" w:hAnsi="Arial Black"/>
      <w:bCs/>
      <w:color w:val="C80000"/>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47C9F"/>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E47C9F"/>
    <w:rPr>
      <w:rFonts w:eastAsia="Times New Roman"/>
      <w:sz w:val="20"/>
      <w:szCs w:val="20"/>
      <w:lang w:eastAsia="sk-SK"/>
    </w:rPr>
  </w:style>
  <w:style w:type="paragraph" w:styleId="Pta">
    <w:name w:val="footer"/>
    <w:basedOn w:val="Normlny"/>
    <w:link w:val="PtaChar"/>
    <w:uiPriority w:val="99"/>
    <w:unhideWhenUsed/>
    <w:rsid w:val="00E47C9F"/>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E47C9F"/>
    <w:rPr>
      <w:rFonts w:eastAsia="Times New Roman"/>
      <w:sz w:val="20"/>
      <w:szCs w:val="20"/>
      <w:lang w:eastAsia="sk-SK"/>
    </w:rPr>
  </w:style>
  <w:style w:type="character" w:styleId="slostrany">
    <w:name w:val="page number"/>
    <w:basedOn w:val="Predvolenpsmoodseku"/>
    <w:uiPriority w:val="99"/>
    <w:rsid w:val="00E47C9F"/>
    <w:rPr>
      <w:rFonts w:cs="Times New Roman"/>
    </w:rPr>
  </w:style>
  <w:style w:type="paragraph" w:styleId="Textbubliny">
    <w:name w:val="Balloon Text"/>
    <w:basedOn w:val="Normlny"/>
    <w:link w:val="TextbublinyChar"/>
    <w:uiPriority w:val="99"/>
    <w:semiHidden/>
    <w:unhideWhenUsed/>
    <w:rsid w:val="00E47C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47C9F"/>
    <w:rPr>
      <w:rFonts w:ascii="Tahoma" w:hAnsi="Tahoma" w:cs="Tahoma"/>
      <w:sz w:val="16"/>
      <w:szCs w:val="16"/>
    </w:rPr>
  </w:style>
  <w:style w:type="paragraph" w:styleId="Odsekzoznamu">
    <w:name w:val="List Paragraph"/>
    <w:aliases w:val="body,Odsek zoznamu2,Odsek,Odsek zoznamu1,numbered list,2,OBC Bullet,Normal 1,Task Body,Viñetas (Inicio Parrafo),Paragrafo elenco,3 Txt tabla,Zerrenda-paragrafoa,Fiche List Paragraph,Dot pt,F5 List Paragraph,List Paragraph1,No Spacing1"/>
    <w:basedOn w:val="Normlny"/>
    <w:link w:val="OdsekzoznamuChar"/>
    <w:uiPriority w:val="34"/>
    <w:qFormat/>
    <w:rsid w:val="00E47C9F"/>
    <w:pPr>
      <w:ind w:left="720"/>
      <w:contextualSpacing/>
    </w:pPr>
  </w:style>
  <w:style w:type="table" w:styleId="Mriekatabuky">
    <w:name w:val="Table Grid"/>
    <w:basedOn w:val="Normlnatabuka"/>
    <w:uiPriority w:val="59"/>
    <w:rsid w:val="00E47C9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47C9F"/>
    <w:rPr>
      <w:sz w:val="16"/>
      <w:szCs w:val="16"/>
    </w:rPr>
  </w:style>
  <w:style w:type="paragraph" w:styleId="Textkomentra">
    <w:name w:val="annotation text"/>
    <w:basedOn w:val="Normlny"/>
    <w:link w:val="TextkomentraChar"/>
    <w:uiPriority w:val="99"/>
    <w:unhideWhenUsed/>
    <w:rsid w:val="00E47C9F"/>
    <w:pPr>
      <w:spacing w:line="240" w:lineRule="auto"/>
    </w:pPr>
    <w:rPr>
      <w:sz w:val="20"/>
      <w:szCs w:val="20"/>
    </w:rPr>
  </w:style>
  <w:style w:type="character" w:customStyle="1" w:styleId="TextkomentraChar">
    <w:name w:val="Text komentára Char"/>
    <w:basedOn w:val="Predvolenpsmoodseku"/>
    <w:link w:val="Textkomentra"/>
    <w:uiPriority w:val="99"/>
    <w:rsid w:val="00E47C9F"/>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E47C9F"/>
    <w:rPr>
      <w:b/>
      <w:bCs/>
    </w:rPr>
  </w:style>
  <w:style w:type="character" w:customStyle="1" w:styleId="PredmetkomentraChar">
    <w:name w:val="Predmet komentára Char"/>
    <w:basedOn w:val="TextkomentraChar"/>
    <w:link w:val="Predmetkomentra"/>
    <w:uiPriority w:val="99"/>
    <w:semiHidden/>
    <w:rsid w:val="00E47C9F"/>
    <w:rPr>
      <w:rFonts w:asciiTheme="minorHAnsi" w:hAnsiTheme="minorHAnsi" w:cstheme="minorBidi"/>
      <w:b/>
      <w:bCs/>
      <w:sz w:val="20"/>
      <w:szCs w:val="20"/>
    </w:rPr>
  </w:style>
  <w:style w:type="paragraph" w:styleId="Textpoznmkypodiarou">
    <w:name w:val="footnote text"/>
    <w:basedOn w:val="Normlny"/>
    <w:link w:val="TextpoznmkypodiarouChar"/>
    <w:uiPriority w:val="99"/>
    <w:unhideWhenUsed/>
    <w:qFormat/>
    <w:rsid w:val="00E47C9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47C9F"/>
    <w:rPr>
      <w:rFonts w:asciiTheme="minorHAnsi" w:hAnsiTheme="minorHAnsi" w:cstheme="minorBidi"/>
      <w:sz w:val="20"/>
      <w:szCs w:val="20"/>
    </w:rPr>
  </w:style>
  <w:style w:type="character" w:styleId="Odkaznapoznmkupodiarou">
    <w:name w:val="footnote reference"/>
    <w:basedOn w:val="Predvolenpsmoodseku"/>
    <w:uiPriority w:val="99"/>
    <w:semiHidden/>
    <w:unhideWhenUsed/>
    <w:rsid w:val="00E47C9F"/>
    <w:rPr>
      <w:vertAlign w:val="superscript"/>
    </w:rPr>
  </w:style>
  <w:style w:type="character" w:styleId="Siln">
    <w:name w:val="Strong"/>
    <w:basedOn w:val="Predvolenpsmoodseku"/>
    <w:uiPriority w:val="22"/>
    <w:qFormat/>
    <w:rsid w:val="00E47C9F"/>
    <w:rPr>
      <w:b/>
      <w:bCs/>
    </w:rPr>
  </w:style>
  <w:style w:type="character" w:customStyle="1" w:styleId="OdsekzoznamuChar">
    <w:name w:val="Odsek zoznamu Char"/>
    <w:aliases w:val="body Char,Odsek zoznamu2 Char,Odsek Char,Odsek zoznamu1 Char,numbered list Char,2 Char,OBC Bullet Char,Normal 1 Char,Task Body Char,Viñetas (Inicio Parrafo) Char,Paragrafo elenco Char,3 Txt tabla Char,Zerrenda-paragrafoa Char"/>
    <w:link w:val="Odsekzoznamu"/>
    <w:uiPriority w:val="34"/>
    <w:qFormat/>
    <w:locked/>
    <w:rsid w:val="00E47C9F"/>
    <w:rPr>
      <w:rFonts w:asciiTheme="minorHAnsi" w:hAnsiTheme="minorHAnsi" w:cstheme="minorBidi"/>
      <w:sz w:val="22"/>
      <w:szCs w:val="22"/>
    </w:rPr>
  </w:style>
  <w:style w:type="character" w:customStyle="1" w:styleId="s4">
    <w:name w:val="s4"/>
    <w:rsid w:val="00E47C9F"/>
    <w:rPr>
      <w:rFonts w:ascii="TimesNewRomanPS-BoldMT" w:hAnsi="TimesNewRomanPS-BoldMT" w:hint="default"/>
      <w:b/>
      <w:bCs/>
      <w:i w:val="0"/>
      <w:iCs w:val="0"/>
      <w:sz w:val="17"/>
      <w:szCs w:val="17"/>
    </w:rPr>
  </w:style>
  <w:style w:type="character" w:styleId="Zstupntext">
    <w:name w:val="Placeholder Text"/>
    <w:basedOn w:val="Predvolenpsmoodseku"/>
    <w:uiPriority w:val="99"/>
    <w:semiHidden/>
    <w:rsid w:val="00E47C9F"/>
    <w:rPr>
      <w:rFonts w:ascii="Times New Roman" w:hAnsi="Times New Roman" w:cs="Times New Roman"/>
      <w:color w:val="000000"/>
    </w:rPr>
  </w:style>
  <w:style w:type="character" w:customStyle="1" w:styleId="Nadpis3Char">
    <w:name w:val="Nadpis 3 Char"/>
    <w:basedOn w:val="Predvolenpsmoodseku"/>
    <w:link w:val="Nadpis3"/>
    <w:uiPriority w:val="9"/>
    <w:rsid w:val="004F35CD"/>
    <w:rPr>
      <w:rFonts w:ascii="Arial Black" w:eastAsiaTheme="majorEastAsia" w:hAnsi="Arial Black" w:cstheme="majorBidi"/>
      <w:bCs/>
      <w:color w:val="C80000"/>
      <w:sz w:val="18"/>
      <w:szCs w:val="26"/>
    </w:rPr>
  </w:style>
  <w:style w:type="character" w:customStyle="1" w:styleId="Nadpis2Char">
    <w:name w:val="Nadpis 2 Char"/>
    <w:basedOn w:val="Predvolenpsmoodseku"/>
    <w:link w:val="Nadpis2"/>
    <w:uiPriority w:val="9"/>
    <w:rsid w:val="004F35CD"/>
    <w:rPr>
      <w:rFonts w:asciiTheme="majorHAnsi" w:eastAsiaTheme="majorEastAsia" w:hAnsiTheme="majorHAnsi" w:cstheme="majorBidi"/>
      <w:color w:val="365F91" w:themeColor="accent1" w:themeShade="BF"/>
      <w:sz w:val="26"/>
      <w:szCs w:val="26"/>
    </w:rPr>
  </w:style>
  <w:style w:type="paragraph" w:customStyle="1" w:styleId="NormlB">
    <w:name w:val="Normál (B)"/>
    <w:basedOn w:val="Normlny"/>
    <w:link w:val="NormlBChar"/>
    <w:qFormat/>
    <w:rsid w:val="00C909F3"/>
    <w:pPr>
      <w:spacing w:before="120" w:after="120"/>
      <w:jc w:val="both"/>
    </w:pPr>
    <w:rPr>
      <w:rFonts w:ascii="Arial" w:hAnsi="Arial"/>
      <w:b/>
      <w:color w:val="595959" w:themeColor="text1" w:themeTint="A6"/>
      <w:sz w:val="18"/>
    </w:rPr>
  </w:style>
  <w:style w:type="character" w:customStyle="1" w:styleId="NormlBChar">
    <w:name w:val="Normál (B) Char"/>
    <w:basedOn w:val="Predvolenpsmoodseku"/>
    <w:link w:val="NormlB"/>
    <w:rsid w:val="00C909F3"/>
    <w:rPr>
      <w:rFonts w:ascii="Arial" w:hAnsi="Arial" w:cstheme="minorBidi"/>
      <w:b/>
      <w:color w:val="595959" w:themeColor="text1" w:themeTint="A6"/>
      <w:sz w:val="18"/>
      <w:szCs w:val="22"/>
    </w:rPr>
  </w:style>
  <w:style w:type="character" w:styleId="PremennHTML">
    <w:name w:val="HTML Variable"/>
    <w:basedOn w:val="Predvolenpsmoodseku"/>
    <w:uiPriority w:val="99"/>
    <w:semiHidden/>
    <w:unhideWhenUsed/>
    <w:rsid w:val="000B48B1"/>
    <w:rPr>
      <w:i/>
      <w:iCs/>
    </w:rPr>
  </w:style>
  <w:style w:type="paragraph" w:styleId="Revzia">
    <w:name w:val="Revision"/>
    <w:hidden/>
    <w:uiPriority w:val="99"/>
    <w:semiHidden/>
    <w:rsid w:val="00AD678C"/>
    <w:rPr>
      <w:rFonts w:asciiTheme="minorHAnsi" w:hAnsiTheme="minorHAnsi" w:cstheme="minorBidi"/>
      <w:sz w:val="22"/>
      <w:szCs w:val="22"/>
    </w:rPr>
  </w:style>
  <w:style w:type="character" w:styleId="Hypertextovprepojenie">
    <w:name w:val="Hyperlink"/>
    <w:basedOn w:val="Predvolenpsmoodseku"/>
    <w:uiPriority w:val="99"/>
    <w:semiHidden/>
    <w:unhideWhenUsed/>
    <w:rsid w:val="00BA5C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235">
      <w:bodyDiv w:val="1"/>
      <w:marLeft w:val="0"/>
      <w:marRight w:val="0"/>
      <w:marTop w:val="0"/>
      <w:marBottom w:val="0"/>
      <w:divBdr>
        <w:top w:val="none" w:sz="0" w:space="0" w:color="auto"/>
        <w:left w:val="none" w:sz="0" w:space="0" w:color="auto"/>
        <w:bottom w:val="none" w:sz="0" w:space="0" w:color="auto"/>
        <w:right w:val="none" w:sz="0" w:space="0" w:color="auto"/>
      </w:divBdr>
    </w:div>
    <w:div w:id="36901860">
      <w:bodyDiv w:val="1"/>
      <w:marLeft w:val="0"/>
      <w:marRight w:val="0"/>
      <w:marTop w:val="0"/>
      <w:marBottom w:val="0"/>
      <w:divBdr>
        <w:top w:val="none" w:sz="0" w:space="0" w:color="auto"/>
        <w:left w:val="none" w:sz="0" w:space="0" w:color="auto"/>
        <w:bottom w:val="none" w:sz="0" w:space="0" w:color="auto"/>
        <w:right w:val="none" w:sz="0" w:space="0" w:color="auto"/>
      </w:divBdr>
    </w:div>
    <w:div w:id="67847377">
      <w:bodyDiv w:val="1"/>
      <w:marLeft w:val="0"/>
      <w:marRight w:val="0"/>
      <w:marTop w:val="0"/>
      <w:marBottom w:val="0"/>
      <w:divBdr>
        <w:top w:val="none" w:sz="0" w:space="0" w:color="auto"/>
        <w:left w:val="none" w:sz="0" w:space="0" w:color="auto"/>
        <w:bottom w:val="none" w:sz="0" w:space="0" w:color="auto"/>
        <w:right w:val="none" w:sz="0" w:space="0" w:color="auto"/>
      </w:divBdr>
    </w:div>
    <w:div w:id="74208343">
      <w:bodyDiv w:val="1"/>
      <w:marLeft w:val="0"/>
      <w:marRight w:val="0"/>
      <w:marTop w:val="0"/>
      <w:marBottom w:val="0"/>
      <w:divBdr>
        <w:top w:val="none" w:sz="0" w:space="0" w:color="auto"/>
        <w:left w:val="none" w:sz="0" w:space="0" w:color="auto"/>
        <w:bottom w:val="none" w:sz="0" w:space="0" w:color="auto"/>
        <w:right w:val="none" w:sz="0" w:space="0" w:color="auto"/>
      </w:divBdr>
    </w:div>
    <w:div w:id="125241764">
      <w:bodyDiv w:val="1"/>
      <w:marLeft w:val="0"/>
      <w:marRight w:val="0"/>
      <w:marTop w:val="0"/>
      <w:marBottom w:val="0"/>
      <w:divBdr>
        <w:top w:val="none" w:sz="0" w:space="0" w:color="auto"/>
        <w:left w:val="none" w:sz="0" w:space="0" w:color="auto"/>
        <w:bottom w:val="none" w:sz="0" w:space="0" w:color="auto"/>
        <w:right w:val="none" w:sz="0" w:space="0" w:color="auto"/>
      </w:divBdr>
    </w:div>
    <w:div w:id="187063243">
      <w:bodyDiv w:val="1"/>
      <w:marLeft w:val="0"/>
      <w:marRight w:val="0"/>
      <w:marTop w:val="0"/>
      <w:marBottom w:val="0"/>
      <w:divBdr>
        <w:top w:val="none" w:sz="0" w:space="0" w:color="auto"/>
        <w:left w:val="none" w:sz="0" w:space="0" w:color="auto"/>
        <w:bottom w:val="none" w:sz="0" w:space="0" w:color="auto"/>
        <w:right w:val="none" w:sz="0" w:space="0" w:color="auto"/>
      </w:divBdr>
    </w:div>
    <w:div w:id="212231445">
      <w:bodyDiv w:val="1"/>
      <w:marLeft w:val="0"/>
      <w:marRight w:val="0"/>
      <w:marTop w:val="0"/>
      <w:marBottom w:val="0"/>
      <w:divBdr>
        <w:top w:val="none" w:sz="0" w:space="0" w:color="auto"/>
        <w:left w:val="none" w:sz="0" w:space="0" w:color="auto"/>
        <w:bottom w:val="none" w:sz="0" w:space="0" w:color="auto"/>
        <w:right w:val="none" w:sz="0" w:space="0" w:color="auto"/>
      </w:divBdr>
    </w:div>
    <w:div w:id="255527186">
      <w:bodyDiv w:val="1"/>
      <w:marLeft w:val="0"/>
      <w:marRight w:val="0"/>
      <w:marTop w:val="0"/>
      <w:marBottom w:val="0"/>
      <w:divBdr>
        <w:top w:val="none" w:sz="0" w:space="0" w:color="auto"/>
        <w:left w:val="none" w:sz="0" w:space="0" w:color="auto"/>
        <w:bottom w:val="none" w:sz="0" w:space="0" w:color="auto"/>
        <w:right w:val="none" w:sz="0" w:space="0" w:color="auto"/>
      </w:divBdr>
    </w:div>
    <w:div w:id="262685833">
      <w:bodyDiv w:val="1"/>
      <w:marLeft w:val="0"/>
      <w:marRight w:val="0"/>
      <w:marTop w:val="0"/>
      <w:marBottom w:val="0"/>
      <w:divBdr>
        <w:top w:val="none" w:sz="0" w:space="0" w:color="auto"/>
        <w:left w:val="none" w:sz="0" w:space="0" w:color="auto"/>
        <w:bottom w:val="none" w:sz="0" w:space="0" w:color="auto"/>
        <w:right w:val="none" w:sz="0" w:space="0" w:color="auto"/>
      </w:divBdr>
    </w:div>
    <w:div w:id="265040164">
      <w:bodyDiv w:val="1"/>
      <w:marLeft w:val="0"/>
      <w:marRight w:val="0"/>
      <w:marTop w:val="0"/>
      <w:marBottom w:val="0"/>
      <w:divBdr>
        <w:top w:val="none" w:sz="0" w:space="0" w:color="auto"/>
        <w:left w:val="none" w:sz="0" w:space="0" w:color="auto"/>
        <w:bottom w:val="none" w:sz="0" w:space="0" w:color="auto"/>
        <w:right w:val="none" w:sz="0" w:space="0" w:color="auto"/>
      </w:divBdr>
    </w:div>
    <w:div w:id="293682229">
      <w:bodyDiv w:val="1"/>
      <w:marLeft w:val="0"/>
      <w:marRight w:val="0"/>
      <w:marTop w:val="0"/>
      <w:marBottom w:val="0"/>
      <w:divBdr>
        <w:top w:val="none" w:sz="0" w:space="0" w:color="auto"/>
        <w:left w:val="none" w:sz="0" w:space="0" w:color="auto"/>
        <w:bottom w:val="none" w:sz="0" w:space="0" w:color="auto"/>
        <w:right w:val="none" w:sz="0" w:space="0" w:color="auto"/>
      </w:divBdr>
    </w:div>
    <w:div w:id="298458070">
      <w:bodyDiv w:val="1"/>
      <w:marLeft w:val="0"/>
      <w:marRight w:val="0"/>
      <w:marTop w:val="0"/>
      <w:marBottom w:val="0"/>
      <w:divBdr>
        <w:top w:val="none" w:sz="0" w:space="0" w:color="auto"/>
        <w:left w:val="none" w:sz="0" w:space="0" w:color="auto"/>
        <w:bottom w:val="none" w:sz="0" w:space="0" w:color="auto"/>
        <w:right w:val="none" w:sz="0" w:space="0" w:color="auto"/>
      </w:divBdr>
    </w:div>
    <w:div w:id="338894175">
      <w:bodyDiv w:val="1"/>
      <w:marLeft w:val="0"/>
      <w:marRight w:val="0"/>
      <w:marTop w:val="0"/>
      <w:marBottom w:val="0"/>
      <w:divBdr>
        <w:top w:val="none" w:sz="0" w:space="0" w:color="auto"/>
        <w:left w:val="none" w:sz="0" w:space="0" w:color="auto"/>
        <w:bottom w:val="none" w:sz="0" w:space="0" w:color="auto"/>
        <w:right w:val="none" w:sz="0" w:space="0" w:color="auto"/>
      </w:divBdr>
    </w:div>
    <w:div w:id="390886524">
      <w:bodyDiv w:val="1"/>
      <w:marLeft w:val="0"/>
      <w:marRight w:val="0"/>
      <w:marTop w:val="0"/>
      <w:marBottom w:val="0"/>
      <w:divBdr>
        <w:top w:val="none" w:sz="0" w:space="0" w:color="auto"/>
        <w:left w:val="none" w:sz="0" w:space="0" w:color="auto"/>
        <w:bottom w:val="none" w:sz="0" w:space="0" w:color="auto"/>
        <w:right w:val="none" w:sz="0" w:space="0" w:color="auto"/>
      </w:divBdr>
    </w:div>
    <w:div w:id="404030001">
      <w:bodyDiv w:val="1"/>
      <w:marLeft w:val="0"/>
      <w:marRight w:val="0"/>
      <w:marTop w:val="0"/>
      <w:marBottom w:val="0"/>
      <w:divBdr>
        <w:top w:val="none" w:sz="0" w:space="0" w:color="auto"/>
        <w:left w:val="none" w:sz="0" w:space="0" w:color="auto"/>
        <w:bottom w:val="none" w:sz="0" w:space="0" w:color="auto"/>
        <w:right w:val="none" w:sz="0" w:space="0" w:color="auto"/>
      </w:divBdr>
    </w:div>
    <w:div w:id="452753718">
      <w:bodyDiv w:val="1"/>
      <w:marLeft w:val="0"/>
      <w:marRight w:val="0"/>
      <w:marTop w:val="0"/>
      <w:marBottom w:val="0"/>
      <w:divBdr>
        <w:top w:val="none" w:sz="0" w:space="0" w:color="auto"/>
        <w:left w:val="none" w:sz="0" w:space="0" w:color="auto"/>
        <w:bottom w:val="none" w:sz="0" w:space="0" w:color="auto"/>
        <w:right w:val="none" w:sz="0" w:space="0" w:color="auto"/>
      </w:divBdr>
    </w:div>
    <w:div w:id="468474227">
      <w:bodyDiv w:val="1"/>
      <w:marLeft w:val="0"/>
      <w:marRight w:val="0"/>
      <w:marTop w:val="0"/>
      <w:marBottom w:val="0"/>
      <w:divBdr>
        <w:top w:val="none" w:sz="0" w:space="0" w:color="auto"/>
        <w:left w:val="none" w:sz="0" w:space="0" w:color="auto"/>
        <w:bottom w:val="none" w:sz="0" w:space="0" w:color="auto"/>
        <w:right w:val="none" w:sz="0" w:space="0" w:color="auto"/>
      </w:divBdr>
    </w:div>
    <w:div w:id="488833897">
      <w:bodyDiv w:val="1"/>
      <w:marLeft w:val="0"/>
      <w:marRight w:val="0"/>
      <w:marTop w:val="0"/>
      <w:marBottom w:val="0"/>
      <w:divBdr>
        <w:top w:val="none" w:sz="0" w:space="0" w:color="auto"/>
        <w:left w:val="none" w:sz="0" w:space="0" w:color="auto"/>
        <w:bottom w:val="none" w:sz="0" w:space="0" w:color="auto"/>
        <w:right w:val="none" w:sz="0" w:space="0" w:color="auto"/>
      </w:divBdr>
    </w:div>
    <w:div w:id="498085753">
      <w:bodyDiv w:val="1"/>
      <w:marLeft w:val="0"/>
      <w:marRight w:val="0"/>
      <w:marTop w:val="0"/>
      <w:marBottom w:val="0"/>
      <w:divBdr>
        <w:top w:val="none" w:sz="0" w:space="0" w:color="auto"/>
        <w:left w:val="none" w:sz="0" w:space="0" w:color="auto"/>
        <w:bottom w:val="none" w:sz="0" w:space="0" w:color="auto"/>
        <w:right w:val="none" w:sz="0" w:space="0" w:color="auto"/>
      </w:divBdr>
    </w:div>
    <w:div w:id="509953976">
      <w:bodyDiv w:val="1"/>
      <w:marLeft w:val="0"/>
      <w:marRight w:val="0"/>
      <w:marTop w:val="0"/>
      <w:marBottom w:val="0"/>
      <w:divBdr>
        <w:top w:val="none" w:sz="0" w:space="0" w:color="auto"/>
        <w:left w:val="none" w:sz="0" w:space="0" w:color="auto"/>
        <w:bottom w:val="none" w:sz="0" w:space="0" w:color="auto"/>
        <w:right w:val="none" w:sz="0" w:space="0" w:color="auto"/>
      </w:divBdr>
    </w:div>
    <w:div w:id="541792645">
      <w:bodyDiv w:val="1"/>
      <w:marLeft w:val="0"/>
      <w:marRight w:val="0"/>
      <w:marTop w:val="0"/>
      <w:marBottom w:val="0"/>
      <w:divBdr>
        <w:top w:val="none" w:sz="0" w:space="0" w:color="auto"/>
        <w:left w:val="none" w:sz="0" w:space="0" w:color="auto"/>
        <w:bottom w:val="none" w:sz="0" w:space="0" w:color="auto"/>
        <w:right w:val="none" w:sz="0" w:space="0" w:color="auto"/>
      </w:divBdr>
    </w:div>
    <w:div w:id="579365662">
      <w:bodyDiv w:val="1"/>
      <w:marLeft w:val="0"/>
      <w:marRight w:val="0"/>
      <w:marTop w:val="0"/>
      <w:marBottom w:val="0"/>
      <w:divBdr>
        <w:top w:val="none" w:sz="0" w:space="0" w:color="auto"/>
        <w:left w:val="none" w:sz="0" w:space="0" w:color="auto"/>
        <w:bottom w:val="none" w:sz="0" w:space="0" w:color="auto"/>
        <w:right w:val="none" w:sz="0" w:space="0" w:color="auto"/>
      </w:divBdr>
    </w:div>
    <w:div w:id="618800007">
      <w:bodyDiv w:val="1"/>
      <w:marLeft w:val="0"/>
      <w:marRight w:val="0"/>
      <w:marTop w:val="0"/>
      <w:marBottom w:val="0"/>
      <w:divBdr>
        <w:top w:val="none" w:sz="0" w:space="0" w:color="auto"/>
        <w:left w:val="none" w:sz="0" w:space="0" w:color="auto"/>
        <w:bottom w:val="none" w:sz="0" w:space="0" w:color="auto"/>
        <w:right w:val="none" w:sz="0" w:space="0" w:color="auto"/>
      </w:divBdr>
    </w:div>
    <w:div w:id="647825839">
      <w:bodyDiv w:val="1"/>
      <w:marLeft w:val="0"/>
      <w:marRight w:val="0"/>
      <w:marTop w:val="0"/>
      <w:marBottom w:val="0"/>
      <w:divBdr>
        <w:top w:val="none" w:sz="0" w:space="0" w:color="auto"/>
        <w:left w:val="none" w:sz="0" w:space="0" w:color="auto"/>
        <w:bottom w:val="none" w:sz="0" w:space="0" w:color="auto"/>
        <w:right w:val="none" w:sz="0" w:space="0" w:color="auto"/>
      </w:divBdr>
    </w:div>
    <w:div w:id="652368180">
      <w:bodyDiv w:val="1"/>
      <w:marLeft w:val="0"/>
      <w:marRight w:val="0"/>
      <w:marTop w:val="0"/>
      <w:marBottom w:val="0"/>
      <w:divBdr>
        <w:top w:val="none" w:sz="0" w:space="0" w:color="auto"/>
        <w:left w:val="none" w:sz="0" w:space="0" w:color="auto"/>
        <w:bottom w:val="none" w:sz="0" w:space="0" w:color="auto"/>
        <w:right w:val="none" w:sz="0" w:space="0" w:color="auto"/>
      </w:divBdr>
    </w:div>
    <w:div w:id="710617840">
      <w:bodyDiv w:val="1"/>
      <w:marLeft w:val="0"/>
      <w:marRight w:val="0"/>
      <w:marTop w:val="0"/>
      <w:marBottom w:val="0"/>
      <w:divBdr>
        <w:top w:val="none" w:sz="0" w:space="0" w:color="auto"/>
        <w:left w:val="none" w:sz="0" w:space="0" w:color="auto"/>
        <w:bottom w:val="none" w:sz="0" w:space="0" w:color="auto"/>
        <w:right w:val="none" w:sz="0" w:space="0" w:color="auto"/>
      </w:divBdr>
    </w:div>
    <w:div w:id="713580774">
      <w:bodyDiv w:val="1"/>
      <w:marLeft w:val="0"/>
      <w:marRight w:val="0"/>
      <w:marTop w:val="0"/>
      <w:marBottom w:val="0"/>
      <w:divBdr>
        <w:top w:val="none" w:sz="0" w:space="0" w:color="auto"/>
        <w:left w:val="none" w:sz="0" w:space="0" w:color="auto"/>
        <w:bottom w:val="none" w:sz="0" w:space="0" w:color="auto"/>
        <w:right w:val="none" w:sz="0" w:space="0" w:color="auto"/>
      </w:divBdr>
    </w:div>
    <w:div w:id="764109432">
      <w:bodyDiv w:val="1"/>
      <w:marLeft w:val="0"/>
      <w:marRight w:val="0"/>
      <w:marTop w:val="0"/>
      <w:marBottom w:val="0"/>
      <w:divBdr>
        <w:top w:val="none" w:sz="0" w:space="0" w:color="auto"/>
        <w:left w:val="none" w:sz="0" w:space="0" w:color="auto"/>
        <w:bottom w:val="none" w:sz="0" w:space="0" w:color="auto"/>
        <w:right w:val="none" w:sz="0" w:space="0" w:color="auto"/>
      </w:divBdr>
    </w:div>
    <w:div w:id="768936804">
      <w:bodyDiv w:val="1"/>
      <w:marLeft w:val="0"/>
      <w:marRight w:val="0"/>
      <w:marTop w:val="0"/>
      <w:marBottom w:val="0"/>
      <w:divBdr>
        <w:top w:val="none" w:sz="0" w:space="0" w:color="auto"/>
        <w:left w:val="none" w:sz="0" w:space="0" w:color="auto"/>
        <w:bottom w:val="none" w:sz="0" w:space="0" w:color="auto"/>
        <w:right w:val="none" w:sz="0" w:space="0" w:color="auto"/>
      </w:divBdr>
    </w:div>
    <w:div w:id="843403078">
      <w:bodyDiv w:val="1"/>
      <w:marLeft w:val="0"/>
      <w:marRight w:val="0"/>
      <w:marTop w:val="0"/>
      <w:marBottom w:val="0"/>
      <w:divBdr>
        <w:top w:val="none" w:sz="0" w:space="0" w:color="auto"/>
        <w:left w:val="none" w:sz="0" w:space="0" w:color="auto"/>
        <w:bottom w:val="none" w:sz="0" w:space="0" w:color="auto"/>
        <w:right w:val="none" w:sz="0" w:space="0" w:color="auto"/>
      </w:divBdr>
    </w:div>
    <w:div w:id="896167078">
      <w:bodyDiv w:val="1"/>
      <w:marLeft w:val="0"/>
      <w:marRight w:val="0"/>
      <w:marTop w:val="0"/>
      <w:marBottom w:val="0"/>
      <w:divBdr>
        <w:top w:val="none" w:sz="0" w:space="0" w:color="auto"/>
        <w:left w:val="none" w:sz="0" w:space="0" w:color="auto"/>
        <w:bottom w:val="none" w:sz="0" w:space="0" w:color="auto"/>
        <w:right w:val="none" w:sz="0" w:space="0" w:color="auto"/>
      </w:divBdr>
    </w:div>
    <w:div w:id="916481537">
      <w:bodyDiv w:val="1"/>
      <w:marLeft w:val="0"/>
      <w:marRight w:val="0"/>
      <w:marTop w:val="0"/>
      <w:marBottom w:val="0"/>
      <w:divBdr>
        <w:top w:val="none" w:sz="0" w:space="0" w:color="auto"/>
        <w:left w:val="none" w:sz="0" w:space="0" w:color="auto"/>
        <w:bottom w:val="none" w:sz="0" w:space="0" w:color="auto"/>
        <w:right w:val="none" w:sz="0" w:space="0" w:color="auto"/>
      </w:divBdr>
    </w:div>
    <w:div w:id="972638544">
      <w:bodyDiv w:val="1"/>
      <w:marLeft w:val="0"/>
      <w:marRight w:val="0"/>
      <w:marTop w:val="0"/>
      <w:marBottom w:val="0"/>
      <w:divBdr>
        <w:top w:val="none" w:sz="0" w:space="0" w:color="auto"/>
        <w:left w:val="none" w:sz="0" w:space="0" w:color="auto"/>
        <w:bottom w:val="none" w:sz="0" w:space="0" w:color="auto"/>
        <w:right w:val="none" w:sz="0" w:space="0" w:color="auto"/>
      </w:divBdr>
    </w:div>
    <w:div w:id="975528091">
      <w:bodyDiv w:val="1"/>
      <w:marLeft w:val="0"/>
      <w:marRight w:val="0"/>
      <w:marTop w:val="0"/>
      <w:marBottom w:val="0"/>
      <w:divBdr>
        <w:top w:val="none" w:sz="0" w:space="0" w:color="auto"/>
        <w:left w:val="none" w:sz="0" w:space="0" w:color="auto"/>
        <w:bottom w:val="none" w:sz="0" w:space="0" w:color="auto"/>
        <w:right w:val="none" w:sz="0" w:space="0" w:color="auto"/>
      </w:divBdr>
    </w:div>
    <w:div w:id="1025330776">
      <w:bodyDiv w:val="1"/>
      <w:marLeft w:val="0"/>
      <w:marRight w:val="0"/>
      <w:marTop w:val="0"/>
      <w:marBottom w:val="0"/>
      <w:divBdr>
        <w:top w:val="none" w:sz="0" w:space="0" w:color="auto"/>
        <w:left w:val="none" w:sz="0" w:space="0" w:color="auto"/>
        <w:bottom w:val="none" w:sz="0" w:space="0" w:color="auto"/>
        <w:right w:val="none" w:sz="0" w:space="0" w:color="auto"/>
      </w:divBdr>
    </w:div>
    <w:div w:id="1051001803">
      <w:bodyDiv w:val="1"/>
      <w:marLeft w:val="0"/>
      <w:marRight w:val="0"/>
      <w:marTop w:val="0"/>
      <w:marBottom w:val="0"/>
      <w:divBdr>
        <w:top w:val="none" w:sz="0" w:space="0" w:color="auto"/>
        <w:left w:val="none" w:sz="0" w:space="0" w:color="auto"/>
        <w:bottom w:val="none" w:sz="0" w:space="0" w:color="auto"/>
        <w:right w:val="none" w:sz="0" w:space="0" w:color="auto"/>
      </w:divBdr>
    </w:div>
    <w:div w:id="1081951928">
      <w:bodyDiv w:val="1"/>
      <w:marLeft w:val="0"/>
      <w:marRight w:val="0"/>
      <w:marTop w:val="0"/>
      <w:marBottom w:val="0"/>
      <w:divBdr>
        <w:top w:val="none" w:sz="0" w:space="0" w:color="auto"/>
        <w:left w:val="none" w:sz="0" w:space="0" w:color="auto"/>
        <w:bottom w:val="none" w:sz="0" w:space="0" w:color="auto"/>
        <w:right w:val="none" w:sz="0" w:space="0" w:color="auto"/>
      </w:divBdr>
    </w:div>
    <w:div w:id="1109736627">
      <w:bodyDiv w:val="1"/>
      <w:marLeft w:val="0"/>
      <w:marRight w:val="0"/>
      <w:marTop w:val="0"/>
      <w:marBottom w:val="0"/>
      <w:divBdr>
        <w:top w:val="none" w:sz="0" w:space="0" w:color="auto"/>
        <w:left w:val="none" w:sz="0" w:space="0" w:color="auto"/>
        <w:bottom w:val="none" w:sz="0" w:space="0" w:color="auto"/>
        <w:right w:val="none" w:sz="0" w:space="0" w:color="auto"/>
      </w:divBdr>
    </w:div>
    <w:div w:id="1122266510">
      <w:bodyDiv w:val="1"/>
      <w:marLeft w:val="0"/>
      <w:marRight w:val="0"/>
      <w:marTop w:val="0"/>
      <w:marBottom w:val="0"/>
      <w:divBdr>
        <w:top w:val="none" w:sz="0" w:space="0" w:color="auto"/>
        <w:left w:val="none" w:sz="0" w:space="0" w:color="auto"/>
        <w:bottom w:val="none" w:sz="0" w:space="0" w:color="auto"/>
        <w:right w:val="none" w:sz="0" w:space="0" w:color="auto"/>
      </w:divBdr>
    </w:div>
    <w:div w:id="1146825128">
      <w:bodyDiv w:val="1"/>
      <w:marLeft w:val="0"/>
      <w:marRight w:val="0"/>
      <w:marTop w:val="0"/>
      <w:marBottom w:val="0"/>
      <w:divBdr>
        <w:top w:val="none" w:sz="0" w:space="0" w:color="auto"/>
        <w:left w:val="none" w:sz="0" w:space="0" w:color="auto"/>
        <w:bottom w:val="none" w:sz="0" w:space="0" w:color="auto"/>
        <w:right w:val="none" w:sz="0" w:space="0" w:color="auto"/>
      </w:divBdr>
    </w:div>
    <w:div w:id="1160998197">
      <w:bodyDiv w:val="1"/>
      <w:marLeft w:val="0"/>
      <w:marRight w:val="0"/>
      <w:marTop w:val="0"/>
      <w:marBottom w:val="0"/>
      <w:divBdr>
        <w:top w:val="none" w:sz="0" w:space="0" w:color="auto"/>
        <w:left w:val="none" w:sz="0" w:space="0" w:color="auto"/>
        <w:bottom w:val="none" w:sz="0" w:space="0" w:color="auto"/>
        <w:right w:val="none" w:sz="0" w:space="0" w:color="auto"/>
      </w:divBdr>
    </w:div>
    <w:div w:id="1179196242">
      <w:bodyDiv w:val="1"/>
      <w:marLeft w:val="0"/>
      <w:marRight w:val="0"/>
      <w:marTop w:val="0"/>
      <w:marBottom w:val="0"/>
      <w:divBdr>
        <w:top w:val="none" w:sz="0" w:space="0" w:color="auto"/>
        <w:left w:val="none" w:sz="0" w:space="0" w:color="auto"/>
        <w:bottom w:val="none" w:sz="0" w:space="0" w:color="auto"/>
        <w:right w:val="none" w:sz="0" w:space="0" w:color="auto"/>
      </w:divBdr>
    </w:div>
    <w:div w:id="1180123559">
      <w:bodyDiv w:val="1"/>
      <w:marLeft w:val="0"/>
      <w:marRight w:val="0"/>
      <w:marTop w:val="0"/>
      <w:marBottom w:val="0"/>
      <w:divBdr>
        <w:top w:val="none" w:sz="0" w:space="0" w:color="auto"/>
        <w:left w:val="none" w:sz="0" w:space="0" w:color="auto"/>
        <w:bottom w:val="none" w:sz="0" w:space="0" w:color="auto"/>
        <w:right w:val="none" w:sz="0" w:space="0" w:color="auto"/>
      </w:divBdr>
    </w:div>
    <w:div w:id="1185051023">
      <w:bodyDiv w:val="1"/>
      <w:marLeft w:val="0"/>
      <w:marRight w:val="0"/>
      <w:marTop w:val="0"/>
      <w:marBottom w:val="0"/>
      <w:divBdr>
        <w:top w:val="none" w:sz="0" w:space="0" w:color="auto"/>
        <w:left w:val="none" w:sz="0" w:space="0" w:color="auto"/>
        <w:bottom w:val="none" w:sz="0" w:space="0" w:color="auto"/>
        <w:right w:val="none" w:sz="0" w:space="0" w:color="auto"/>
      </w:divBdr>
    </w:div>
    <w:div w:id="1205099930">
      <w:bodyDiv w:val="1"/>
      <w:marLeft w:val="0"/>
      <w:marRight w:val="0"/>
      <w:marTop w:val="0"/>
      <w:marBottom w:val="0"/>
      <w:divBdr>
        <w:top w:val="none" w:sz="0" w:space="0" w:color="auto"/>
        <w:left w:val="none" w:sz="0" w:space="0" w:color="auto"/>
        <w:bottom w:val="none" w:sz="0" w:space="0" w:color="auto"/>
        <w:right w:val="none" w:sz="0" w:space="0" w:color="auto"/>
      </w:divBdr>
    </w:div>
    <w:div w:id="1246845610">
      <w:bodyDiv w:val="1"/>
      <w:marLeft w:val="0"/>
      <w:marRight w:val="0"/>
      <w:marTop w:val="0"/>
      <w:marBottom w:val="0"/>
      <w:divBdr>
        <w:top w:val="none" w:sz="0" w:space="0" w:color="auto"/>
        <w:left w:val="none" w:sz="0" w:space="0" w:color="auto"/>
        <w:bottom w:val="none" w:sz="0" w:space="0" w:color="auto"/>
        <w:right w:val="none" w:sz="0" w:space="0" w:color="auto"/>
      </w:divBdr>
    </w:div>
    <w:div w:id="1248884901">
      <w:bodyDiv w:val="1"/>
      <w:marLeft w:val="0"/>
      <w:marRight w:val="0"/>
      <w:marTop w:val="0"/>
      <w:marBottom w:val="0"/>
      <w:divBdr>
        <w:top w:val="none" w:sz="0" w:space="0" w:color="auto"/>
        <w:left w:val="none" w:sz="0" w:space="0" w:color="auto"/>
        <w:bottom w:val="none" w:sz="0" w:space="0" w:color="auto"/>
        <w:right w:val="none" w:sz="0" w:space="0" w:color="auto"/>
      </w:divBdr>
    </w:div>
    <w:div w:id="1265453488">
      <w:bodyDiv w:val="1"/>
      <w:marLeft w:val="0"/>
      <w:marRight w:val="0"/>
      <w:marTop w:val="0"/>
      <w:marBottom w:val="0"/>
      <w:divBdr>
        <w:top w:val="none" w:sz="0" w:space="0" w:color="auto"/>
        <w:left w:val="none" w:sz="0" w:space="0" w:color="auto"/>
        <w:bottom w:val="none" w:sz="0" w:space="0" w:color="auto"/>
        <w:right w:val="none" w:sz="0" w:space="0" w:color="auto"/>
      </w:divBdr>
    </w:div>
    <w:div w:id="1290280854">
      <w:bodyDiv w:val="1"/>
      <w:marLeft w:val="0"/>
      <w:marRight w:val="0"/>
      <w:marTop w:val="0"/>
      <w:marBottom w:val="0"/>
      <w:divBdr>
        <w:top w:val="none" w:sz="0" w:space="0" w:color="auto"/>
        <w:left w:val="none" w:sz="0" w:space="0" w:color="auto"/>
        <w:bottom w:val="none" w:sz="0" w:space="0" w:color="auto"/>
        <w:right w:val="none" w:sz="0" w:space="0" w:color="auto"/>
      </w:divBdr>
    </w:div>
    <w:div w:id="1300915811">
      <w:bodyDiv w:val="1"/>
      <w:marLeft w:val="0"/>
      <w:marRight w:val="0"/>
      <w:marTop w:val="0"/>
      <w:marBottom w:val="0"/>
      <w:divBdr>
        <w:top w:val="none" w:sz="0" w:space="0" w:color="auto"/>
        <w:left w:val="none" w:sz="0" w:space="0" w:color="auto"/>
        <w:bottom w:val="none" w:sz="0" w:space="0" w:color="auto"/>
        <w:right w:val="none" w:sz="0" w:space="0" w:color="auto"/>
      </w:divBdr>
    </w:div>
    <w:div w:id="1320113190">
      <w:bodyDiv w:val="1"/>
      <w:marLeft w:val="0"/>
      <w:marRight w:val="0"/>
      <w:marTop w:val="0"/>
      <w:marBottom w:val="0"/>
      <w:divBdr>
        <w:top w:val="none" w:sz="0" w:space="0" w:color="auto"/>
        <w:left w:val="none" w:sz="0" w:space="0" w:color="auto"/>
        <w:bottom w:val="none" w:sz="0" w:space="0" w:color="auto"/>
        <w:right w:val="none" w:sz="0" w:space="0" w:color="auto"/>
      </w:divBdr>
    </w:div>
    <w:div w:id="1325165594">
      <w:bodyDiv w:val="1"/>
      <w:marLeft w:val="0"/>
      <w:marRight w:val="0"/>
      <w:marTop w:val="0"/>
      <w:marBottom w:val="0"/>
      <w:divBdr>
        <w:top w:val="none" w:sz="0" w:space="0" w:color="auto"/>
        <w:left w:val="none" w:sz="0" w:space="0" w:color="auto"/>
        <w:bottom w:val="none" w:sz="0" w:space="0" w:color="auto"/>
        <w:right w:val="none" w:sz="0" w:space="0" w:color="auto"/>
      </w:divBdr>
    </w:div>
    <w:div w:id="1330795908">
      <w:bodyDiv w:val="1"/>
      <w:marLeft w:val="0"/>
      <w:marRight w:val="0"/>
      <w:marTop w:val="0"/>
      <w:marBottom w:val="0"/>
      <w:divBdr>
        <w:top w:val="none" w:sz="0" w:space="0" w:color="auto"/>
        <w:left w:val="none" w:sz="0" w:space="0" w:color="auto"/>
        <w:bottom w:val="none" w:sz="0" w:space="0" w:color="auto"/>
        <w:right w:val="none" w:sz="0" w:space="0" w:color="auto"/>
      </w:divBdr>
    </w:div>
    <w:div w:id="1354376274">
      <w:bodyDiv w:val="1"/>
      <w:marLeft w:val="0"/>
      <w:marRight w:val="0"/>
      <w:marTop w:val="0"/>
      <w:marBottom w:val="0"/>
      <w:divBdr>
        <w:top w:val="none" w:sz="0" w:space="0" w:color="auto"/>
        <w:left w:val="none" w:sz="0" w:space="0" w:color="auto"/>
        <w:bottom w:val="none" w:sz="0" w:space="0" w:color="auto"/>
        <w:right w:val="none" w:sz="0" w:space="0" w:color="auto"/>
      </w:divBdr>
    </w:div>
    <w:div w:id="1401095004">
      <w:bodyDiv w:val="1"/>
      <w:marLeft w:val="0"/>
      <w:marRight w:val="0"/>
      <w:marTop w:val="0"/>
      <w:marBottom w:val="0"/>
      <w:divBdr>
        <w:top w:val="none" w:sz="0" w:space="0" w:color="auto"/>
        <w:left w:val="none" w:sz="0" w:space="0" w:color="auto"/>
        <w:bottom w:val="none" w:sz="0" w:space="0" w:color="auto"/>
        <w:right w:val="none" w:sz="0" w:space="0" w:color="auto"/>
      </w:divBdr>
    </w:div>
    <w:div w:id="1458645994">
      <w:bodyDiv w:val="1"/>
      <w:marLeft w:val="0"/>
      <w:marRight w:val="0"/>
      <w:marTop w:val="0"/>
      <w:marBottom w:val="0"/>
      <w:divBdr>
        <w:top w:val="none" w:sz="0" w:space="0" w:color="auto"/>
        <w:left w:val="none" w:sz="0" w:space="0" w:color="auto"/>
        <w:bottom w:val="none" w:sz="0" w:space="0" w:color="auto"/>
        <w:right w:val="none" w:sz="0" w:space="0" w:color="auto"/>
      </w:divBdr>
    </w:div>
    <w:div w:id="1459571540">
      <w:bodyDiv w:val="1"/>
      <w:marLeft w:val="0"/>
      <w:marRight w:val="0"/>
      <w:marTop w:val="0"/>
      <w:marBottom w:val="0"/>
      <w:divBdr>
        <w:top w:val="none" w:sz="0" w:space="0" w:color="auto"/>
        <w:left w:val="none" w:sz="0" w:space="0" w:color="auto"/>
        <w:bottom w:val="none" w:sz="0" w:space="0" w:color="auto"/>
        <w:right w:val="none" w:sz="0" w:space="0" w:color="auto"/>
      </w:divBdr>
    </w:div>
    <w:div w:id="1495604239">
      <w:bodyDiv w:val="1"/>
      <w:marLeft w:val="0"/>
      <w:marRight w:val="0"/>
      <w:marTop w:val="0"/>
      <w:marBottom w:val="0"/>
      <w:divBdr>
        <w:top w:val="none" w:sz="0" w:space="0" w:color="auto"/>
        <w:left w:val="none" w:sz="0" w:space="0" w:color="auto"/>
        <w:bottom w:val="none" w:sz="0" w:space="0" w:color="auto"/>
        <w:right w:val="none" w:sz="0" w:space="0" w:color="auto"/>
      </w:divBdr>
    </w:div>
    <w:div w:id="1522085468">
      <w:bodyDiv w:val="1"/>
      <w:marLeft w:val="0"/>
      <w:marRight w:val="0"/>
      <w:marTop w:val="0"/>
      <w:marBottom w:val="0"/>
      <w:divBdr>
        <w:top w:val="none" w:sz="0" w:space="0" w:color="auto"/>
        <w:left w:val="none" w:sz="0" w:space="0" w:color="auto"/>
        <w:bottom w:val="none" w:sz="0" w:space="0" w:color="auto"/>
        <w:right w:val="none" w:sz="0" w:space="0" w:color="auto"/>
      </w:divBdr>
    </w:div>
    <w:div w:id="1551649572">
      <w:bodyDiv w:val="1"/>
      <w:marLeft w:val="0"/>
      <w:marRight w:val="0"/>
      <w:marTop w:val="0"/>
      <w:marBottom w:val="0"/>
      <w:divBdr>
        <w:top w:val="none" w:sz="0" w:space="0" w:color="auto"/>
        <w:left w:val="none" w:sz="0" w:space="0" w:color="auto"/>
        <w:bottom w:val="none" w:sz="0" w:space="0" w:color="auto"/>
        <w:right w:val="none" w:sz="0" w:space="0" w:color="auto"/>
      </w:divBdr>
    </w:div>
    <w:div w:id="1579442374">
      <w:bodyDiv w:val="1"/>
      <w:marLeft w:val="0"/>
      <w:marRight w:val="0"/>
      <w:marTop w:val="0"/>
      <w:marBottom w:val="0"/>
      <w:divBdr>
        <w:top w:val="none" w:sz="0" w:space="0" w:color="auto"/>
        <w:left w:val="none" w:sz="0" w:space="0" w:color="auto"/>
        <w:bottom w:val="none" w:sz="0" w:space="0" w:color="auto"/>
        <w:right w:val="none" w:sz="0" w:space="0" w:color="auto"/>
      </w:divBdr>
    </w:div>
    <w:div w:id="1584486186">
      <w:bodyDiv w:val="1"/>
      <w:marLeft w:val="0"/>
      <w:marRight w:val="0"/>
      <w:marTop w:val="0"/>
      <w:marBottom w:val="0"/>
      <w:divBdr>
        <w:top w:val="none" w:sz="0" w:space="0" w:color="auto"/>
        <w:left w:val="none" w:sz="0" w:space="0" w:color="auto"/>
        <w:bottom w:val="none" w:sz="0" w:space="0" w:color="auto"/>
        <w:right w:val="none" w:sz="0" w:space="0" w:color="auto"/>
      </w:divBdr>
    </w:div>
    <w:div w:id="1602570315">
      <w:bodyDiv w:val="1"/>
      <w:marLeft w:val="0"/>
      <w:marRight w:val="0"/>
      <w:marTop w:val="0"/>
      <w:marBottom w:val="0"/>
      <w:divBdr>
        <w:top w:val="none" w:sz="0" w:space="0" w:color="auto"/>
        <w:left w:val="none" w:sz="0" w:space="0" w:color="auto"/>
        <w:bottom w:val="none" w:sz="0" w:space="0" w:color="auto"/>
        <w:right w:val="none" w:sz="0" w:space="0" w:color="auto"/>
      </w:divBdr>
    </w:div>
    <w:div w:id="1728455940">
      <w:bodyDiv w:val="1"/>
      <w:marLeft w:val="0"/>
      <w:marRight w:val="0"/>
      <w:marTop w:val="0"/>
      <w:marBottom w:val="0"/>
      <w:divBdr>
        <w:top w:val="none" w:sz="0" w:space="0" w:color="auto"/>
        <w:left w:val="none" w:sz="0" w:space="0" w:color="auto"/>
        <w:bottom w:val="none" w:sz="0" w:space="0" w:color="auto"/>
        <w:right w:val="none" w:sz="0" w:space="0" w:color="auto"/>
      </w:divBdr>
    </w:div>
    <w:div w:id="1742288514">
      <w:bodyDiv w:val="1"/>
      <w:marLeft w:val="0"/>
      <w:marRight w:val="0"/>
      <w:marTop w:val="0"/>
      <w:marBottom w:val="0"/>
      <w:divBdr>
        <w:top w:val="none" w:sz="0" w:space="0" w:color="auto"/>
        <w:left w:val="none" w:sz="0" w:space="0" w:color="auto"/>
        <w:bottom w:val="none" w:sz="0" w:space="0" w:color="auto"/>
        <w:right w:val="none" w:sz="0" w:space="0" w:color="auto"/>
      </w:divBdr>
    </w:div>
    <w:div w:id="1745032041">
      <w:bodyDiv w:val="1"/>
      <w:marLeft w:val="0"/>
      <w:marRight w:val="0"/>
      <w:marTop w:val="0"/>
      <w:marBottom w:val="0"/>
      <w:divBdr>
        <w:top w:val="none" w:sz="0" w:space="0" w:color="auto"/>
        <w:left w:val="none" w:sz="0" w:space="0" w:color="auto"/>
        <w:bottom w:val="none" w:sz="0" w:space="0" w:color="auto"/>
        <w:right w:val="none" w:sz="0" w:space="0" w:color="auto"/>
      </w:divBdr>
    </w:div>
    <w:div w:id="1761412254">
      <w:bodyDiv w:val="1"/>
      <w:marLeft w:val="0"/>
      <w:marRight w:val="0"/>
      <w:marTop w:val="0"/>
      <w:marBottom w:val="0"/>
      <w:divBdr>
        <w:top w:val="none" w:sz="0" w:space="0" w:color="auto"/>
        <w:left w:val="none" w:sz="0" w:space="0" w:color="auto"/>
        <w:bottom w:val="none" w:sz="0" w:space="0" w:color="auto"/>
        <w:right w:val="none" w:sz="0" w:space="0" w:color="auto"/>
      </w:divBdr>
    </w:div>
    <w:div w:id="1800298542">
      <w:bodyDiv w:val="1"/>
      <w:marLeft w:val="0"/>
      <w:marRight w:val="0"/>
      <w:marTop w:val="0"/>
      <w:marBottom w:val="0"/>
      <w:divBdr>
        <w:top w:val="none" w:sz="0" w:space="0" w:color="auto"/>
        <w:left w:val="none" w:sz="0" w:space="0" w:color="auto"/>
        <w:bottom w:val="none" w:sz="0" w:space="0" w:color="auto"/>
        <w:right w:val="none" w:sz="0" w:space="0" w:color="auto"/>
      </w:divBdr>
    </w:div>
    <w:div w:id="1803617682">
      <w:bodyDiv w:val="1"/>
      <w:marLeft w:val="0"/>
      <w:marRight w:val="0"/>
      <w:marTop w:val="0"/>
      <w:marBottom w:val="0"/>
      <w:divBdr>
        <w:top w:val="none" w:sz="0" w:space="0" w:color="auto"/>
        <w:left w:val="none" w:sz="0" w:space="0" w:color="auto"/>
        <w:bottom w:val="none" w:sz="0" w:space="0" w:color="auto"/>
        <w:right w:val="none" w:sz="0" w:space="0" w:color="auto"/>
      </w:divBdr>
    </w:div>
    <w:div w:id="1847939742">
      <w:bodyDiv w:val="1"/>
      <w:marLeft w:val="0"/>
      <w:marRight w:val="0"/>
      <w:marTop w:val="0"/>
      <w:marBottom w:val="0"/>
      <w:divBdr>
        <w:top w:val="none" w:sz="0" w:space="0" w:color="auto"/>
        <w:left w:val="none" w:sz="0" w:space="0" w:color="auto"/>
        <w:bottom w:val="none" w:sz="0" w:space="0" w:color="auto"/>
        <w:right w:val="none" w:sz="0" w:space="0" w:color="auto"/>
      </w:divBdr>
    </w:div>
    <w:div w:id="1848979949">
      <w:bodyDiv w:val="1"/>
      <w:marLeft w:val="0"/>
      <w:marRight w:val="0"/>
      <w:marTop w:val="0"/>
      <w:marBottom w:val="0"/>
      <w:divBdr>
        <w:top w:val="none" w:sz="0" w:space="0" w:color="auto"/>
        <w:left w:val="none" w:sz="0" w:space="0" w:color="auto"/>
        <w:bottom w:val="none" w:sz="0" w:space="0" w:color="auto"/>
        <w:right w:val="none" w:sz="0" w:space="0" w:color="auto"/>
      </w:divBdr>
    </w:div>
    <w:div w:id="1863545976">
      <w:bodyDiv w:val="1"/>
      <w:marLeft w:val="0"/>
      <w:marRight w:val="0"/>
      <w:marTop w:val="0"/>
      <w:marBottom w:val="0"/>
      <w:divBdr>
        <w:top w:val="none" w:sz="0" w:space="0" w:color="auto"/>
        <w:left w:val="none" w:sz="0" w:space="0" w:color="auto"/>
        <w:bottom w:val="none" w:sz="0" w:space="0" w:color="auto"/>
        <w:right w:val="none" w:sz="0" w:space="0" w:color="auto"/>
      </w:divBdr>
    </w:div>
    <w:div w:id="1871793811">
      <w:bodyDiv w:val="1"/>
      <w:marLeft w:val="0"/>
      <w:marRight w:val="0"/>
      <w:marTop w:val="0"/>
      <w:marBottom w:val="0"/>
      <w:divBdr>
        <w:top w:val="none" w:sz="0" w:space="0" w:color="auto"/>
        <w:left w:val="none" w:sz="0" w:space="0" w:color="auto"/>
        <w:bottom w:val="none" w:sz="0" w:space="0" w:color="auto"/>
        <w:right w:val="none" w:sz="0" w:space="0" w:color="auto"/>
      </w:divBdr>
    </w:div>
    <w:div w:id="1906640557">
      <w:bodyDiv w:val="1"/>
      <w:marLeft w:val="0"/>
      <w:marRight w:val="0"/>
      <w:marTop w:val="0"/>
      <w:marBottom w:val="0"/>
      <w:divBdr>
        <w:top w:val="none" w:sz="0" w:space="0" w:color="auto"/>
        <w:left w:val="none" w:sz="0" w:space="0" w:color="auto"/>
        <w:bottom w:val="none" w:sz="0" w:space="0" w:color="auto"/>
        <w:right w:val="none" w:sz="0" w:space="0" w:color="auto"/>
      </w:divBdr>
    </w:div>
    <w:div w:id="1911885972">
      <w:bodyDiv w:val="1"/>
      <w:marLeft w:val="0"/>
      <w:marRight w:val="0"/>
      <w:marTop w:val="0"/>
      <w:marBottom w:val="0"/>
      <w:divBdr>
        <w:top w:val="none" w:sz="0" w:space="0" w:color="auto"/>
        <w:left w:val="none" w:sz="0" w:space="0" w:color="auto"/>
        <w:bottom w:val="none" w:sz="0" w:space="0" w:color="auto"/>
        <w:right w:val="none" w:sz="0" w:space="0" w:color="auto"/>
      </w:divBdr>
    </w:div>
    <w:div w:id="1930039131">
      <w:bodyDiv w:val="1"/>
      <w:marLeft w:val="0"/>
      <w:marRight w:val="0"/>
      <w:marTop w:val="0"/>
      <w:marBottom w:val="0"/>
      <w:divBdr>
        <w:top w:val="none" w:sz="0" w:space="0" w:color="auto"/>
        <w:left w:val="none" w:sz="0" w:space="0" w:color="auto"/>
        <w:bottom w:val="none" w:sz="0" w:space="0" w:color="auto"/>
        <w:right w:val="none" w:sz="0" w:space="0" w:color="auto"/>
      </w:divBdr>
    </w:div>
    <w:div w:id="1958681923">
      <w:bodyDiv w:val="1"/>
      <w:marLeft w:val="0"/>
      <w:marRight w:val="0"/>
      <w:marTop w:val="0"/>
      <w:marBottom w:val="0"/>
      <w:divBdr>
        <w:top w:val="none" w:sz="0" w:space="0" w:color="auto"/>
        <w:left w:val="none" w:sz="0" w:space="0" w:color="auto"/>
        <w:bottom w:val="none" w:sz="0" w:space="0" w:color="auto"/>
        <w:right w:val="none" w:sz="0" w:space="0" w:color="auto"/>
      </w:divBdr>
    </w:div>
    <w:div w:id="1969430027">
      <w:bodyDiv w:val="1"/>
      <w:marLeft w:val="0"/>
      <w:marRight w:val="0"/>
      <w:marTop w:val="0"/>
      <w:marBottom w:val="0"/>
      <w:divBdr>
        <w:top w:val="none" w:sz="0" w:space="0" w:color="auto"/>
        <w:left w:val="none" w:sz="0" w:space="0" w:color="auto"/>
        <w:bottom w:val="none" w:sz="0" w:space="0" w:color="auto"/>
        <w:right w:val="none" w:sz="0" w:space="0" w:color="auto"/>
      </w:divBdr>
    </w:div>
    <w:div w:id="1975478914">
      <w:bodyDiv w:val="1"/>
      <w:marLeft w:val="0"/>
      <w:marRight w:val="0"/>
      <w:marTop w:val="0"/>
      <w:marBottom w:val="0"/>
      <w:divBdr>
        <w:top w:val="none" w:sz="0" w:space="0" w:color="auto"/>
        <w:left w:val="none" w:sz="0" w:space="0" w:color="auto"/>
        <w:bottom w:val="none" w:sz="0" w:space="0" w:color="auto"/>
        <w:right w:val="none" w:sz="0" w:space="0" w:color="auto"/>
      </w:divBdr>
    </w:div>
    <w:div w:id="1995835107">
      <w:bodyDiv w:val="1"/>
      <w:marLeft w:val="0"/>
      <w:marRight w:val="0"/>
      <w:marTop w:val="0"/>
      <w:marBottom w:val="0"/>
      <w:divBdr>
        <w:top w:val="none" w:sz="0" w:space="0" w:color="auto"/>
        <w:left w:val="none" w:sz="0" w:space="0" w:color="auto"/>
        <w:bottom w:val="none" w:sz="0" w:space="0" w:color="auto"/>
        <w:right w:val="none" w:sz="0" w:space="0" w:color="auto"/>
      </w:divBdr>
    </w:div>
    <w:div w:id="2003853158">
      <w:bodyDiv w:val="1"/>
      <w:marLeft w:val="0"/>
      <w:marRight w:val="0"/>
      <w:marTop w:val="0"/>
      <w:marBottom w:val="0"/>
      <w:divBdr>
        <w:top w:val="none" w:sz="0" w:space="0" w:color="auto"/>
        <w:left w:val="none" w:sz="0" w:space="0" w:color="auto"/>
        <w:bottom w:val="none" w:sz="0" w:space="0" w:color="auto"/>
        <w:right w:val="none" w:sz="0" w:space="0" w:color="auto"/>
      </w:divBdr>
    </w:div>
    <w:div w:id="2014524700">
      <w:bodyDiv w:val="1"/>
      <w:marLeft w:val="0"/>
      <w:marRight w:val="0"/>
      <w:marTop w:val="0"/>
      <w:marBottom w:val="0"/>
      <w:divBdr>
        <w:top w:val="none" w:sz="0" w:space="0" w:color="auto"/>
        <w:left w:val="none" w:sz="0" w:space="0" w:color="auto"/>
        <w:bottom w:val="none" w:sz="0" w:space="0" w:color="auto"/>
        <w:right w:val="none" w:sz="0" w:space="0" w:color="auto"/>
      </w:divBdr>
    </w:div>
    <w:div w:id="2025354264">
      <w:bodyDiv w:val="1"/>
      <w:marLeft w:val="0"/>
      <w:marRight w:val="0"/>
      <w:marTop w:val="0"/>
      <w:marBottom w:val="0"/>
      <w:divBdr>
        <w:top w:val="none" w:sz="0" w:space="0" w:color="auto"/>
        <w:left w:val="none" w:sz="0" w:space="0" w:color="auto"/>
        <w:bottom w:val="none" w:sz="0" w:space="0" w:color="auto"/>
        <w:right w:val="none" w:sz="0" w:space="0" w:color="auto"/>
      </w:divBdr>
    </w:div>
    <w:div w:id="2030639482">
      <w:bodyDiv w:val="1"/>
      <w:marLeft w:val="0"/>
      <w:marRight w:val="0"/>
      <w:marTop w:val="0"/>
      <w:marBottom w:val="0"/>
      <w:divBdr>
        <w:top w:val="none" w:sz="0" w:space="0" w:color="auto"/>
        <w:left w:val="none" w:sz="0" w:space="0" w:color="auto"/>
        <w:bottom w:val="none" w:sz="0" w:space="0" w:color="auto"/>
        <w:right w:val="none" w:sz="0" w:space="0" w:color="auto"/>
      </w:divBdr>
    </w:div>
    <w:div w:id="2068799694">
      <w:bodyDiv w:val="1"/>
      <w:marLeft w:val="0"/>
      <w:marRight w:val="0"/>
      <w:marTop w:val="0"/>
      <w:marBottom w:val="0"/>
      <w:divBdr>
        <w:top w:val="none" w:sz="0" w:space="0" w:color="auto"/>
        <w:left w:val="none" w:sz="0" w:space="0" w:color="auto"/>
        <w:bottom w:val="none" w:sz="0" w:space="0" w:color="auto"/>
        <w:right w:val="none" w:sz="0" w:space="0" w:color="auto"/>
      </w:divBdr>
    </w:div>
    <w:div w:id="2119134678">
      <w:bodyDiv w:val="1"/>
      <w:marLeft w:val="0"/>
      <w:marRight w:val="0"/>
      <w:marTop w:val="0"/>
      <w:marBottom w:val="0"/>
      <w:divBdr>
        <w:top w:val="none" w:sz="0" w:space="0" w:color="auto"/>
        <w:left w:val="none" w:sz="0" w:space="0" w:color="auto"/>
        <w:bottom w:val="none" w:sz="0" w:space="0" w:color="auto"/>
        <w:right w:val="none" w:sz="0" w:space="0" w:color="auto"/>
      </w:divBdr>
    </w:div>
    <w:div w:id="21204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alýza-vplyvov-na-rozpočet-verejnej-správy"/>
    <f:field ref="objsubject" par="" edit="true" text=""/>
    <f:field ref="objcreatedby" par="" text="Hornáček, Vladimír, Mgr."/>
    <f:field ref="objcreatedat" par="" text="29.7.2021 15:41:55"/>
    <f:field ref="objchangedby" par="" text="Administrator, System"/>
    <f:field ref="objmodifiedat" par="" text="29.7.2021 15:41: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07C5984-4BDA-4E47-A651-5061E020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4643</Words>
  <Characters>26469</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Varos Juraj</dc:creator>
  <cp:keywords/>
  <dc:description/>
  <cp:lastModifiedBy>Cebulakova Monika</cp:lastModifiedBy>
  <cp:revision>2</cp:revision>
  <cp:lastPrinted>2022-03-08T07:28:00Z</cp:lastPrinted>
  <dcterms:created xsi:type="dcterms:W3CDTF">2022-04-07T06:06:00Z</dcterms:created>
  <dcterms:modified xsi:type="dcterms:W3CDTF">2022-04-07T06:06:00Z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novely zákona č. 461/2003 Z. z. o&amp;nbsp;sociálnom poistení a&amp;nbsp;súvisiacich zákonov informovaná prostredníctvom predbežnej informácie k&amp;nbsp;predmetnému návrhu zverejnenej v&amp;nbsp;infor</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Vladimír Hornáček</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,ktorým sa mení a dopĺňa zákon č. 461/2003 Z. z. o sociálnom poistení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Zákon,ktorým sa mení a dopĺňa zákon č. 461/2003 Z. z. o sociálnom poistení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24207/2021-M_OPVA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LP/2021/407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151 a 153 Zmluvy o fungovaní Európskej únie (Ú. v. ES C 202, 7. 6. 2016),</vt:lpwstr>
  </property>
  <property fmtid="{D5CDD505-2E9C-101B-9397-08002B2CF9AE}" pid="47" name="FSC#SKEDITIONSLOVLEX@103.510:AttrStrListDocPropSekundarneLegPravoPO">
    <vt:lpwstr>	Nariadenie (ES) Európskeho parlamentu a Rady 883/2004 z 29. apríla 2004 o koordinácii systémov sociálneho zabezpečenia (Ú. v. EÚ L 166, 30.4.2004; Mimoriadne vydanie Ú. v. EÚ, kap. 5/zv. 5) v platnom znení, gestor: MPSVR SR,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Nariadenie Európskeho parlamentu a Rady (ES) č. 987/2009 zo 16. septembra 2009, ktorým sa stanovuje postup vykonávania nariadenia (ES) č. 883/2004 o koordinácii systémov sociálneho zabezpečenia (Ú. v. EÚ L 284, 30.10.2009) v platnom znení, gestor: MPSVR</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16. 7. 2021</vt:lpwstr>
  </property>
  <property fmtid="{D5CDD505-2E9C-101B-9397-08002B2CF9AE}" pid="59" name="FSC#SKEDITIONSLOVLEX@103.510:AttrDateDocPropUkonceniePKK">
    <vt:lpwstr>27. 7. 2021</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Navrhovaná právna úprava zakladá v&amp;nbsp;roku 2021 a&amp;nbsp;2022 pozitívny vplyv na rozpočet verejnej správy, ktorý súvisí predovšetkým so zrušením ročného zúčtovania, kde sa prejavuje pokles výdavkov na prevádzku informačných systémov a&amp;nbsp;nižší počet nov</vt:lpwstr>
  </property>
  <property fmtid="{D5CDD505-2E9C-101B-9397-08002B2CF9AE}" pid="66" name="FSC#SKEDITIONSLOVLEX@103.510:AttrStrListDocPropAltRiesenia">
    <vt:lpwstr>V prípade, že by neboli predložené opatrenia v predmetnom návrhu zákona, tak by neboli naplnené ústavné garancie vyplývajúce z novelizovaného čl. 39 ústavného zákona č. 460/1992 Zb. Ústava Slovenskej republiky v znení ústavného zákona č. 422/2020 Z., závä</vt:lpwstr>
  </property>
  <property fmtid="{D5CDD505-2E9C-101B-9397-08002B2CF9AE}" pid="67" name="FSC#SKEDITIONSLOVLEX@103.510:AttrStrListDocPropStanoviskoGest">
    <vt:lpwstr>&lt;table border="1" cellpadding="0" cellspacing="0" width="612"&gt;	&lt;tbody&gt;		&lt;tr&gt;			&lt;td style="width:612px;height:83px;"&gt;			&lt;p&gt;&amp;nbsp;&lt;/p&gt;			&lt;table border="0" cellpadding="0" cellspacing="0" width="594"&gt;				&lt;tbody&gt;					&lt;tr&gt;						&lt;td style="width:170px;height:26</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práce, sociálnych vecí a&amp;nbsp;rodiny Slovenskej republiky predkladá návrh zákona, ktorým sa mení a dopĺňa zákon č. 461/2003 Z. z. o&amp;nbsp;sociálnom poistení v&amp;nbsp;znení neskorších predpisov (ďalej len „návrh zá</vt:lpwstr>
  </property>
  <property fmtid="{D5CDD505-2E9C-101B-9397-08002B2CF9AE}" pid="150" name="FSC#SKEDITIONSLOVLEX@103.510:vytvorenedna">
    <vt:lpwstr>29. 7. 2021</vt:lpwstr>
  </property>
  <property fmtid="{D5CDD505-2E9C-101B-9397-08002B2CF9AE}" pid="151" name="FSC#COOSYSTEM@1.1:Container">
    <vt:lpwstr>COO.2145.1000.3.4483537</vt:lpwstr>
  </property>
  <property fmtid="{D5CDD505-2E9C-101B-9397-08002B2CF9AE}" pid="152" name="FSC#FSCFOLIO@1.1001:docpropproject">
    <vt:lpwstr/>
  </property>
</Properties>
</file>