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AC24A" w14:textId="77777777" w:rsidR="00AC637C" w:rsidRPr="00582896" w:rsidRDefault="00080497" w:rsidP="0008049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bookmarkStart w:id="0" w:name="_GoBack"/>
      <w:bookmarkEnd w:id="0"/>
      <w:r w:rsidRPr="00582896">
        <w:rPr>
          <w:rFonts w:ascii="Times New Roman" w:hAnsi="Times New Roman" w:cs="Times New Roman"/>
          <w:b/>
          <w:color w:val="0070C0"/>
          <w:sz w:val="36"/>
          <w:szCs w:val="36"/>
        </w:rPr>
        <w:t>Návrh na ukončenie členstva Slovenskej republiky v Medzinárodnej investičnej banke a Medzinárodnej banke hospodárskej spolupráce</w:t>
      </w:r>
    </w:p>
    <w:p w14:paraId="01EC56A5" w14:textId="77777777" w:rsidR="00080497" w:rsidRDefault="00080497" w:rsidP="00080497">
      <w:pPr>
        <w:jc w:val="both"/>
        <w:rPr>
          <w:rFonts w:ascii="Times New Roman" w:hAnsi="Times New Roman" w:cs="Times New Roman"/>
        </w:rPr>
      </w:pPr>
    </w:p>
    <w:p w14:paraId="62C4AF89" w14:textId="4FEADABB" w:rsidR="00C45A88" w:rsidRDefault="00C45A88" w:rsidP="00A90D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Vzhľadom na ozbrojený konflikt na Ukrajine, vyvolaný vpádom Ruskej federácie na územie tejto krajiny, ako aj na následné medzinárodné a európske sankcie </w:t>
      </w:r>
      <w:r w:rsidR="00B16365">
        <w:rPr>
          <w:rFonts w:ascii="Times New Roman" w:hAnsi="Times New Roman" w:cs="Times New Roman"/>
        </w:rPr>
        <w:t>voči Ruske federácií, predklad</w:t>
      </w:r>
      <w:r w:rsidR="00890DA4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Ministerstvo financií Slovenskej republiky</w:t>
      </w:r>
      <w:r w:rsidR="00B163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návrh </w:t>
      </w:r>
      <w:r w:rsidRPr="0068381F">
        <w:rPr>
          <w:rFonts w:ascii="Times New Roman" w:hAnsi="Times New Roman" w:cs="Times New Roman"/>
        </w:rPr>
        <w:t>na ukončenie členstva</w:t>
      </w:r>
      <w:r>
        <w:rPr>
          <w:rFonts w:ascii="Times New Roman" w:hAnsi="Times New Roman" w:cs="Times New Roman"/>
        </w:rPr>
        <w:t xml:space="preserve"> Slovenskej republiky v Medzinárodnej investičnej banke </w:t>
      </w:r>
      <w:r w:rsidR="009F73E7">
        <w:rPr>
          <w:rFonts w:ascii="Times New Roman" w:hAnsi="Times New Roman" w:cs="Times New Roman"/>
        </w:rPr>
        <w:t xml:space="preserve">(ďalej aj ako „MIB“) </w:t>
      </w:r>
      <w:r w:rsidR="00CE619E">
        <w:rPr>
          <w:rFonts w:ascii="Times New Roman" w:hAnsi="Times New Roman" w:cs="Times New Roman"/>
        </w:rPr>
        <w:t xml:space="preserve"> a odstúpenie </w:t>
      </w:r>
      <w:r w:rsidR="00890DA4">
        <w:rPr>
          <w:rFonts w:ascii="Times New Roman" w:hAnsi="Times New Roman" w:cs="Times New Roman"/>
        </w:rPr>
        <w:t>od</w:t>
      </w:r>
      <w:r w:rsidR="00CE619E">
        <w:rPr>
          <w:rFonts w:ascii="Times New Roman" w:hAnsi="Times New Roman" w:cs="Times New Roman"/>
        </w:rPr>
        <w:t xml:space="preserve"> Dohod</w:t>
      </w:r>
      <w:r w:rsidR="00037923">
        <w:rPr>
          <w:rFonts w:ascii="Times New Roman" w:hAnsi="Times New Roman" w:cs="Times New Roman"/>
        </w:rPr>
        <w:t>y</w:t>
      </w:r>
      <w:r w:rsidR="00CE619E">
        <w:rPr>
          <w:rFonts w:ascii="Times New Roman" w:hAnsi="Times New Roman" w:cs="Times New Roman"/>
        </w:rPr>
        <w:t xml:space="preserve"> o založení MIB (ďalej aj ako „Dohoda o MIB“) </w:t>
      </w:r>
      <w:r>
        <w:rPr>
          <w:rFonts w:ascii="Times New Roman" w:hAnsi="Times New Roman" w:cs="Times New Roman"/>
        </w:rPr>
        <w:t>a</w:t>
      </w:r>
      <w:r w:rsidR="00CE619E">
        <w:rPr>
          <w:rFonts w:ascii="Times New Roman" w:hAnsi="Times New Roman" w:cs="Times New Roman"/>
        </w:rPr>
        <w:t xml:space="preserve"> na </w:t>
      </w:r>
      <w:r w:rsidR="00CE619E" w:rsidRPr="00CE619E">
        <w:rPr>
          <w:rFonts w:ascii="Times New Roman" w:hAnsi="Times New Roman" w:cs="Times New Roman"/>
        </w:rPr>
        <w:t>ukončenie členstva v Medzinárodnej banke hospodárskej spolupráce (ďalej aj ako „MBHS“)</w:t>
      </w:r>
      <w:r w:rsidR="00CE619E">
        <w:rPr>
          <w:rFonts w:ascii="Times New Roman" w:hAnsi="Times New Roman" w:cs="Times New Roman"/>
        </w:rPr>
        <w:t xml:space="preserve"> a na odstúpenie </w:t>
      </w:r>
      <w:r w:rsidR="00037923">
        <w:rPr>
          <w:rFonts w:ascii="Times New Roman" w:hAnsi="Times New Roman" w:cs="Times New Roman"/>
        </w:rPr>
        <w:t xml:space="preserve"> </w:t>
      </w:r>
      <w:r w:rsidR="00890DA4">
        <w:rPr>
          <w:rFonts w:ascii="Times New Roman" w:hAnsi="Times New Roman" w:cs="Times New Roman"/>
        </w:rPr>
        <w:t>od</w:t>
      </w:r>
      <w:r w:rsidR="00CE619E">
        <w:rPr>
          <w:rFonts w:ascii="Times New Roman" w:hAnsi="Times New Roman" w:cs="Times New Roman"/>
        </w:rPr>
        <w:t xml:space="preserve"> Dohody </w:t>
      </w:r>
      <w:r w:rsidR="00CE619E" w:rsidRPr="00CE619E">
        <w:rPr>
          <w:rFonts w:ascii="Times New Roman" w:hAnsi="Times New Roman" w:cs="Times New Roman"/>
        </w:rPr>
        <w:t>o organizácii a činnostiach Medzinárodnej banky hospodársk</w:t>
      </w:r>
      <w:r w:rsidR="00CE619E">
        <w:rPr>
          <w:rFonts w:ascii="Times New Roman" w:hAnsi="Times New Roman" w:cs="Times New Roman"/>
        </w:rPr>
        <w:t>ej</w:t>
      </w:r>
      <w:r w:rsidR="00CE619E" w:rsidRPr="00CE619E">
        <w:rPr>
          <w:rFonts w:ascii="Times New Roman" w:hAnsi="Times New Roman" w:cs="Times New Roman"/>
        </w:rPr>
        <w:t xml:space="preserve"> spoluprác</w:t>
      </w:r>
      <w:r w:rsidR="00CE619E">
        <w:rPr>
          <w:rFonts w:ascii="Times New Roman" w:hAnsi="Times New Roman" w:cs="Times New Roman"/>
        </w:rPr>
        <w:t>e (ďalej ako „Dohoda o MBHS“)</w:t>
      </w:r>
      <w:r>
        <w:rPr>
          <w:rFonts w:ascii="Times New Roman" w:hAnsi="Times New Roman" w:cs="Times New Roman"/>
        </w:rPr>
        <w:t>.</w:t>
      </w:r>
    </w:p>
    <w:p w14:paraId="2E8F126F" w14:textId="77777777" w:rsidR="0068381F" w:rsidRDefault="00C45A88" w:rsidP="00A90D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spolupráci a v rámci koordinovaného postupu s Ministerstvom financií Poľskej republiky, Ministerstvom financií Českej republiky, </w:t>
      </w:r>
      <w:r w:rsidR="00C16AF4">
        <w:rPr>
          <w:rFonts w:ascii="Times New Roman" w:hAnsi="Times New Roman" w:cs="Times New Roman"/>
        </w:rPr>
        <w:t xml:space="preserve">Ministerstvo financií Rumunskej republiky a Ministerstvom financií Bulharskej republiky podnikne Ministerstvo financií Slovenskej republiky kroky k ukončeniu pôsobenia v oboch </w:t>
      </w:r>
      <w:r w:rsidR="000415AD">
        <w:rPr>
          <w:rFonts w:ascii="Times New Roman" w:hAnsi="Times New Roman" w:cs="Times New Roman"/>
        </w:rPr>
        <w:t>bankách</w:t>
      </w:r>
      <w:r w:rsidR="0068381F">
        <w:rPr>
          <w:rFonts w:ascii="Times New Roman" w:hAnsi="Times New Roman" w:cs="Times New Roman"/>
        </w:rPr>
        <w:t>.</w:t>
      </w:r>
    </w:p>
    <w:p w14:paraId="41C2F9E0" w14:textId="77777777" w:rsidR="00080497" w:rsidRDefault="00045D58" w:rsidP="00A90D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to, že Slovensk</w:t>
      </w:r>
      <w:r w:rsidR="00496E1C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republika je členom oboch bánk na základe prezidentských zmlúv,</w:t>
      </w:r>
      <w:r w:rsidR="00890DA4">
        <w:rPr>
          <w:rFonts w:ascii="Times New Roman" w:hAnsi="Times New Roman" w:cs="Times New Roman"/>
        </w:rPr>
        <w:t xml:space="preserve"> keďže ide o zmluvy zakladajúce členstvo Slovenskej republiky v medzinárodnej organizácii,</w:t>
      </w:r>
      <w:r>
        <w:rPr>
          <w:rFonts w:ascii="Times New Roman" w:hAnsi="Times New Roman" w:cs="Times New Roman"/>
        </w:rPr>
        <w:t xml:space="preserve"> aj na ukončenie členstva Slovenskej republiky bude potrený súhlas Národnej rady Slovenskej republiky a podpis prezidentky Slovenskej republiky. </w:t>
      </w:r>
      <w:r w:rsidR="000415AD">
        <w:rPr>
          <w:rFonts w:ascii="Times New Roman" w:hAnsi="Times New Roman" w:cs="Times New Roman"/>
        </w:rPr>
        <w:t xml:space="preserve">   </w:t>
      </w:r>
    </w:p>
    <w:p w14:paraId="6FF8E023" w14:textId="77777777" w:rsidR="00A90DA1" w:rsidRDefault="00A90DA1" w:rsidP="00A90DA1">
      <w:pPr>
        <w:spacing w:line="360" w:lineRule="auto"/>
        <w:jc w:val="both"/>
        <w:rPr>
          <w:rFonts w:ascii="Times New Roman" w:hAnsi="Times New Roman" w:cs="Times New Roman"/>
        </w:rPr>
      </w:pPr>
    </w:p>
    <w:p w14:paraId="39BB8FC8" w14:textId="77777777" w:rsidR="00A90DA1" w:rsidRPr="00582896" w:rsidRDefault="00582896" w:rsidP="00582896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82896">
        <w:rPr>
          <w:rFonts w:ascii="Times New Roman" w:hAnsi="Times New Roman" w:cs="Times New Roman"/>
          <w:b/>
          <w:color w:val="0070C0"/>
          <w:sz w:val="28"/>
          <w:szCs w:val="28"/>
        </w:rPr>
        <w:t>1. Informácia o Medzinárodnej investičnej banke a Medzinárodnej banke hospodárskej spolupráce</w:t>
      </w:r>
    </w:p>
    <w:p w14:paraId="6B87C93D" w14:textId="77777777" w:rsidR="00A90DA1" w:rsidRPr="00A90DA1" w:rsidRDefault="00A90DA1" w:rsidP="00A90D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0DA1">
        <w:rPr>
          <w:rFonts w:ascii="Times New Roman" w:hAnsi="Times New Roman" w:cs="Times New Roman"/>
          <w:b/>
        </w:rPr>
        <w:t>Základná informácia o Medzinárodnej investičnej banke</w:t>
      </w:r>
    </w:p>
    <w:p w14:paraId="53402457" w14:textId="77777777" w:rsidR="00A90DA1" w:rsidRDefault="00A90DA1" w:rsidP="00A90DA1">
      <w:pPr>
        <w:spacing w:line="360" w:lineRule="auto"/>
        <w:jc w:val="both"/>
        <w:rPr>
          <w:rFonts w:ascii="Times New Roman" w:hAnsi="Times New Roman" w:cs="Times New Roman"/>
        </w:rPr>
      </w:pPr>
      <w:r w:rsidRPr="00A90DA1">
        <w:rPr>
          <w:rFonts w:ascii="Times New Roman" w:hAnsi="Times New Roman" w:cs="Times New Roman"/>
        </w:rPr>
        <w:t xml:space="preserve">MIB bola založená v roku 1970 a svoju činnosť začala dňa 1. januára 1971. MIB je medzinárodná finančná inštitúcia so sídlom v </w:t>
      </w:r>
      <w:r w:rsidR="00EF70FF">
        <w:rPr>
          <w:rFonts w:ascii="Times New Roman" w:hAnsi="Times New Roman" w:cs="Times New Roman"/>
        </w:rPr>
        <w:t>Budapešti</w:t>
      </w:r>
      <w:r w:rsidRPr="00A90DA1">
        <w:rPr>
          <w:rFonts w:ascii="Times New Roman" w:hAnsi="Times New Roman" w:cs="Times New Roman"/>
        </w:rPr>
        <w:t xml:space="preserve"> a svoju činnosť vykonáva na základe Dohody o založení Medzinárodnej investičnej banky zo dňa 10. júla 1970, ktorá nadobudla účinnosť 5. februára 1971, a Štatútu Medzinárodnej investičnej banky (ďalej len „Štatút“), ktorý je neoddeliteľnou súčasťou tejto Dohody</w:t>
      </w:r>
      <w:r w:rsidR="00EF70FF">
        <w:rPr>
          <w:rFonts w:ascii="Times New Roman" w:hAnsi="Times New Roman" w:cs="Times New Roman"/>
        </w:rPr>
        <w:t xml:space="preserve"> </w:t>
      </w:r>
      <w:r w:rsidR="00EF70FF" w:rsidRPr="002707D7">
        <w:rPr>
          <w:rFonts w:ascii="Times New Roman" w:hAnsi="Times New Roman" w:cs="Times New Roman"/>
        </w:rPr>
        <w:t xml:space="preserve">v znení </w:t>
      </w:r>
      <w:r w:rsidR="006C7F3F" w:rsidRPr="002707D7">
        <w:rPr>
          <w:rFonts w:ascii="Times New Roman" w:hAnsi="Times New Roman" w:cs="Times New Roman"/>
        </w:rPr>
        <w:t>dodatkov</w:t>
      </w:r>
      <w:r w:rsidRPr="00A90DA1">
        <w:rPr>
          <w:rFonts w:ascii="Times New Roman" w:hAnsi="Times New Roman" w:cs="Times New Roman"/>
        </w:rPr>
        <w:t xml:space="preserve">. Dohoda je zaregistrovaná </w:t>
      </w:r>
      <w:r w:rsidR="006C7F3F">
        <w:rPr>
          <w:rFonts w:ascii="Times New Roman" w:hAnsi="Times New Roman" w:cs="Times New Roman"/>
        </w:rPr>
        <w:t>na</w:t>
      </w:r>
      <w:r w:rsidRPr="00A90DA1">
        <w:rPr>
          <w:rFonts w:ascii="Times New Roman" w:hAnsi="Times New Roman" w:cs="Times New Roman"/>
        </w:rPr>
        <w:t xml:space="preserve"> Sekretariáte OSN pod číslom 11417. Slovenská republika je členskou krajinou MIB od roku 1993. Členstvo Slovenskej republiky vzniklo v roku 1993 v dôsledku sukcesie do Dohody, uzavretej bývalým Československom  a rozdelením jeho podielu medzi Českú republiku a Slovenskú republiku v pomere 2:1.</w:t>
      </w:r>
    </w:p>
    <w:p w14:paraId="5EBF0F1F" w14:textId="77777777" w:rsidR="00A90DA1" w:rsidRDefault="00A90DA1" w:rsidP="00A90D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Členskými štátmi MIB</w:t>
      </w:r>
      <w:r w:rsidRPr="00A90D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sú </w:t>
      </w:r>
      <w:r w:rsidRPr="00A90DA1">
        <w:rPr>
          <w:rFonts w:ascii="Times New Roman" w:hAnsi="Times New Roman" w:cs="Times New Roman"/>
        </w:rPr>
        <w:t xml:space="preserve">Ruská federácia, </w:t>
      </w:r>
      <w:r>
        <w:rPr>
          <w:rFonts w:ascii="Times New Roman" w:hAnsi="Times New Roman" w:cs="Times New Roman"/>
        </w:rPr>
        <w:t xml:space="preserve">Maďarsko, </w:t>
      </w:r>
      <w:r w:rsidRPr="00A90DA1">
        <w:rPr>
          <w:rFonts w:ascii="Times New Roman" w:hAnsi="Times New Roman" w:cs="Times New Roman"/>
        </w:rPr>
        <w:t>Česká republika, Bulharská republika, Rumunsko, Sloven</w:t>
      </w:r>
      <w:r>
        <w:rPr>
          <w:rFonts w:ascii="Times New Roman" w:hAnsi="Times New Roman" w:cs="Times New Roman"/>
        </w:rPr>
        <w:t>ská republika, Kuba, Mongolsko</w:t>
      </w:r>
      <w:r w:rsidR="006C7F3F">
        <w:rPr>
          <w:rFonts w:ascii="Times New Roman" w:hAnsi="Times New Roman" w:cs="Times New Roman"/>
        </w:rPr>
        <w:t xml:space="preserve"> a </w:t>
      </w:r>
      <w:r>
        <w:rPr>
          <w:rFonts w:ascii="Times New Roman" w:hAnsi="Times New Roman" w:cs="Times New Roman"/>
        </w:rPr>
        <w:t>Vietnam</w:t>
      </w:r>
      <w:r w:rsidR="006C7F3F">
        <w:rPr>
          <w:rFonts w:ascii="Times New Roman" w:hAnsi="Times New Roman" w:cs="Times New Roman"/>
        </w:rPr>
        <w:t>.</w:t>
      </w:r>
    </w:p>
    <w:p w14:paraId="62B3F938" w14:textId="77777777" w:rsidR="006C7F3F" w:rsidRDefault="006C7F3F" w:rsidP="00A90D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MIB</w:t>
      </w:r>
      <w:r w:rsidRPr="006C7F3F">
        <w:rPr>
          <w:rFonts w:ascii="Times New Roman" w:hAnsi="Times New Roman" w:cs="Times New Roman"/>
        </w:rPr>
        <w:t xml:space="preserve"> sa špecializuje na strednodobé a dlhodobé financovanie projektov zameraných na podporu ekonomického rozvoja svojich členských štátov</w:t>
      </w:r>
      <w:r>
        <w:rPr>
          <w:rFonts w:ascii="Times New Roman" w:hAnsi="Times New Roman" w:cs="Times New Roman"/>
        </w:rPr>
        <w:t xml:space="preserve"> a</w:t>
      </w:r>
      <w:r w:rsidRPr="006C7F3F">
        <w:rPr>
          <w:rFonts w:ascii="Times New Roman" w:hAnsi="Times New Roman" w:cs="Times New Roman"/>
        </w:rPr>
        <w:t xml:space="preserve"> ktoré </w:t>
      </w:r>
      <w:r>
        <w:rPr>
          <w:rFonts w:ascii="Times New Roman" w:hAnsi="Times New Roman" w:cs="Times New Roman"/>
        </w:rPr>
        <w:t>majú</w:t>
      </w:r>
      <w:r w:rsidRPr="006C7F3F">
        <w:rPr>
          <w:rFonts w:ascii="Times New Roman" w:hAnsi="Times New Roman" w:cs="Times New Roman"/>
        </w:rPr>
        <w:t xml:space="preserve"> výrazný pozitívny sociálny, ekonomický a environmentálny dopad. Banka ponúka priame financovanie a poskytuje úvery v partnerstve s inými finančnými inštitúciami, ako aj prostredníctvom partnerských bánk.</w:t>
      </w:r>
    </w:p>
    <w:p w14:paraId="2D6CB4D5" w14:textId="77777777" w:rsidR="00582896" w:rsidRPr="00582896" w:rsidRDefault="00582896" w:rsidP="00A90D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2896">
        <w:rPr>
          <w:rFonts w:ascii="Times New Roman" w:hAnsi="Times New Roman" w:cs="Times New Roman"/>
          <w:b/>
        </w:rPr>
        <w:t>Podiel Slovenskej republiky v MIB</w:t>
      </w:r>
    </w:p>
    <w:p w14:paraId="3E6220E7" w14:textId="77777777" w:rsidR="007A3F85" w:rsidRDefault="00582896" w:rsidP="00A90D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Podiel Slovenskej republiky </w:t>
      </w:r>
      <w:r w:rsidR="00B20CA1">
        <w:rPr>
          <w:rFonts w:ascii="Times New Roman" w:hAnsi="Times New Roman" w:cs="Times New Roman"/>
        </w:rPr>
        <w:t xml:space="preserve">na základnom imaní banky </w:t>
      </w:r>
      <w:r>
        <w:rPr>
          <w:rFonts w:ascii="Times New Roman" w:hAnsi="Times New Roman" w:cs="Times New Roman"/>
        </w:rPr>
        <w:t xml:space="preserve">je vo výške 62 800 000 eur, pričom splatený kapitál Slovenskej republiky je vo výške 28 869 113,06 eura. </w:t>
      </w:r>
    </w:p>
    <w:p w14:paraId="5595095F" w14:textId="77777777" w:rsidR="00582896" w:rsidRPr="003F4190" w:rsidRDefault="00F64C2F" w:rsidP="00A90DA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F64C2F">
        <w:rPr>
          <w:rFonts w:ascii="Times New Roman" w:hAnsi="Times New Roman" w:cs="Times New Roman"/>
        </w:rPr>
        <w:t xml:space="preserve">Rada guvernérov MIB v decembri 2018 </w:t>
      </w:r>
      <w:r>
        <w:rPr>
          <w:rFonts w:ascii="Times New Roman" w:hAnsi="Times New Roman" w:cs="Times New Roman"/>
        </w:rPr>
        <w:t xml:space="preserve">odsúhlasila </w:t>
      </w:r>
      <w:r w:rsidRPr="00F64C2F">
        <w:rPr>
          <w:rFonts w:ascii="Times New Roman" w:hAnsi="Times New Roman" w:cs="Times New Roman"/>
        </w:rPr>
        <w:t xml:space="preserve">Program kapitalizácie MIB </w:t>
      </w:r>
      <w:r>
        <w:rPr>
          <w:rFonts w:ascii="Times New Roman" w:hAnsi="Times New Roman" w:cs="Times New Roman"/>
        </w:rPr>
        <w:t xml:space="preserve">na roky 2018-2022. </w:t>
      </w:r>
      <w:r w:rsidR="003C27DC">
        <w:rPr>
          <w:rFonts w:ascii="Times New Roman" w:hAnsi="Times New Roman" w:cs="Times New Roman"/>
        </w:rPr>
        <w:t>Podľa kapitalizačného programu MIB na roky 2020 až 2022 by mala Slovenská republika do konca roku 2022 zaplatiť splátku kapitálu v</w:t>
      </w:r>
      <w:r w:rsidR="00037923">
        <w:rPr>
          <w:rFonts w:ascii="Times New Roman" w:hAnsi="Times New Roman" w:cs="Times New Roman"/>
        </w:rPr>
        <w:t>o</w:t>
      </w:r>
      <w:r w:rsidR="003C27DC">
        <w:rPr>
          <w:rFonts w:ascii="Times New Roman" w:hAnsi="Times New Roman" w:cs="Times New Roman"/>
        </w:rPr>
        <w:t> výške 4 433 000 eur.</w:t>
      </w:r>
    </w:p>
    <w:p w14:paraId="519557FA" w14:textId="77777777" w:rsidR="00A90DA1" w:rsidRPr="00D20526" w:rsidRDefault="00D20526" w:rsidP="00A90D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0526">
        <w:rPr>
          <w:rFonts w:ascii="Times New Roman" w:hAnsi="Times New Roman" w:cs="Times New Roman"/>
          <w:b/>
        </w:rPr>
        <w:t>Prehľad kapitálu členských krajín</w:t>
      </w:r>
      <w:r>
        <w:rPr>
          <w:rFonts w:ascii="Times New Roman" w:hAnsi="Times New Roman" w:cs="Times New Roman"/>
          <w:b/>
        </w:rPr>
        <w:t xml:space="preserve"> MIB</w:t>
      </w:r>
    </w:p>
    <w:tbl>
      <w:tblPr>
        <w:tblStyle w:val="Tabukasmriekou5tmavzvraznenie11"/>
        <w:tblW w:w="0" w:type="auto"/>
        <w:tblLook w:val="04A0" w:firstRow="1" w:lastRow="0" w:firstColumn="1" w:lastColumn="0" w:noHBand="0" w:noVBand="1"/>
      </w:tblPr>
      <w:tblGrid>
        <w:gridCol w:w="4539"/>
        <w:gridCol w:w="2978"/>
        <w:gridCol w:w="1545"/>
      </w:tblGrid>
      <w:tr w:rsidR="00D20526" w:rsidRPr="003C27DC" w14:paraId="0C3A3B3D" w14:textId="77777777" w:rsidTr="00451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Merge w:val="restart"/>
          </w:tcPr>
          <w:p w14:paraId="695D032F" w14:textId="77777777" w:rsidR="00D20526" w:rsidRPr="003C27DC" w:rsidRDefault="00D20526" w:rsidP="00451F14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3C27DC">
              <w:rPr>
                <w:rFonts w:ascii="Times New Roman" w:hAnsi="Times New Roman" w:cs="Times New Roman"/>
                <w:b w:val="0"/>
              </w:rPr>
              <w:t>Členská krajina</w:t>
            </w:r>
          </w:p>
        </w:tc>
        <w:tc>
          <w:tcPr>
            <w:tcW w:w="4954" w:type="dxa"/>
            <w:gridSpan w:val="2"/>
          </w:tcPr>
          <w:p w14:paraId="30501B76" w14:textId="77777777" w:rsidR="00D20526" w:rsidRPr="003C27DC" w:rsidRDefault="00D20526" w:rsidP="00031E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Splatená časť kapitálu k</w:t>
            </w:r>
            <w:r w:rsidR="00031E99">
              <w:rPr>
                <w:rFonts w:ascii="Times New Roman" w:hAnsi="Times New Roman" w:cs="Times New Roman"/>
              </w:rPr>
              <w:t> 8.2.</w:t>
            </w:r>
            <w:r w:rsidRPr="003C27DC">
              <w:rPr>
                <w:rFonts w:ascii="Times New Roman" w:hAnsi="Times New Roman" w:cs="Times New Roman"/>
              </w:rPr>
              <w:t xml:space="preserve"> 202</w:t>
            </w:r>
            <w:r w:rsidR="00031E99">
              <w:rPr>
                <w:rFonts w:ascii="Times New Roman" w:hAnsi="Times New Roman" w:cs="Times New Roman"/>
              </w:rPr>
              <w:t>2</w:t>
            </w:r>
          </w:p>
        </w:tc>
      </w:tr>
      <w:tr w:rsidR="00D20526" w:rsidRPr="003C27DC" w14:paraId="07A00C41" w14:textId="77777777" w:rsidTr="0045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Merge/>
          </w:tcPr>
          <w:p w14:paraId="30FF3D92" w14:textId="77777777" w:rsidR="00D20526" w:rsidRPr="003C27DC" w:rsidRDefault="00D20526" w:rsidP="00451F14">
            <w:pPr>
              <w:pStyle w:val="Style7"/>
              <w:widowControl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1" w:type="dxa"/>
          </w:tcPr>
          <w:p w14:paraId="4AE9DC89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693" w:type="dxa"/>
          </w:tcPr>
          <w:p w14:paraId="08BE4D16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%</w:t>
            </w:r>
          </w:p>
        </w:tc>
      </w:tr>
      <w:tr w:rsidR="00D20526" w:rsidRPr="003C27DC" w14:paraId="17C48A16" w14:textId="77777777" w:rsidTr="0045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202C320" w14:textId="77777777" w:rsidR="00D20526" w:rsidRPr="003C27DC" w:rsidRDefault="00D20526" w:rsidP="00451F14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>Bulharská republika</w:t>
            </w:r>
          </w:p>
        </w:tc>
        <w:tc>
          <w:tcPr>
            <w:tcW w:w="3261" w:type="dxa"/>
          </w:tcPr>
          <w:p w14:paraId="5F046E3A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42 203 226,32</w:t>
            </w:r>
          </w:p>
        </w:tc>
        <w:tc>
          <w:tcPr>
            <w:tcW w:w="1693" w:type="dxa"/>
          </w:tcPr>
          <w:p w14:paraId="48058B79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 xml:space="preserve"> 9,90</w:t>
            </w:r>
          </w:p>
        </w:tc>
      </w:tr>
      <w:tr w:rsidR="00D20526" w:rsidRPr="003C27DC" w14:paraId="3CD04285" w14:textId="77777777" w:rsidTr="0045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9F21B66" w14:textId="77777777" w:rsidR="00D20526" w:rsidRPr="003C27DC" w:rsidRDefault="00D20526" w:rsidP="00451F14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>Kubánska republika</w:t>
            </w:r>
          </w:p>
        </w:tc>
        <w:tc>
          <w:tcPr>
            <w:tcW w:w="3261" w:type="dxa"/>
          </w:tcPr>
          <w:p w14:paraId="0811F4BF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7 350 487,96</w:t>
            </w:r>
          </w:p>
        </w:tc>
        <w:tc>
          <w:tcPr>
            <w:tcW w:w="1693" w:type="dxa"/>
          </w:tcPr>
          <w:p w14:paraId="33E6EAF3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1,72</w:t>
            </w:r>
          </w:p>
        </w:tc>
      </w:tr>
      <w:tr w:rsidR="00D20526" w:rsidRPr="003C27DC" w14:paraId="772B3D7A" w14:textId="77777777" w:rsidTr="0045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C94C4C8" w14:textId="77777777" w:rsidR="00D20526" w:rsidRPr="003C27DC" w:rsidRDefault="00D20526" w:rsidP="00451F14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>Česká republika</w:t>
            </w:r>
          </w:p>
        </w:tc>
        <w:tc>
          <w:tcPr>
            <w:tcW w:w="3261" w:type="dxa"/>
          </w:tcPr>
          <w:p w14:paraId="124DE5AE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37 374 957,01</w:t>
            </w:r>
          </w:p>
        </w:tc>
        <w:tc>
          <w:tcPr>
            <w:tcW w:w="1693" w:type="dxa"/>
          </w:tcPr>
          <w:p w14:paraId="51710074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8,77</w:t>
            </w:r>
          </w:p>
        </w:tc>
      </w:tr>
      <w:tr w:rsidR="00D20526" w:rsidRPr="003C27DC" w14:paraId="35BFEAC7" w14:textId="77777777" w:rsidTr="0045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0E25B45" w14:textId="77777777" w:rsidR="00D20526" w:rsidRPr="003C27DC" w:rsidRDefault="00D20526" w:rsidP="00451F14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 xml:space="preserve">Maďarská republika </w:t>
            </w:r>
          </w:p>
        </w:tc>
        <w:tc>
          <w:tcPr>
            <w:tcW w:w="3261" w:type="dxa"/>
          </w:tcPr>
          <w:p w14:paraId="16D439EA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73 757 000,00</w:t>
            </w:r>
          </w:p>
        </w:tc>
        <w:tc>
          <w:tcPr>
            <w:tcW w:w="1693" w:type="dxa"/>
          </w:tcPr>
          <w:p w14:paraId="66BE834C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17,31</w:t>
            </w:r>
          </w:p>
        </w:tc>
      </w:tr>
      <w:tr w:rsidR="00D20526" w:rsidRPr="003C27DC" w14:paraId="7785B98B" w14:textId="77777777" w:rsidTr="0045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E9EAAEA" w14:textId="77777777" w:rsidR="00D20526" w:rsidRPr="003C27DC" w:rsidRDefault="00D20526" w:rsidP="00451F14">
            <w:pPr>
              <w:pStyle w:val="Style7"/>
              <w:widowControl/>
              <w:spacing w:line="276" w:lineRule="auto"/>
              <w:ind w:right="311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 xml:space="preserve">Socialistická republika Vietnam </w:t>
            </w:r>
          </w:p>
        </w:tc>
        <w:tc>
          <w:tcPr>
            <w:tcW w:w="3261" w:type="dxa"/>
          </w:tcPr>
          <w:p w14:paraId="480F8596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3 669 274,56</w:t>
            </w:r>
          </w:p>
        </w:tc>
        <w:tc>
          <w:tcPr>
            <w:tcW w:w="1693" w:type="dxa"/>
          </w:tcPr>
          <w:p w14:paraId="16849646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 xml:space="preserve"> 0,86</w:t>
            </w:r>
          </w:p>
        </w:tc>
      </w:tr>
      <w:tr w:rsidR="00D20526" w:rsidRPr="003C27DC" w14:paraId="3C0EE881" w14:textId="77777777" w:rsidTr="0045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02BF996" w14:textId="77777777" w:rsidR="00D20526" w:rsidRPr="003C27DC" w:rsidRDefault="00D20526" w:rsidP="00451F14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>Mongolsko</w:t>
            </w:r>
          </w:p>
        </w:tc>
        <w:tc>
          <w:tcPr>
            <w:tcW w:w="3261" w:type="dxa"/>
          </w:tcPr>
          <w:p w14:paraId="1212E582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5 260 184,85</w:t>
            </w:r>
          </w:p>
        </w:tc>
        <w:tc>
          <w:tcPr>
            <w:tcW w:w="1693" w:type="dxa"/>
          </w:tcPr>
          <w:p w14:paraId="79FB62EC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 xml:space="preserve"> 1,23</w:t>
            </w:r>
          </w:p>
        </w:tc>
      </w:tr>
      <w:tr w:rsidR="00D20526" w:rsidRPr="003C27DC" w14:paraId="522D4BE6" w14:textId="77777777" w:rsidTr="0045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2FA5E94" w14:textId="77777777" w:rsidR="00D20526" w:rsidRPr="003C27DC" w:rsidRDefault="00D20526" w:rsidP="00451F14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 xml:space="preserve">Ruská federácia </w:t>
            </w:r>
          </w:p>
        </w:tc>
        <w:tc>
          <w:tcPr>
            <w:tcW w:w="3261" w:type="dxa"/>
          </w:tcPr>
          <w:p w14:paraId="7A0B12B4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201 625 792,59</w:t>
            </w:r>
          </w:p>
        </w:tc>
        <w:tc>
          <w:tcPr>
            <w:tcW w:w="1693" w:type="dxa"/>
          </w:tcPr>
          <w:p w14:paraId="15D97369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47,31</w:t>
            </w:r>
          </w:p>
        </w:tc>
      </w:tr>
      <w:tr w:rsidR="00D20526" w:rsidRPr="003C27DC" w14:paraId="4E06CC4D" w14:textId="77777777" w:rsidTr="0045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EC59EB5" w14:textId="77777777" w:rsidR="00D20526" w:rsidRPr="003C27DC" w:rsidRDefault="00D20526" w:rsidP="00451F14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 xml:space="preserve">Rumunsko </w:t>
            </w:r>
          </w:p>
        </w:tc>
        <w:tc>
          <w:tcPr>
            <w:tcW w:w="3261" w:type="dxa"/>
          </w:tcPr>
          <w:p w14:paraId="6E664BA9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26 103 958,51</w:t>
            </w:r>
          </w:p>
        </w:tc>
        <w:tc>
          <w:tcPr>
            <w:tcW w:w="1693" w:type="dxa"/>
          </w:tcPr>
          <w:p w14:paraId="65717E4A" w14:textId="77777777" w:rsidR="00D20526" w:rsidRPr="003C27DC" w:rsidRDefault="00334DD2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6,12</w:t>
            </w:r>
          </w:p>
        </w:tc>
      </w:tr>
      <w:tr w:rsidR="00D20526" w:rsidRPr="003C27DC" w14:paraId="07E914E1" w14:textId="77777777" w:rsidTr="00451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5D883A1" w14:textId="77777777" w:rsidR="00D20526" w:rsidRPr="003C27DC" w:rsidRDefault="00D20526" w:rsidP="00451F14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3C27DC">
              <w:rPr>
                <w:rFonts w:eastAsiaTheme="minorHAnsi"/>
                <w:lang w:eastAsia="en-US"/>
              </w:rPr>
              <w:t xml:space="preserve">Slovenská republika </w:t>
            </w:r>
          </w:p>
        </w:tc>
        <w:tc>
          <w:tcPr>
            <w:tcW w:w="3261" w:type="dxa"/>
          </w:tcPr>
          <w:p w14:paraId="0E3EB9A4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28 869 113,06</w:t>
            </w:r>
          </w:p>
        </w:tc>
        <w:tc>
          <w:tcPr>
            <w:tcW w:w="1693" w:type="dxa"/>
          </w:tcPr>
          <w:p w14:paraId="17648FB0" w14:textId="77777777" w:rsidR="00D20526" w:rsidRPr="003C27DC" w:rsidRDefault="00D20526" w:rsidP="00451F1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6,77</w:t>
            </w:r>
          </w:p>
        </w:tc>
      </w:tr>
      <w:tr w:rsidR="00D20526" w:rsidRPr="003C27DC" w14:paraId="48A98F74" w14:textId="77777777" w:rsidTr="0045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3D2A939" w14:textId="77777777" w:rsidR="00D20526" w:rsidRPr="003C27DC" w:rsidRDefault="00D20526" w:rsidP="00451F14">
            <w:pPr>
              <w:pStyle w:val="Style4"/>
              <w:widowControl/>
              <w:spacing w:line="276" w:lineRule="auto"/>
              <w:rPr>
                <w:rFonts w:eastAsiaTheme="minorHAnsi"/>
                <w:b w:val="0"/>
                <w:bCs w:val="0"/>
                <w:lang w:eastAsia="en-US"/>
              </w:rPr>
            </w:pPr>
            <w:r w:rsidRPr="003C27DC">
              <w:rPr>
                <w:rFonts w:eastAsiaTheme="minorHAnsi"/>
                <w:b w:val="0"/>
                <w:bCs w:val="0"/>
                <w:lang w:eastAsia="en-US"/>
              </w:rPr>
              <w:t>Spolu:</w:t>
            </w:r>
          </w:p>
        </w:tc>
        <w:tc>
          <w:tcPr>
            <w:tcW w:w="3261" w:type="dxa"/>
          </w:tcPr>
          <w:p w14:paraId="13B2AD00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426 213 994,86</w:t>
            </w:r>
          </w:p>
        </w:tc>
        <w:tc>
          <w:tcPr>
            <w:tcW w:w="1693" w:type="dxa"/>
          </w:tcPr>
          <w:p w14:paraId="48A3A2CE" w14:textId="77777777" w:rsidR="00D20526" w:rsidRPr="003C27DC" w:rsidRDefault="00D20526" w:rsidP="00451F1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7DC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2BF12E15" w14:textId="77777777" w:rsidR="00D20526" w:rsidRPr="003C27DC" w:rsidRDefault="00D20526" w:rsidP="00A90DA1">
      <w:pPr>
        <w:spacing w:line="360" w:lineRule="auto"/>
        <w:jc w:val="both"/>
        <w:rPr>
          <w:rFonts w:ascii="Times New Roman" w:hAnsi="Times New Roman" w:cs="Times New Roman"/>
        </w:rPr>
      </w:pPr>
    </w:p>
    <w:p w14:paraId="5E81A668" w14:textId="77777777" w:rsidR="00D20526" w:rsidRPr="00751534" w:rsidRDefault="00D20526" w:rsidP="00582896">
      <w:pPr>
        <w:pStyle w:val="Bezriadkovania"/>
        <w:spacing w:line="360" w:lineRule="auto"/>
        <w:rPr>
          <w:rFonts w:ascii="Times New Roman" w:hAnsi="Times New Roman" w:cs="Times New Roman"/>
          <w:b/>
        </w:rPr>
      </w:pPr>
      <w:r w:rsidRPr="00751534">
        <w:rPr>
          <w:rFonts w:ascii="Times New Roman" w:hAnsi="Times New Roman" w:cs="Times New Roman"/>
          <w:b/>
        </w:rPr>
        <w:t xml:space="preserve">Zastúpenie Slovenskej republiky v MIB </w:t>
      </w:r>
    </w:p>
    <w:p w14:paraId="2ED9C843" w14:textId="77777777" w:rsidR="00D20526" w:rsidRPr="00751534" w:rsidRDefault="00D20526" w:rsidP="00582896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751534">
        <w:rPr>
          <w:rFonts w:ascii="Times New Roman" w:hAnsi="Times New Roman" w:cs="Times New Roman"/>
        </w:rPr>
        <w:t xml:space="preserve">guvernér v Rade guvernérov – </w:t>
      </w:r>
      <w:r w:rsidRPr="00751534">
        <w:rPr>
          <w:rFonts w:ascii="Times New Roman" w:hAnsi="Times New Roman" w:cs="Times New Roman"/>
          <w:b/>
        </w:rPr>
        <w:t>minister financií Igor Matovič</w:t>
      </w:r>
    </w:p>
    <w:p w14:paraId="73E47C11" w14:textId="77777777" w:rsidR="00D20526" w:rsidRPr="00751534" w:rsidRDefault="00D20526" w:rsidP="00582896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751534">
        <w:rPr>
          <w:rFonts w:ascii="Times New Roman" w:hAnsi="Times New Roman" w:cs="Times New Roman"/>
        </w:rPr>
        <w:t xml:space="preserve">alternát guvernéra – </w:t>
      </w:r>
      <w:r w:rsidRPr="00751534">
        <w:rPr>
          <w:rFonts w:ascii="Times New Roman" w:hAnsi="Times New Roman" w:cs="Times New Roman"/>
          <w:b/>
        </w:rPr>
        <w:t>nie je vymenovaný</w:t>
      </w:r>
    </w:p>
    <w:p w14:paraId="1F788E31" w14:textId="77777777" w:rsidR="00A90DA1" w:rsidRDefault="00A90DA1" w:rsidP="00582896">
      <w:pPr>
        <w:spacing w:line="360" w:lineRule="auto"/>
        <w:jc w:val="both"/>
        <w:rPr>
          <w:rFonts w:ascii="Times New Roman" w:hAnsi="Times New Roman" w:cs="Times New Roman"/>
        </w:rPr>
      </w:pPr>
    </w:p>
    <w:p w14:paraId="6EF3A492" w14:textId="77777777" w:rsidR="00A90DA1" w:rsidRPr="00A90DA1" w:rsidRDefault="00A90DA1" w:rsidP="005828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90DA1">
        <w:rPr>
          <w:rFonts w:ascii="Times New Roman" w:hAnsi="Times New Roman" w:cs="Times New Roman"/>
          <w:b/>
        </w:rPr>
        <w:t>Základná informácia o Medzinárodnej banke hospodárskej spolupráce</w:t>
      </w:r>
    </w:p>
    <w:p w14:paraId="13FD6CC7" w14:textId="77777777" w:rsidR="006307A8" w:rsidRDefault="006307A8" w:rsidP="0058289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Medzinárodná banka hospodárskej spolupráce bola </w:t>
      </w:r>
      <w:r w:rsidRPr="006307A8">
        <w:rPr>
          <w:rFonts w:ascii="Times New Roman" w:hAnsi="Times New Roman" w:cs="Times New Roman"/>
        </w:rPr>
        <w:t xml:space="preserve">založená 22. októbra 1963 v súlade s medzinárodnou dohodou registrovanou na sekretariáte Organizácie Spojených národov. </w:t>
      </w:r>
      <w:r>
        <w:rPr>
          <w:rFonts w:ascii="Times New Roman" w:hAnsi="Times New Roman" w:cs="Times New Roman"/>
        </w:rPr>
        <w:t xml:space="preserve">MBHS je </w:t>
      </w:r>
      <w:r w:rsidRPr="006307A8">
        <w:rPr>
          <w:rFonts w:ascii="Times New Roman" w:hAnsi="Times New Roman" w:cs="Times New Roman"/>
        </w:rPr>
        <w:t xml:space="preserve">medzinárodná finančná inštitúcia so sídlom v </w:t>
      </w:r>
      <w:r>
        <w:rPr>
          <w:rFonts w:ascii="Times New Roman" w:hAnsi="Times New Roman" w:cs="Times New Roman"/>
        </w:rPr>
        <w:t>Moskve</w:t>
      </w:r>
      <w:r w:rsidRPr="006307A8">
        <w:rPr>
          <w:rFonts w:ascii="Times New Roman" w:hAnsi="Times New Roman" w:cs="Times New Roman"/>
        </w:rPr>
        <w:t xml:space="preserve"> a svoju činnosť vykonáva na základe Dohody</w:t>
      </w:r>
      <w:r>
        <w:rPr>
          <w:rFonts w:ascii="Times New Roman" w:hAnsi="Times New Roman" w:cs="Times New Roman"/>
        </w:rPr>
        <w:t xml:space="preserve"> </w:t>
      </w:r>
      <w:r w:rsidRPr="006307A8">
        <w:rPr>
          <w:rFonts w:ascii="Times New Roman" w:hAnsi="Times New Roman" w:cs="Times New Roman"/>
        </w:rPr>
        <w:t>o organizácii a činnostiach Medzinárodnej banky hospodársk</w:t>
      </w:r>
      <w:r>
        <w:rPr>
          <w:rFonts w:ascii="Times New Roman" w:hAnsi="Times New Roman" w:cs="Times New Roman"/>
        </w:rPr>
        <w:t>ej</w:t>
      </w:r>
      <w:r w:rsidRPr="006307A8">
        <w:rPr>
          <w:rFonts w:ascii="Times New Roman" w:hAnsi="Times New Roman" w:cs="Times New Roman"/>
        </w:rPr>
        <w:t xml:space="preserve"> spoluprác</w:t>
      </w:r>
      <w:r>
        <w:rPr>
          <w:rFonts w:ascii="Times New Roman" w:hAnsi="Times New Roman" w:cs="Times New Roman"/>
        </w:rPr>
        <w:t>e</w:t>
      </w:r>
      <w:r w:rsidR="00CD4E17">
        <w:rPr>
          <w:rFonts w:ascii="Times New Roman" w:hAnsi="Times New Roman" w:cs="Times New Roman"/>
        </w:rPr>
        <w:t xml:space="preserve"> a Štatútu </w:t>
      </w:r>
      <w:r w:rsidR="00CD4E17" w:rsidRPr="00CD4E17">
        <w:rPr>
          <w:rFonts w:ascii="Times New Roman" w:hAnsi="Times New Roman" w:cs="Times New Roman"/>
        </w:rPr>
        <w:t xml:space="preserve">Medzinárodnej banky </w:t>
      </w:r>
      <w:r w:rsidR="00CD4E17" w:rsidRPr="00CD4E17">
        <w:rPr>
          <w:rFonts w:ascii="Times New Roman" w:hAnsi="Times New Roman" w:cs="Times New Roman"/>
        </w:rPr>
        <w:lastRenderedPageBreak/>
        <w:t>hospodárskej spolupráce</w:t>
      </w:r>
      <w:r w:rsidR="00CD4E17">
        <w:rPr>
          <w:rFonts w:ascii="Times New Roman" w:hAnsi="Times New Roman" w:cs="Times New Roman"/>
        </w:rPr>
        <w:t xml:space="preserve">, ktorý je jej neoddeliteľnou </w:t>
      </w:r>
      <w:r w:rsidR="00CD4E17" w:rsidRPr="002707D7">
        <w:rPr>
          <w:rFonts w:ascii="Times New Roman" w:hAnsi="Times New Roman" w:cs="Times New Roman"/>
        </w:rPr>
        <w:t>súčasťou v znení dodatkov</w:t>
      </w:r>
      <w:r w:rsidR="00CD4E17">
        <w:rPr>
          <w:rFonts w:ascii="Times New Roman" w:hAnsi="Times New Roman" w:cs="Times New Roman"/>
        </w:rPr>
        <w:t xml:space="preserve">. </w:t>
      </w:r>
      <w:r w:rsidRPr="00A90DA1">
        <w:rPr>
          <w:rFonts w:ascii="Times New Roman" w:hAnsi="Times New Roman" w:cs="Times New Roman"/>
        </w:rPr>
        <w:t>Slovenská republika je členskou krajinou M</w:t>
      </w:r>
      <w:r>
        <w:rPr>
          <w:rFonts w:ascii="Times New Roman" w:hAnsi="Times New Roman" w:cs="Times New Roman"/>
        </w:rPr>
        <w:t>BHS</w:t>
      </w:r>
      <w:r w:rsidRPr="00A90DA1">
        <w:rPr>
          <w:rFonts w:ascii="Times New Roman" w:hAnsi="Times New Roman" w:cs="Times New Roman"/>
        </w:rPr>
        <w:t xml:space="preserve"> od roku 1993. Členstvo Slovenskej republiky vzniklo v roku 1993 v dôsledku sukcesie do Dohody, uzavretej bývalým Československom  a rozdelením jeho podielu medzi Českú republiku a Slovenskú republiku v pomere 2:1.</w:t>
      </w:r>
    </w:p>
    <w:p w14:paraId="7C42CBF5" w14:textId="77777777" w:rsidR="00B20982" w:rsidRDefault="006307A8" w:rsidP="00582896">
      <w:pPr>
        <w:spacing w:line="360" w:lineRule="auto"/>
        <w:jc w:val="both"/>
        <w:rPr>
          <w:rFonts w:ascii="Times New Roman" w:hAnsi="Times New Roman" w:cs="Times New Roman"/>
        </w:rPr>
      </w:pPr>
      <w:r w:rsidRPr="006307A8">
        <w:rPr>
          <w:rFonts w:ascii="Times New Roman" w:hAnsi="Times New Roman" w:cs="Times New Roman"/>
        </w:rPr>
        <w:t xml:space="preserve">Medzi členské krajiny </w:t>
      </w:r>
      <w:r w:rsidR="00CD4E17">
        <w:rPr>
          <w:rFonts w:ascii="Times New Roman" w:hAnsi="Times New Roman" w:cs="Times New Roman"/>
        </w:rPr>
        <w:t xml:space="preserve">MBHS </w:t>
      </w:r>
      <w:r w:rsidRPr="006307A8">
        <w:rPr>
          <w:rFonts w:ascii="Times New Roman" w:hAnsi="Times New Roman" w:cs="Times New Roman"/>
        </w:rPr>
        <w:t>patrí Bulharská republika, Česká republika, Mongolsko, Poľská republika, Ruská federácia, Rumunsko, Slovenská republika a Vietnamská socialistická republika.</w:t>
      </w:r>
    </w:p>
    <w:p w14:paraId="299762A7" w14:textId="77777777" w:rsidR="00CD4E17" w:rsidRDefault="00A83CD8" w:rsidP="0058289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MBHS je p</w:t>
      </w:r>
      <w:r w:rsidRPr="00A83CD8">
        <w:rPr>
          <w:rFonts w:ascii="Times New Roman" w:hAnsi="Times New Roman" w:cs="Times New Roman"/>
        </w:rPr>
        <w:t>odporovať ekonomickú prosperitu členských krajín prepojením vnútroregionálnych a medziregionálnych obchodných operácií a uľahčením financovania projektov, ktoré podporujú ciele trvalo udržateľného rozvoja</w:t>
      </w:r>
      <w:r>
        <w:rPr>
          <w:rFonts w:ascii="Times New Roman" w:hAnsi="Times New Roman" w:cs="Times New Roman"/>
        </w:rPr>
        <w:t>.</w:t>
      </w:r>
    </w:p>
    <w:p w14:paraId="2FB062D5" w14:textId="77777777" w:rsidR="00B20CA1" w:rsidRPr="00582896" w:rsidRDefault="00B20CA1" w:rsidP="00B20C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2896">
        <w:rPr>
          <w:rFonts w:ascii="Times New Roman" w:hAnsi="Times New Roman" w:cs="Times New Roman"/>
          <w:b/>
        </w:rPr>
        <w:t>Podiel Slovenskej republiky v </w:t>
      </w:r>
      <w:r>
        <w:rPr>
          <w:rFonts w:ascii="Times New Roman" w:hAnsi="Times New Roman" w:cs="Times New Roman"/>
          <w:b/>
        </w:rPr>
        <w:t>MBHS</w:t>
      </w:r>
    </w:p>
    <w:p w14:paraId="1CCC47C5" w14:textId="77777777" w:rsidR="00582896" w:rsidRDefault="00B20CA1" w:rsidP="0058289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Podiel Slovenskej republiky na základnom imaní banky je vo výške 26 684 000 eur, pričom splatený kapitál Slovenskej republiky je vo výške </w:t>
      </w:r>
      <w:r w:rsidR="00DA06A4">
        <w:rPr>
          <w:rFonts w:ascii="Times New Roman" w:hAnsi="Times New Roman" w:cs="Times New Roman"/>
        </w:rPr>
        <w:t>13 342 064 eur</w:t>
      </w:r>
      <w:r>
        <w:rPr>
          <w:rFonts w:ascii="Times New Roman" w:hAnsi="Times New Roman" w:cs="Times New Roman"/>
        </w:rPr>
        <w:t>.</w:t>
      </w:r>
    </w:p>
    <w:p w14:paraId="63EA017E" w14:textId="77777777" w:rsidR="00582896" w:rsidRPr="00582896" w:rsidRDefault="00582896" w:rsidP="005828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82896">
        <w:rPr>
          <w:rFonts w:ascii="Times New Roman" w:hAnsi="Times New Roman" w:cs="Times New Roman"/>
          <w:b/>
        </w:rPr>
        <w:t>Prehľad kapitálu členských krajín MBHS</w:t>
      </w:r>
    </w:p>
    <w:tbl>
      <w:tblPr>
        <w:tblStyle w:val="Tabukasmriekou5tmavzvraznenie11"/>
        <w:tblW w:w="0" w:type="auto"/>
        <w:tblLook w:val="04A0" w:firstRow="1" w:lastRow="0" w:firstColumn="1" w:lastColumn="0" w:noHBand="0" w:noVBand="1"/>
      </w:tblPr>
      <w:tblGrid>
        <w:gridCol w:w="4596"/>
        <w:gridCol w:w="2906"/>
        <w:gridCol w:w="1560"/>
      </w:tblGrid>
      <w:tr w:rsidR="00582896" w:rsidRPr="002B5650" w14:paraId="05D640ED" w14:textId="77777777" w:rsidTr="00412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vMerge w:val="restart"/>
          </w:tcPr>
          <w:p w14:paraId="23483011" w14:textId="77777777" w:rsidR="00582896" w:rsidRPr="00B20CA1" w:rsidRDefault="00582896" w:rsidP="00C72B9A">
            <w:pPr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B20CA1">
              <w:rPr>
                <w:rFonts w:ascii="Times New Roman" w:hAnsi="Times New Roman" w:cs="Times New Roman"/>
                <w:b w:val="0"/>
              </w:rPr>
              <w:t>Členská krajina</w:t>
            </w:r>
          </w:p>
        </w:tc>
        <w:tc>
          <w:tcPr>
            <w:tcW w:w="4466" w:type="dxa"/>
            <w:gridSpan w:val="2"/>
          </w:tcPr>
          <w:p w14:paraId="2368C83B" w14:textId="77777777" w:rsidR="00582896" w:rsidRPr="00B20CA1" w:rsidRDefault="00582896" w:rsidP="00412E6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Splatená časť kapitálu k 31.12.20</w:t>
            </w:r>
            <w:r w:rsidR="00412E63">
              <w:rPr>
                <w:rFonts w:ascii="Times New Roman" w:hAnsi="Times New Roman" w:cs="Times New Roman"/>
              </w:rPr>
              <w:t>21</w:t>
            </w:r>
          </w:p>
        </w:tc>
      </w:tr>
      <w:tr w:rsidR="00582896" w:rsidRPr="002B5650" w14:paraId="13CCEFED" w14:textId="77777777" w:rsidTr="0041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  <w:vMerge/>
          </w:tcPr>
          <w:p w14:paraId="07856E23" w14:textId="77777777" w:rsidR="00582896" w:rsidRPr="00B20CA1" w:rsidRDefault="00582896" w:rsidP="00C72B9A">
            <w:pPr>
              <w:pStyle w:val="Style7"/>
              <w:widowControl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06" w:type="dxa"/>
          </w:tcPr>
          <w:p w14:paraId="24DEE45F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560" w:type="dxa"/>
          </w:tcPr>
          <w:p w14:paraId="15EBD812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%</w:t>
            </w:r>
          </w:p>
        </w:tc>
      </w:tr>
      <w:tr w:rsidR="00582896" w:rsidRPr="002B5650" w14:paraId="0A923D28" w14:textId="77777777" w:rsidTr="00412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381D1238" w14:textId="77777777" w:rsidR="00582896" w:rsidRPr="00B20CA1" w:rsidRDefault="00582896" w:rsidP="00C72B9A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B20CA1">
              <w:rPr>
                <w:rFonts w:eastAsiaTheme="minorHAnsi"/>
                <w:lang w:eastAsia="en-US"/>
              </w:rPr>
              <w:t>Bulharská republika</w:t>
            </w:r>
          </w:p>
        </w:tc>
        <w:tc>
          <w:tcPr>
            <w:tcW w:w="2906" w:type="dxa"/>
          </w:tcPr>
          <w:p w14:paraId="4E50ADE2" w14:textId="77777777" w:rsidR="00582896" w:rsidRPr="00B20CA1" w:rsidRDefault="00582896" w:rsidP="00412E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15 12</w:t>
            </w:r>
            <w:r w:rsidR="00412E63">
              <w:rPr>
                <w:rFonts w:ascii="Times New Roman" w:hAnsi="Times New Roman" w:cs="Times New Roman"/>
              </w:rPr>
              <w:t>2</w:t>
            </w:r>
            <w:r w:rsidRPr="00B20CA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60" w:type="dxa"/>
          </w:tcPr>
          <w:p w14:paraId="082B9225" w14:textId="77777777" w:rsidR="00582896" w:rsidRPr="00B20CA1" w:rsidRDefault="00582896" w:rsidP="00C72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 xml:space="preserve"> 7,</w:t>
            </w:r>
            <w:r w:rsidR="00412E63">
              <w:rPr>
                <w:rFonts w:ascii="Times New Roman" w:hAnsi="Times New Roman" w:cs="Times New Roman"/>
              </w:rPr>
              <w:t>5</w:t>
            </w:r>
            <w:r w:rsidRPr="00B20CA1">
              <w:rPr>
                <w:rFonts w:ascii="Times New Roman" w:hAnsi="Times New Roman" w:cs="Times New Roman"/>
              </w:rPr>
              <w:t>6</w:t>
            </w:r>
          </w:p>
        </w:tc>
      </w:tr>
      <w:tr w:rsidR="00582896" w:rsidRPr="002B5650" w14:paraId="27544EB3" w14:textId="77777777" w:rsidTr="0041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2740E559" w14:textId="77777777" w:rsidR="00582896" w:rsidRPr="00B20CA1" w:rsidRDefault="00582896" w:rsidP="00C72B9A">
            <w:pPr>
              <w:pStyle w:val="Style7"/>
              <w:widowControl/>
              <w:spacing w:line="276" w:lineRule="auto"/>
              <w:ind w:right="311"/>
              <w:rPr>
                <w:rFonts w:eastAsiaTheme="minorHAnsi"/>
                <w:lang w:eastAsia="en-US"/>
              </w:rPr>
            </w:pPr>
            <w:r w:rsidRPr="00B20CA1">
              <w:rPr>
                <w:rFonts w:eastAsiaTheme="minorHAnsi"/>
                <w:lang w:eastAsia="en-US"/>
              </w:rPr>
              <w:t xml:space="preserve">Socialistická republika Vietnam </w:t>
            </w:r>
          </w:p>
        </w:tc>
        <w:tc>
          <w:tcPr>
            <w:tcW w:w="2906" w:type="dxa"/>
          </w:tcPr>
          <w:p w14:paraId="7FAB5B8C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758 000</w:t>
            </w:r>
          </w:p>
        </w:tc>
        <w:tc>
          <w:tcPr>
            <w:tcW w:w="1560" w:type="dxa"/>
          </w:tcPr>
          <w:p w14:paraId="6BE4105A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 xml:space="preserve"> 0,38</w:t>
            </w:r>
          </w:p>
        </w:tc>
      </w:tr>
      <w:tr w:rsidR="00582896" w:rsidRPr="002B5650" w14:paraId="69382187" w14:textId="77777777" w:rsidTr="00412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685BE232" w14:textId="77777777" w:rsidR="00582896" w:rsidRPr="00B20CA1" w:rsidRDefault="00582896" w:rsidP="00C72B9A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B20CA1">
              <w:rPr>
                <w:rFonts w:eastAsiaTheme="minorHAnsi"/>
                <w:lang w:eastAsia="en-US"/>
              </w:rPr>
              <w:t>Mongolsko</w:t>
            </w:r>
          </w:p>
        </w:tc>
        <w:tc>
          <w:tcPr>
            <w:tcW w:w="2906" w:type="dxa"/>
          </w:tcPr>
          <w:p w14:paraId="280188B5" w14:textId="77777777" w:rsidR="00582896" w:rsidRPr="00B20CA1" w:rsidRDefault="00582896" w:rsidP="00C72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 xml:space="preserve"> 2 668 000</w:t>
            </w:r>
          </w:p>
        </w:tc>
        <w:tc>
          <w:tcPr>
            <w:tcW w:w="1560" w:type="dxa"/>
          </w:tcPr>
          <w:p w14:paraId="5DE65AD9" w14:textId="77777777" w:rsidR="00582896" w:rsidRPr="00B20CA1" w:rsidRDefault="00582896" w:rsidP="00C72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 xml:space="preserve"> 1,3</w:t>
            </w:r>
            <w:r w:rsidR="00412E63">
              <w:rPr>
                <w:rFonts w:ascii="Times New Roman" w:hAnsi="Times New Roman" w:cs="Times New Roman"/>
              </w:rPr>
              <w:t>3</w:t>
            </w:r>
          </w:p>
        </w:tc>
      </w:tr>
      <w:tr w:rsidR="00582896" w:rsidRPr="002B5650" w14:paraId="74AC6924" w14:textId="77777777" w:rsidTr="0041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296B2B0F" w14:textId="77777777" w:rsidR="00582896" w:rsidRPr="00B20CA1" w:rsidRDefault="00582896" w:rsidP="00C72B9A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B20CA1">
              <w:rPr>
                <w:rFonts w:eastAsiaTheme="minorHAnsi"/>
                <w:lang w:eastAsia="en-US"/>
              </w:rPr>
              <w:t xml:space="preserve">Poľská republika </w:t>
            </w:r>
          </w:p>
        </w:tc>
        <w:tc>
          <w:tcPr>
            <w:tcW w:w="2906" w:type="dxa"/>
          </w:tcPr>
          <w:p w14:paraId="0F5FB153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24 016 000</w:t>
            </w:r>
          </w:p>
        </w:tc>
        <w:tc>
          <w:tcPr>
            <w:tcW w:w="1560" w:type="dxa"/>
          </w:tcPr>
          <w:p w14:paraId="65226C94" w14:textId="77777777" w:rsidR="00582896" w:rsidRPr="00B20CA1" w:rsidRDefault="00582896" w:rsidP="00412E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12,0</w:t>
            </w:r>
            <w:r w:rsidR="00412E63">
              <w:rPr>
                <w:rFonts w:ascii="Times New Roman" w:hAnsi="Times New Roman" w:cs="Times New Roman"/>
              </w:rPr>
              <w:t>1</w:t>
            </w:r>
          </w:p>
        </w:tc>
      </w:tr>
      <w:tr w:rsidR="00582896" w:rsidRPr="002B5650" w14:paraId="6016C2FF" w14:textId="77777777" w:rsidTr="00412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154A8231" w14:textId="77777777" w:rsidR="00582896" w:rsidRPr="00B20CA1" w:rsidRDefault="00582896" w:rsidP="00C72B9A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B20CA1">
              <w:rPr>
                <w:rFonts w:eastAsiaTheme="minorHAnsi"/>
                <w:lang w:eastAsia="en-US"/>
              </w:rPr>
              <w:t xml:space="preserve">Ruská federácia </w:t>
            </w:r>
          </w:p>
        </w:tc>
        <w:tc>
          <w:tcPr>
            <w:tcW w:w="2906" w:type="dxa"/>
          </w:tcPr>
          <w:p w14:paraId="66714BDE" w14:textId="77777777" w:rsidR="00582896" w:rsidRPr="00B20CA1" w:rsidRDefault="00582896" w:rsidP="00412E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103 17</w:t>
            </w:r>
            <w:r w:rsidR="00412E63">
              <w:rPr>
                <w:rFonts w:ascii="Times New Roman" w:hAnsi="Times New Roman" w:cs="Times New Roman"/>
              </w:rPr>
              <w:t>8</w:t>
            </w:r>
            <w:r w:rsidRPr="00B20CA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560" w:type="dxa"/>
          </w:tcPr>
          <w:p w14:paraId="23787B16" w14:textId="77777777" w:rsidR="00582896" w:rsidRPr="00B20CA1" w:rsidRDefault="00582896" w:rsidP="00412E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51,</w:t>
            </w:r>
            <w:r w:rsidR="00412E63">
              <w:rPr>
                <w:rFonts w:ascii="Times New Roman" w:hAnsi="Times New Roman" w:cs="Times New Roman"/>
              </w:rPr>
              <w:t>59</w:t>
            </w:r>
          </w:p>
        </w:tc>
      </w:tr>
      <w:tr w:rsidR="00582896" w:rsidRPr="002B5650" w14:paraId="163189C6" w14:textId="77777777" w:rsidTr="0041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64439FD4" w14:textId="77777777" w:rsidR="00582896" w:rsidRPr="00B20CA1" w:rsidRDefault="00582896" w:rsidP="00C72B9A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B20CA1">
              <w:rPr>
                <w:rFonts w:eastAsiaTheme="minorHAnsi"/>
                <w:lang w:eastAsia="en-US"/>
              </w:rPr>
              <w:t xml:space="preserve">Rumunsko </w:t>
            </w:r>
          </w:p>
        </w:tc>
        <w:tc>
          <w:tcPr>
            <w:tcW w:w="2906" w:type="dxa"/>
          </w:tcPr>
          <w:p w14:paraId="11577723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14 232 000</w:t>
            </w:r>
          </w:p>
        </w:tc>
        <w:tc>
          <w:tcPr>
            <w:tcW w:w="1560" w:type="dxa"/>
          </w:tcPr>
          <w:p w14:paraId="63823B80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 xml:space="preserve">  7,1</w:t>
            </w:r>
            <w:r w:rsidR="00412E63">
              <w:rPr>
                <w:rFonts w:ascii="Times New Roman" w:hAnsi="Times New Roman" w:cs="Times New Roman"/>
              </w:rPr>
              <w:t>2</w:t>
            </w:r>
          </w:p>
        </w:tc>
      </w:tr>
      <w:tr w:rsidR="00582896" w:rsidRPr="002B5650" w14:paraId="42A9B2A6" w14:textId="77777777" w:rsidTr="00412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057F3678" w14:textId="77777777" w:rsidR="00582896" w:rsidRPr="00B20CA1" w:rsidRDefault="00582896" w:rsidP="00C72B9A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B20CA1">
              <w:rPr>
                <w:rFonts w:eastAsiaTheme="minorHAnsi"/>
                <w:lang w:eastAsia="en-US"/>
              </w:rPr>
              <w:t xml:space="preserve">Slovenská republika </w:t>
            </w:r>
          </w:p>
        </w:tc>
        <w:tc>
          <w:tcPr>
            <w:tcW w:w="2906" w:type="dxa"/>
          </w:tcPr>
          <w:p w14:paraId="7C593C48" w14:textId="77777777" w:rsidR="00582896" w:rsidRPr="00B20CA1" w:rsidRDefault="00582896" w:rsidP="00C72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13 342 000</w:t>
            </w:r>
          </w:p>
        </w:tc>
        <w:tc>
          <w:tcPr>
            <w:tcW w:w="1560" w:type="dxa"/>
          </w:tcPr>
          <w:p w14:paraId="066A9A2F" w14:textId="77777777" w:rsidR="00582896" w:rsidRPr="00B20CA1" w:rsidRDefault="00582896" w:rsidP="00412E6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 xml:space="preserve">  6,</w:t>
            </w:r>
            <w:r w:rsidR="00412E63">
              <w:rPr>
                <w:rFonts w:ascii="Times New Roman" w:hAnsi="Times New Roman" w:cs="Times New Roman"/>
              </w:rPr>
              <w:t>67</w:t>
            </w:r>
          </w:p>
        </w:tc>
      </w:tr>
      <w:tr w:rsidR="00582896" w:rsidRPr="002B5650" w14:paraId="1C9DD239" w14:textId="77777777" w:rsidTr="0041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03375F47" w14:textId="77777777" w:rsidR="00582896" w:rsidRPr="00B20CA1" w:rsidRDefault="00582896" w:rsidP="00C72B9A">
            <w:pPr>
              <w:pStyle w:val="Style7"/>
              <w:widowControl/>
              <w:spacing w:line="276" w:lineRule="auto"/>
              <w:rPr>
                <w:rFonts w:eastAsiaTheme="minorHAnsi"/>
                <w:lang w:eastAsia="en-US"/>
              </w:rPr>
            </w:pPr>
            <w:r w:rsidRPr="00B20CA1">
              <w:rPr>
                <w:rFonts w:eastAsiaTheme="minorHAnsi"/>
                <w:lang w:eastAsia="en-US"/>
              </w:rPr>
              <w:t xml:space="preserve">Česká republika </w:t>
            </w:r>
          </w:p>
        </w:tc>
        <w:tc>
          <w:tcPr>
            <w:tcW w:w="2906" w:type="dxa"/>
          </w:tcPr>
          <w:p w14:paraId="7E4ED984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26 684 000</w:t>
            </w:r>
          </w:p>
        </w:tc>
        <w:tc>
          <w:tcPr>
            <w:tcW w:w="1560" w:type="dxa"/>
          </w:tcPr>
          <w:p w14:paraId="31FB9C09" w14:textId="77777777" w:rsidR="00582896" w:rsidRPr="00B20CA1" w:rsidRDefault="00582896" w:rsidP="00C72B9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13,3</w:t>
            </w:r>
            <w:r w:rsidR="00412E63">
              <w:rPr>
                <w:rFonts w:ascii="Times New Roman" w:hAnsi="Times New Roman" w:cs="Times New Roman"/>
              </w:rPr>
              <w:t>4</w:t>
            </w:r>
          </w:p>
        </w:tc>
      </w:tr>
      <w:tr w:rsidR="00582896" w:rsidRPr="002B5650" w14:paraId="1F6DE4F7" w14:textId="77777777" w:rsidTr="00412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6" w:type="dxa"/>
          </w:tcPr>
          <w:p w14:paraId="6D969D16" w14:textId="77777777" w:rsidR="00582896" w:rsidRPr="00B20CA1" w:rsidRDefault="00582896" w:rsidP="00C72B9A">
            <w:pPr>
              <w:pStyle w:val="Style4"/>
              <w:widowControl/>
              <w:spacing w:line="276" w:lineRule="auto"/>
              <w:rPr>
                <w:rFonts w:eastAsiaTheme="minorHAnsi"/>
                <w:b w:val="0"/>
                <w:bCs w:val="0"/>
                <w:lang w:eastAsia="en-US"/>
              </w:rPr>
            </w:pPr>
            <w:r w:rsidRPr="00B20CA1">
              <w:rPr>
                <w:rFonts w:eastAsiaTheme="minorHAnsi"/>
                <w:b w:val="0"/>
                <w:bCs w:val="0"/>
                <w:lang w:eastAsia="en-US"/>
              </w:rPr>
              <w:t>Spolu:</w:t>
            </w:r>
          </w:p>
        </w:tc>
        <w:tc>
          <w:tcPr>
            <w:tcW w:w="2906" w:type="dxa"/>
          </w:tcPr>
          <w:p w14:paraId="461540AA" w14:textId="77777777" w:rsidR="00582896" w:rsidRPr="00B20CA1" w:rsidRDefault="00582896" w:rsidP="00C72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200 000 000</w:t>
            </w:r>
          </w:p>
        </w:tc>
        <w:tc>
          <w:tcPr>
            <w:tcW w:w="1560" w:type="dxa"/>
          </w:tcPr>
          <w:p w14:paraId="385E9459" w14:textId="77777777" w:rsidR="00582896" w:rsidRPr="00B20CA1" w:rsidRDefault="00582896" w:rsidP="00C72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0CA1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55F587E9" w14:textId="77777777" w:rsidR="00582896" w:rsidRDefault="00582896" w:rsidP="00582896">
      <w:pPr>
        <w:spacing w:line="360" w:lineRule="auto"/>
        <w:jc w:val="both"/>
        <w:rPr>
          <w:rFonts w:ascii="Times New Roman" w:hAnsi="Times New Roman" w:cs="Times New Roman"/>
        </w:rPr>
      </w:pPr>
    </w:p>
    <w:p w14:paraId="476BC79E" w14:textId="77777777" w:rsidR="00582896" w:rsidRPr="00582896" w:rsidRDefault="00582896" w:rsidP="00582896">
      <w:pPr>
        <w:pStyle w:val="Bezriadkovania"/>
        <w:spacing w:line="360" w:lineRule="auto"/>
        <w:rPr>
          <w:rFonts w:ascii="Times New Roman" w:hAnsi="Times New Roman" w:cs="Times New Roman"/>
          <w:b/>
        </w:rPr>
      </w:pPr>
      <w:r w:rsidRPr="00582896">
        <w:rPr>
          <w:rFonts w:ascii="Times New Roman" w:hAnsi="Times New Roman" w:cs="Times New Roman"/>
          <w:b/>
        </w:rPr>
        <w:t>Zastúpenie Slovenskej republiky v MBHS</w:t>
      </w:r>
    </w:p>
    <w:p w14:paraId="0CD5C74D" w14:textId="77777777" w:rsidR="00582896" w:rsidRPr="00582896" w:rsidRDefault="00582896" w:rsidP="00582896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82896">
        <w:rPr>
          <w:rFonts w:ascii="Times New Roman" w:hAnsi="Times New Roman" w:cs="Times New Roman"/>
        </w:rPr>
        <w:t>vedúci de</w:t>
      </w:r>
      <w:r>
        <w:rPr>
          <w:rFonts w:ascii="Times New Roman" w:hAnsi="Times New Roman" w:cs="Times New Roman"/>
        </w:rPr>
        <w:t>legácie v Rade MBHS</w:t>
      </w:r>
      <w:r w:rsidRPr="00582896">
        <w:rPr>
          <w:rFonts w:ascii="Times New Roman" w:hAnsi="Times New Roman" w:cs="Times New Roman"/>
        </w:rPr>
        <w:t xml:space="preserve"> – </w:t>
      </w:r>
      <w:r w:rsidRPr="00582896">
        <w:rPr>
          <w:rFonts w:ascii="Times New Roman" w:hAnsi="Times New Roman" w:cs="Times New Roman"/>
          <w:b/>
        </w:rPr>
        <w:t>nie je vymenovaný</w:t>
      </w:r>
    </w:p>
    <w:p w14:paraId="004B92B8" w14:textId="77777777" w:rsidR="00582896" w:rsidRPr="00582896" w:rsidRDefault="001C6A47" w:rsidP="00582896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 predstavenstva za SR</w:t>
      </w:r>
      <w:r w:rsidR="00582896" w:rsidRPr="00582896">
        <w:rPr>
          <w:rFonts w:ascii="Times New Roman" w:hAnsi="Times New Roman" w:cs="Times New Roman"/>
        </w:rPr>
        <w:t xml:space="preserve"> –</w:t>
      </w:r>
      <w:r w:rsidR="00582896">
        <w:rPr>
          <w:rFonts w:ascii="Times New Roman" w:hAnsi="Times New Roman" w:cs="Times New Roman"/>
        </w:rPr>
        <w:t xml:space="preserve"> </w:t>
      </w:r>
      <w:r w:rsidR="00582896" w:rsidRPr="00582896">
        <w:rPr>
          <w:rFonts w:ascii="Times New Roman" w:hAnsi="Times New Roman" w:cs="Times New Roman"/>
        </w:rPr>
        <w:t xml:space="preserve">Peter Osvald  </w:t>
      </w:r>
    </w:p>
    <w:p w14:paraId="6E4843BB" w14:textId="77777777" w:rsidR="00582896" w:rsidRPr="00582896" w:rsidRDefault="001C6A47" w:rsidP="00582896">
      <w:pPr>
        <w:pStyle w:val="Bezriadkovani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 R</w:t>
      </w:r>
      <w:r w:rsidR="00582896" w:rsidRPr="00582896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y MBHS</w:t>
      </w:r>
      <w:r w:rsidR="00582896" w:rsidRPr="00582896">
        <w:rPr>
          <w:rFonts w:ascii="Times New Roman" w:hAnsi="Times New Roman" w:cs="Times New Roman"/>
        </w:rPr>
        <w:t xml:space="preserve"> – Vladimír Martvoň</w:t>
      </w:r>
      <w:r w:rsidR="00582896">
        <w:rPr>
          <w:rFonts w:ascii="Times New Roman" w:hAnsi="Times New Roman" w:cs="Times New Roman"/>
        </w:rPr>
        <w:t xml:space="preserve"> (</w:t>
      </w:r>
      <w:r w:rsidR="00582896" w:rsidRPr="005C26A8">
        <w:rPr>
          <w:rFonts w:ascii="Times New Roman" w:hAnsi="Times New Roman" w:cs="Times New Roman"/>
        </w:rPr>
        <w:t>sekcia medzinárodných vzťahov Ministerstva financií SR)</w:t>
      </w:r>
    </w:p>
    <w:p w14:paraId="655B4130" w14:textId="77777777" w:rsidR="00582896" w:rsidRDefault="00582896" w:rsidP="00582896">
      <w:pPr>
        <w:spacing w:line="360" w:lineRule="auto"/>
        <w:jc w:val="both"/>
        <w:rPr>
          <w:rFonts w:ascii="Times New Roman" w:hAnsi="Times New Roman" w:cs="Times New Roman"/>
        </w:rPr>
      </w:pPr>
    </w:p>
    <w:p w14:paraId="70A7E0EB" w14:textId="77777777" w:rsidR="00F03E7C" w:rsidRDefault="00F03E7C" w:rsidP="00582896">
      <w:pPr>
        <w:spacing w:line="360" w:lineRule="auto"/>
        <w:jc w:val="both"/>
        <w:rPr>
          <w:rFonts w:ascii="Times New Roman" w:hAnsi="Times New Roman" w:cs="Times New Roman"/>
        </w:rPr>
      </w:pPr>
    </w:p>
    <w:p w14:paraId="736C9210" w14:textId="77777777" w:rsidR="00F03E7C" w:rsidRDefault="00F03E7C" w:rsidP="00582896">
      <w:pPr>
        <w:spacing w:line="360" w:lineRule="auto"/>
        <w:jc w:val="both"/>
        <w:rPr>
          <w:rFonts w:ascii="Times New Roman" w:hAnsi="Times New Roman" w:cs="Times New Roman"/>
        </w:rPr>
      </w:pPr>
    </w:p>
    <w:p w14:paraId="272C6D9E" w14:textId="77777777" w:rsidR="00F03E7C" w:rsidRDefault="00F03E7C" w:rsidP="00582896">
      <w:pPr>
        <w:spacing w:line="360" w:lineRule="auto"/>
        <w:jc w:val="both"/>
        <w:rPr>
          <w:rFonts w:ascii="Times New Roman" w:hAnsi="Times New Roman" w:cs="Times New Roman"/>
        </w:rPr>
      </w:pPr>
    </w:p>
    <w:p w14:paraId="78E0B802" w14:textId="77777777" w:rsidR="00AC5595" w:rsidRDefault="00AC5595" w:rsidP="00582896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2. Ukončenia členstva v banke </w:t>
      </w:r>
    </w:p>
    <w:p w14:paraId="6000224E" w14:textId="77777777" w:rsidR="00AC5595" w:rsidRPr="00EF0FDF" w:rsidRDefault="00AC5595" w:rsidP="00582896">
      <w:pPr>
        <w:spacing w:line="360" w:lineRule="auto"/>
        <w:jc w:val="both"/>
        <w:rPr>
          <w:rFonts w:ascii="Times New Roman" w:hAnsi="Times New Roman" w:cs="Times New Roman"/>
        </w:rPr>
      </w:pPr>
      <w:r w:rsidRPr="00EF0FDF">
        <w:rPr>
          <w:rFonts w:ascii="Times New Roman" w:hAnsi="Times New Roman" w:cs="Times New Roman"/>
        </w:rPr>
        <w:t xml:space="preserve">V roku </w:t>
      </w:r>
      <w:r w:rsidRPr="00EF0FDF">
        <w:rPr>
          <w:rFonts w:ascii="Times New Roman" w:hAnsi="Times New Roman" w:cs="Times New Roman"/>
          <w:b/>
        </w:rPr>
        <w:t>1990 vystúpilo Nemecko z MIB aj MBHS</w:t>
      </w:r>
      <w:r w:rsidRPr="00EF0FDF">
        <w:rPr>
          <w:rFonts w:ascii="Times New Roman" w:hAnsi="Times New Roman" w:cs="Times New Roman"/>
        </w:rPr>
        <w:t xml:space="preserve">, pričom </w:t>
      </w:r>
      <w:r w:rsidR="004D4AEE">
        <w:rPr>
          <w:rFonts w:ascii="Times New Roman" w:hAnsi="Times New Roman" w:cs="Times New Roman"/>
        </w:rPr>
        <w:t xml:space="preserve"> </w:t>
      </w:r>
      <w:r w:rsidR="004D4AEE" w:rsidRPr="00EF0FDF">
        <w:rPr>
          <w:rFonts w:ascii="Times New Roman" w:hAnsi="Times New Roman" w:cs="Times New Roman"/>
        </w:rPr>
        <w:t>vzájomné záväzky sa vysporiadali jednomyseľným rozhodnutím všetkých strán medzinárodnej zmluvy v súlade s Viedenským dohovorom</w:t>
      </w:r>
      <w:r w:rsidR="0044157A">
        <w:rPr>
          <w:rFonts w:ascii="Times New Roman" w:hAnsi="Times New Roman" w:cs="Times New Roman"/>
        </w:rPr>
        <w:t xml:space="preserve">, pričom došlo k započítaniu pohľadávok na základe zásady </w:t>
      </w:r>
      <w:r w:rsidR="0044157A" w:rsidRPr="0044157A">
        <w:rPr>
          <w:rFonts w:ascii="Times New Roman" w:hAnsi="Times New Roman" w:cs="Times New Roman"/>
          <w:i/>
        </w:rPr>
        <w:t>zerooption</w:t>
      </w:r>
      <w:r w:rsidR="0044157A">
        <w:rPr>
          <w:rFonts w:ascii="Times New Roman" w:hAnsi="Times New Roman" w:cs="Times New Roman"/>
        </w:rPr>
        <w:t xml:space="preserve">. </w:t>
      </w:r>
    </w:p>
    <w:p w14:paraId="0030F4AA" w14:textId="77777777" w:rsidR="00AC5595" w:rsidRPr="00EF0FDF" w:rsidRDefault="00AC5595" w:rsidP="00582896">
      <w:pPr>
        <w:spacing w:line="360" w:lineRule="auto"/>
        <w:jc w:val="both"/>
        <w:rPr>
          <w:rFonts w:ascii="Times New Roman" w:hAnsi="Times New Roman" w:cs="Times New Roman"/>
        </w:rPr>
      </w:pPr>
      <w:r w:rsidRPr="00EF0FDF">
        <w:rPr>
          <w:rFonts w:ascii="Times New Roman" w:hAnsi="Times New Roman" w:cs="Times New Roman"/>
        </w:rPr>
        <w:t xml:space="preserve">V roku </w:t>
      </w:r>
      <w:r w:rsidRPr="00EF0FDF">
        <w:rPr>
          <w:rFonts w:ascii="Times New Roman" w:hAnsi="Times New Roman" w:cs="Times New Roman"/>
          <w:b/>
        </w:rPr>
        <w:t>1993 ukončilo svoje členstvo v MBHS Maďarsko</w:t>
      </w:r>
      <w:r w:rsidRPr="00EF0FDF">
        <w:rPr>
          <w:rFonts w:ascii="Times New Roman" w:hAnsi="Times New Roman" w:cs="Times New Roman"/>
        </w:rPr>
        <w:t xml:space="preserve">. Medzi bankou a Maďarskom do dnešného dňa nedošlo k  dosiahnutiu dohody o urovnaní. Napriek tejto skutočnosti Maďarsko </w:t>
      </w:r>
      <w:r w:rsidR="004D4AEE">
        <w:rPr>
          <w:rFonts w:ascii="Times New Roman" w:hAnsi="Times New Roman" w:cs="Times New Roman"/>
        </w:rPr>
        <w:t>prejavilo</w:t>
      </w:r>
      <w:r w:rsidRPr="00EF0FDF">
        <w:rPr>
          <w:rFonts w:ascii="Times New Roman" w:hAnsi="Times New Roman" w:cs="Times New Roman"/>
        </w:rPr>
        <w:t xml:space="preserve"> záujem opäť vstúpiť do Banky. Zatiaľ je v statuse pozorovateľa a z tejto pozície sa každoročne v rámci konania oficiálnej časti zúčastňuje zasadnutí Bankovej rady.</w:t>
      </w:r>
    </w:p>
    <w:p w14:paraId="7126C791" w14:textId="77777777" w:rsidR="00295F3D" w:rsidRPr="00EF0FDF" w:rsidRDefault="00295F3D" w:rsidP="00582896">
      <w:pPr>
        <w:spacing w:line="360" w:lineRule="auto"/>
        <w:jc w:val="both"/>
        <w:rPr>
          <w:rFonts w:ascii="Times New Roman" w:hAnsi="Times New Roman" w:cs="Times New Roman"/>
        </w:rPr>
      </w:pPr>
      <w:r w:rsidRPr="00EF0FDF">
        <w:rPr>
          <w:rFonts w:ascii="Times New Roman" w:hAnsi="Times New Roman" w:cs="Times New Roman"/>
        </w:rPr>
        <w:t xml:space="preserve">V roku </w:t>
      </w:r>
      <w:r w:rsidRPr="00EF0FDF">
        <w:rPr>
          <w:rFonts w:ascii="Times New Roman" w:hAnsi="Times New Roman" w:cs="Times New Roman"/>
          <w:b/>
        </w:rPr>
        <w:t>2011 odišla z MBHS Kuba</w:t>
      </w:r>
      <w:r w:rsidRPr="00EF0FDF">
        <w:rPr>
          <w:rFonts w:ascii="Times New Roman" w:hAnsi="Times New Roman" w:cs="Times New Roman"/>
        </w:rPr>
        <w:t xml:space="preserve">, pričom po vystúpení Kuby z banky došlo k započítaniu pohľadávok na základe zásady </w:t>
      </w:r>
      <w:r w:rsidRPr="00EF0FDF">
        <w:rPr>
          <w:rFonts w:ascii="Times New Roman" w:hAnsi="Times New Roman" w:cs="Times New Roman"/>
          <w:i/>
        </w:rPr>
        <w:t>zerooption</w:t>
      </w:r>
      <w:r w:rsidRPr="00EF0FDF">
        <w:rPr>
          <w:rFonts w:ascii="Times New Roman" w:hAnsi="Times New Roman" w:cs="Times New Roman"/>
        </w:rPr>
        <w:t>, teda dvojstranného vzdania sa vzájomných pohľadávok.</w:t>
      </w:r>
    </w:p>
    <w:p w14:paraId="77C2ED26" w14:textId="77777777" w:rsidR="00BF5C50" w:rsidRPr="00EF0FDF" w:rsidRDefault="00BF5C50" w:rsidP="00BF5C50">
      <w:pPr>
        <w:spacing w:line="360" w:lineRule="auto"/>
        <w:jc w:val="both"/>
        <w:rPr>
          <w:rFonts w:ascii="Times New Roman" w:hAnsi="Times New Roman" w:cs="Times New Roman"/>
        </w:rPr>
      </w:pPr>
      <w:r w:rsidRPr="00EF0FDF">
        <w:rPr>
          <w:rFonts w:ascii="Times New Roman" w:hAnsi="Times New Roman" w:cs="Times New Roman"/>
        </w:rPr>
        <w:t xml:space="preserve">V roku </w:t>
      </w:r>
      <w:r w:rsidRPr="00EF0FDF">
        <w:rPr>
          <w:rFonts w:ascii="Times New Roman" w:hAnsi="Times New Roman" w:cs="Times New Roman"/>
          <w:b/>
        </w:rPr>
        <w:t>2000 vystúpilo z MIB Poľsko</w:t>
      </w:r>
      <w:r w:rsidRPr="00EF0FDF">
        <w:rPr>
          <w:rFonts w:ascii="Times New Roman" w:hAnsi="Times New Roman" w:cs="Times New Roman"/>
        </w:rPr>
        <w:t>, do dnešného dňa nedošlo k dohode o urovnaní.</w:t>
      </w:r>
    </w:p>
    <w:p w14:paraId="0C10D38D" w14:textId="77777777" w:rsidR="00AC5595" w:rsidRPr="00AC5595" w:rsidRDefault="00AC5595" w:rsidP="00582896">
      <w:pPr>
        <w:spacing w:line="360" w:lineRule="auto"/>
        <w:jc w:val="both"/>
        <w:rPr>
          <w:rFonts w:ascii="Times New Roman" w:hAnsi="Times New Roman" w:cs="Times New Roman"/>
        </w:rPr>
      </w:pPr>
    </w:p>
    <w:p w14:paraId="7C908EBA" w14:textId="77777777" w:rsidR="00582896" w:rsidRPr="00582896" w:rsidRDefault="00AC5595" w:rsidP="00582896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582896" w:rsidRPr="005828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="00582896">
        <w:rPr>
          <w:rFonts w:ascii="Times New Roman" w:hAnsi="Times New Roman" w:cs="Times New Roman"/>
          <w:b/>
          <w:color w:val="0070C0"/>
          <w:sz w:val="28"/>
          <w:szCs w:val="28"/>
        </w:rPr>
        <w:t>Návrh ďalšieho postupu</w:t>
      </w:r>
    </w:p>
    <w:p w14:paraId="50C072DA" w14:textId="77777777" w:rsidR="00582896" w:rsidRPr="00B20982" w:rsidRDefault="00B20982" w:rsidP="005828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20982">
        <w:rPr>
          <w:rFonts w:ascii="Times New Roman" w:hAnsi="Times New Roman" w:cs="Times New Roman"/>
          <w:b/>
        </w:rPr>
        <w:t>Východiská</w:t>
      </w:r>
    </w:p>
    <w:p w14:paraId="0202E3A6" w14:textId="77777777" w:rsidR="00B20982" w:rsidRDefault="00B20982" w:rsidP="0058289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Vzhľadom na pokračujú</w:t>
      </w:r>
      <w:r w:rsidR="000B0290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 xml:space="preserve"> vojenskú inváziu Ruskej federácie, medzinárodné a európske sankcie voči Ruskej federácii a v koordinácii s ministerstva financií  Českej republiky, Poľskej republiky, Rumunskej republiky a Bulharskej republiky predkladá Ministerstvo financií SR na rokovanie vlády SR zámer ukončiť členstvo v Medzinárodnej investičnej banke a Medzinárodnej banke hospodárskej spolupráce. </w:t>
      </w:r>
    </w:p>
    <w:p w14:paraId="43E41199" w14:textId="77777777" w:rsidR="00FE6C41" w:rsidRDefault="00FE6C41" w:rsidP="0058289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Dňa 2. marca 2022 deklarovali na mimoriadnom zasadaní Rady pre hospodárske a finančné záležitosti ministri financií Slovenskej republiky, Českej republiky, Poľskej republiky, Rumunskej republiky a Bulharskej republiky svoj spoločný úmysel čo najskôr a v súlade so svojimi vnútroštátnymi postupmi začať kroky smerujúce k ukončeniu svojho pôsobenia v Medzinárodnej investičnej banke a v Medzinárodnej banke hospodárskej spolupráce. </w:t>
      </w:r>
    </w:p>
    <w:p w14:paraId="1F840090" w14:textId="77777777" w:rsidR="00A66E4B" w:rsidRPr="00E40E4D" w:rsidRDefault="00E40E4D" w:rsidP="005828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40E4D">
        <w:rPr>
          <w:rFonts w:ascii="Times New Roman" w:hAnsi="Times New Roman" w:cs="Times New Roman"/>
          <w:b/>
        </w:rPr>
        <w:t>Spôsoby ukončenia členstva</w:t>
      </w:r>
      <w:r w:rsidR="003F35C8">
        <w:rPr>
          <w:rFonts w:ascii="Times New Roman" w:hAnsi="Times New Roman" w:cs="Times New Roman"/>
          <w:b/>
        </w:rPr>
        <w:t xml:space="preserve"> v MBHS</w:t>
      </w:r>
    </w:p>
    <w:p w14:paraId="261666F6" w14:textId="77777777" w:rsidR="00E40E4D" w:rsidRDefault="00E40E4D" w:rsidP="0058289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súlade s</w:t>
      </w:r>
      <w:r w:rsidR="003F35C8">
        <w:rPr>
          <w:rFonts w:ascii="Times New Roman" w:hAnsi="Times New Roman" w:cs="Times New Roman"/>
        </w:rPr>
        <w:t> Dohodou o MBHS</w:t>
      </w:r>
      <w:r w:rsidR="00D9119F">
        <w:rPr>
          <w:rFonts w:ascii="Times New Roman" w:hAnsi="Times New Roman" w:cs="Times New Roman"/>
        </w:rPr>
        <w:t xml:space="preserve"> sú možné dva spôsoby ukončenia</w:t>
      </w:r>
      <w:r>
        <w:rPr>
          <w:rFonts w:ascii="Times New Roman" w:hAnsi="Times New Roman" w:cs="Times New Roman"/>
        </w:rPr>
        <w:t xml:space="preserve"> pôsobenia v </w:t>
      </w:r>
      <w:r w:rsidR="00610A0C">
        <w:rPr>
          <w:rFonts w:ascii="Times New Roman" w:hAnsi="Times New Roman" w:cs="Times New Roman"/>
        </w:rPr>
        <w:t>MBHS</w:t>
      </w:r>
      <w:r>
        <w:rPr>
          <w:rFonts w:ascii="Times New Roman" w:hAnsi="Times New Roman" w:cs="Times New Roman"/>
        </w:rPr>
        <w:t>.</w:t>
      </w:r>
      <w:r w:rsidR="00C554BF">
        <w:rPr>
          <w:rFonts w:ascii="Times New Roman" w:hAnsi="Times New Roman" w:cs="Times New Roman"/>
        </w:rPr>
        <w:t xml:space="preserve"> V oboch prípadoch ide z pohľadu Slovenskej republiky o odstúpenie od dohody, avšak v možnosti 1) je výsledok zrušenie banky, zatiaľ čo v možnosti 2) ide o vystúpenie </w:t>
      </w:r>
      <w:r w:rsidR="00B9276F">
        <w:rPr>
          <w:rFonts w:ascii="Times New Roman" w:hAnsi="Times New Roman" w:cs="Times New Roman"/>
        </w:rPr>
        <w:t>jednotlivých krajín, pričom banka funguje ďalej so zvyškom akcionárov.</w:t>
      </w:r>
    </w:p>
    <w:p w14:paraId="4478AC41" w14:textId="2B0EC2CD" w:rsidR="00D9119F" w:rsidRPr="0044157A" w:rsidRDefault="00D9119F" w:rsidP="004B0E9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F35C8">
        <w:rPr>
          <w:rFonts w:ascii="Times New Roman" w:hAnsi="Times New Roman" w:cs="Times New Roman"/>
          <w:b/>
        </w:rPr>
        <w:t xml:space="preserve">Zrušenie banky </w:t>
      </w:r>
      <w:r w:rsidR="00890DA4">
        <w:rPr>
          <w:rFonts w:ascii="Times New Roman" w:hAnsi="Times New Roman" w:cs="Times New Roman"/>
          <w:b/>
        </w:rPr>
        <w:t>odstúpením 2/3 členských štátov od</w:t>
      </w:r>
      <w:r w:rsidRPr="003F35C8">
        <w:rPr>
          <w:rFonts w:ascii="Times New Roman" w:hAnsi="Times New Roman" w:cs="Times New Roman"/>
          <w:b/>
        </w:rPr>
        <w:t xml:space="preserve"> Dohody o MBHS</w:t>
      </w:r>
      <w:r w:rsidRPr="003F35C8">
        <w:rPr>
          <w:rFonts w:ascii="Times New Roman" w:hAnsi="Times New Roman" w:cs="Times New Roman"/>
        </w:rPr>
        <w:t xml:space="preserve">. V prípade, ak aspoň 2/3 členských štátov banky </w:t>
      </w:r>
      <w:r w:rsidR="00890DA4">
        <w:rPr>
          <w:rFonts w:ascii="Times New Roman" w:hAnsi="Times New Roman" w:cs="Times New Roman"/>
        </w:rPr>
        <w:t>odstúpi od</w:t>
      </w:r>
      <w:r w:rsidR="00890DA4" w:rsidRPr="003F35C8">
        <w:rPr>
          <w:rFonts w:ascii="Times New Roman" w:hAnsi="Times New Roman" w:cs="Times New Roman"/>
        </w:rPr>
        <w:t xml:space="preserve"> </w:t>
      </w:r>
      <w:r w:rsidRPr="003F35C8">
        <w:rPr>
          <w:rFonts w:ascii="Times New Roman" w:hAnsi="Times New Roman" w:cs="Times New Roman"/>
        </w:rPr>
        <w:t>Dohod</w:t>
      </w:r>
      <w:r w:rsidR="00890DA4">
        <w:rPr>
          <w:rFonts w:ascii="Times New Roman" w:hAnsi="Times New Roman" w:cs="Times New Roman"/>
        </w:rPr>
        <w:t>y</w:t>
      </w:r>
      <w:r w:rsidRPr="003F35C8">
        <w:rPr>
          <w:rFonts w:ascii="Times New Roman" w:hAnsi="Times New Roman" w:cs="Times New Roman"/>
        </w:rPr>
        <w:t xml:space="preserve"> o MBHS, platnosť Dohody o MBHS bude ukončená.</w:t>
      </w:r>
      <w:r w:rsidR="00180F2E">
        <w:rPr>
          <w:rFonts w:ascii="Times New Roman" w:hAnsi="Times New Roman" w:cs="Times New Roman"/>
        </w:rPr>
        <w:t xml:space="preserve"> Odstúpenie od Dohody o MBHS je potrebné notifikovať rade MBHS aspoň 6 </w:t>
      </w:r>
      <w:r w:rsidR="00180F2E">
        <w:rPr>
          <w:rFonts w:ascii="Times New Roman" w:hAnsi="Times New Roman" w:cs="Times New Roman"/>
        </w:rPr>
        <w:lastRenderedPageBreak/>
        <w:t>mesiacov vopred.</w:t>
      </w:r>
      <w:r w:rsidRPr="003F35C8">
        <w:rPr>
          <w:rFonts w:ascii="Times New Roman" w:hAnsi="Times New Roman" w:cs="Times New Roman"/>
        </w:rPr>
        <w:t xml:space="preserve"> </w:t>
      </w:r>
      <w:r w:rsidRPr="003F35C8">
        <w:rPr>
          <w:rFonts w:ascii="Times New Roman" w:hAnsi="Times New Roman" w:cs="Times New Roman"/>
          <w:b/>
        </w:rPr>
        <w:t>Na</w:t>
      </w:r>
      <w:r w:rsidRPr="003F35C8">
        <w:rPr>
          <w:rFonts w:ascii="Times New Roman" w:hAnsi="Times New Roman" w:cs="Times New Roman"/>
        </w:rPr>
        <w:t xml:space="preserve"> </w:t>
      </w:r>
      <w:r w:rsidRPr="003F35C8">
        <w:rPr>
          <w:rFonts w:ascii="Times New Roman" w:hAnsi="Times New Roman" w:cs="Times New Roman"/>
          <w:b/>
        </w:rPr>
        <w:t>zrušenie banky je potrebných 6 krajín, pričom krajín EÚ ochotných odstúpiť od zmluvy je 5</w:t>
      </w:r>
      <w:r w:rsidRPr="003F35C8">
        <w:rPr>
          <w:rFonts w:ascii="Times New Roman" w:hAnsi="Times New Roman" w:cs="Times New Roman"/>
        </w:rPr>
        <w:t xml:space="preserve"> (Slovensko, </w:t>
      </w:r>
      <w:r w:rsidRPr="0044157A">
        <w:rPr>
          <w:rFonts w:ascii="Times New Roman" w:hAnsi="Times New Roman" w:cs="Times New Roman"/>
        </w:rPr>
        <w:t>Česká republika, Poľsko, Rumunsko, Bulharsko</w:t>
      </w:r>
    </w:p>
    <w:p w14:paraId="7C32C6E5" w14:textId="728C613F" w:rsidR="00180F2E" w:rsidRPr="00E35858" w:rsidRDefault="0044157A" w:rsidP="00E35858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4157A">
        <w:rPr>
          <w:rFonts w:ascii="Times New Roman" w:hAnsi="Times New Roman" w:cs="Times New Roman"/>
          <w:b/>
        </w:rPr>
        <w:t>Odstúpením od</w:t>
      </w:r>
      <w:r w:rsidR="0019771F" w:rsidRPr="0044157A">
        <w:rPr>
          <w:rFonts w:ascii="Times New Roman" w:hAnsi="Times New Roman" w:cs="Times New Roman"/>
          <w:b/>
        </w:rPr>
        <w:t xml:space="preserve"> </w:t>
      </w:r>
      <w:r w:rsidR="00C71E10" w:rsidRPr="0044157A">
        <w:rPr>
          <w:rFonts w:ascii="Times New Roman" w:hAnsi="Times New Roman" w:cs="Times New Roman"/>
          <w:b/>
        </w:rPr>
        <w:t xml:space="preserve">účasti na Dohode o MBHS a ukončení </w:t>
      </w:r>
      <w:r w:rsidR="0019771F" w:rsidRPr="0044157A">
        <w:rPr>
          <w:rFonts w:ascii="Times New Roman" w:hAnsi="Times New Roman" w:cs="Times New Roman"/>
          <w:b/>
        </w:rPr>
        <w:t>členstva v banke</w:t>
      </w:r>
      <w:r w:rsidR="0019771F" w:rsidRPr="0044157A">
        <w:rPr>
          <w:rFonts w:ascii="Times New Roman" w:hAnsi="Times New Roman" w:cs="Times New Roman"/>
        </w:rPr>
        <w:t xml:space="preserve">. Každý členský štát je oprávnený od </w:t>
      </w:r>
      <w:r w:rsidR="001B3CCA" w:rsidRPr="0044157A">
        <w:rPr>
          <w:rFonts w:ascii="Times New Roman" w:hAnsi="Times New Roman" w:cs="Times New Roman"/>
        </w:rPr>
        <w:t>zmluvy</w:t>
      </w:r>
      <w:r w:rsidR="0019771F" w:rsidRPr="0044157A">
        <w:rPr>
          <w:rFonts w:ascii="Times New Roman" w:hAnsi="Times New Roman" w:cs="Times New Roman"/>
        </w:rPr>
        <w:t xml:space="preserve"> </w:t>
      </w:r>
      <w:r w:rsidR="00D9119F" w:rsidRPr="0044157A">
        <w:rPr>
          <w:rFonts w:ascii="Times New Roman" w:hAnsi="Times New Roman" w:cs="Times New Roman"/>
        </w:rPr>
        <w:t xml:space="preserve">odstúpiť </w:t>
      </w:r>
      <w:r w:rsidR="00D24656" w:rsidRPr="0044157A">
        <w:rPr>
          <w:rFonts w:ascii="Times New Roman" w:hAnsi="Times New Roman" w:cs="Times New Roman"/>
        </w:rPr>
        <w:t xml:space="preserve">zaslaním </w:t>
      </w:r>
      <w:r w:rsidR="00C71E10" w:rsidRPr="0044157A">
        <w:rPr>
          <w:rFonts w:ascii="Times New Roman" w:hAnsi="Times New Roman" w:cs="Times New Roman"/>
        </w:rPr>
        <w:t>písomného oznámenia Rade MBHS najmenej šesť mesiacov vopred</w:t>
      </w:r>
      <w:r w:rsidR="0019771F" w:rsidRPr="00895185">
        <w:rPr>
          <w:rFonts w:ascii="Times New Roman" w:hAnsi="Times New Roman" w:cs="Times New Roman"/>
        </w:rPr>
        <w:t xml:space="preserve">. </w:t>
      </w:r>
      <w:r w:rsidR="00502768" w:rsidRPr="00895185">
        <w:rPr>
          <w:rFonts w:ascii="Times New Roman" w:hAnsi="Times New Roman" w:cs="Times New Roman"/>
        </w:rPr>
        <w:t xml:space="preserve">V priebehu tohto </w:t>
      </w:r>
      <w:r w:rsidR="00502768" w:rsidRPr="00C71E10">
        <w:rPr>
          <w:rFonts w:ascii="Times New Roman" w:hAnsi="Times New Roman" w:cs="Times New Roman"/>
        </w:rPr>
        <w:t xml:space="preserve">času </w:t>
      </w:r>
      <w:r w:rsidR="00C71E10">
        <w:rPr>
          <w:rFonts w:ascii="Times New Roman" w:hAnsi="Times New Roman" w:cs="Times New Roman"/>
        </w:rPr>
        <w:t xml:space="preserve">by </w:t>
      </w:r>
      <w:r w:rsidR="00502768" w:rsidRPr="00C71E10">
        <w:rPr>
          <w:rFonts w:ascii="Times New Roman" w:hAnsi="Times New Roman" w:cs="Times New Roman"/>
        </w:rPr>
        <w:t>m</w:t>
      </w:r>
      <w:r w:rsidR="00C71E10">
        <w:rPr>
          <w:rFonts w:ascii="Times New Roman" w:hAnsi="Times New Roman" w:cs="Times New Roman"/>
        </w:rPr>
        <w:t>ali byť</w:t>
      </w:r>
      <w:r w:rsidR="00502768" w:rsidRPr="00C71E10">
        <w:rPr>
          <w:rFonts w:ascii="Times New Roman" w:hAnsi="Times New Roman" w:cs="Times New Roman"/>
        </w:rPr>
        <w:t xml:space="preserve"> vysporiadané vzájomné </w:t>
      </w:r>
      <w:r w:rsidR="00C71E10">
        <w:rPr>
          <w:rFonts w:ascii="Times New Roman" w:hAnsi="Times New Roman" w:cs="Times New Roman"/>
        </w:rPr>
        <w:t>vzťahy</w:t>
      </w:r>
      <w:r w:rsidR="00502768" w:rsidRPr="00C71E10">
        <w:rPr>
          <w:rFonts w:ascii="Times New Roman" w:hAnsi="Times New Roman" w:cs="Times New Roman"/>
        </w:rPr>
        <w:t xml:space="preserve"> medzi </w:t>
      </w:r>
      <w:r w:rsidR="00C71E10">
        <w:rPr>
          <w:rFonts w:ascii="Times New Roman" w:hAnsi="Times New Roman" w:cs="Times New Roman"/>
        </w:rPr>
        <w:t xml:space="preserve">MBHS </w:t>
      </w:r>
      <w:r w:rsidR="00502768" w:rsidRPr="00C71E10">
        <w:rPr>
          <w:rFonts w:ascii="Times New Roman" w:hAnsi="Times New Roman" w:cs="Times New Roman"/>
        </w:rPr>
        <w:t>a</w:t>
      </w:r>
      <w:r w:rsidR="004B0E93">
        <w:rPr>
          <w:rFonts w:ascii="Times New Roman" w:hAnsi="Times New Roman" w:cs="Times New Roman"/>
        </w:rPr>
        <w:t> </w:t>
      </w:r>
      <w:r w:rsidR="00502768" w:rsidRPr="00C71E10">
        <w:rPr>
          <w:rFonts w:ascii="Times New Roman" w:hAnsi="Times New Roman" w:cs="Times New Roman"/>
        </w:rPr>
        <w:t>SR</w:t>
      </w:r>
      <w:r w:rsidR="004B0E93">
        <w:rPr>
          <w:rFonts w:ascii="Times New Roman" w:hAnsi="Times New Roman" w:cs="Times New Roman"/>
        </w:rPr>
        <w:t xml:space="preserve">. </w:t>
      </w:r>
    </w:p>
    <w:p w14:paraId="43052A1D" w14:textId="77777777" w:rsidR="00502768" w:rsidRPr="00E35858" w:rsidRDefault="004B0E93" w:rsidP="00E35858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E35858">
        <w:rPr>
          <w:rFonts w:ascii="Times New Roman" w:hAnsi="Times New Roman" w:cs="Times New Roman"/>
        </w:rPr>
        <w:t>V zmysle článku 5 Štatútu MBHS je zaručené, že v prípade vystúpenia štátu z banky sa jeho podiel vracia, pričom sa od celkovej sumy podielu odpočítajú sumy dlhov tohto štátu voči banke</w:t>
      </w:r>
      <w:r w:rsidR="00502768" w:rsidRPr="00E35858">
        <w:rPr>
          <w:rFonts w:ascii="Times New Roman" w:hAnsi="Times New Roman" w:cs="Times New Roman"/>
        </w:rPr>
        <w:t xml:space="preserve">. </w:t>
      </w:r>
      <w:r w:rsidRPr="00E35858">
        <w:rPr>
          <w:rFonts w:ascii="Times New Roman" w:hAnsi="Times New Roman" w:cs="Times New Roman"/>
        </w:rPr>
        <w:t>Napriek tomu, že zakladajúca dohoda vytvára priamo nárok na vrátenie podielu odstupujúcemu člena, konečnú d</w:t>
      </w:r>
      <w:r w:rsidR="00502768" w:rsidRPr="00E35858">
        <w:rPr>
          <w:rFonts w:ascii="Times New Roman" w:hAnsi="Times New Roman" w:cs="Times New Roman"/>
        </w:rPr>
        <w:t>ohod</w:t>
      </w:r>
      <w:r w:rsidRPr="00E35858">
        <w:rPr>
          <w:rFonts w:ascii="Times New Roman" w:hAnsi="Times New Roman" w:cs="Times New Roman"/>
        </w:rPr>
        <w:t>u</w:t>
      </w:r>
      <w:r w:rsidR="00502768" w:rsidRPr="00E35858">
        <w:rPr>
          <w:rFonts w:ascii="Times New Roman" w:hAnsi="Times New Roman" w:cs="Times New Roman"/>
        </w:rPr>
        <w:t xml:space="preserve"> medzi SR a MBHS o vysporiadaní vzájomných </w:t>
      </w:r>
      <w:r w:rsidR="00C71E10" w:rsidRPr="00E35858">
        <w:rPr>
          <w:rFonts w:ascii="Times New Roman" w:hAnsi="Times New Roman" w:cs="Times New Roman"/>
        </w:rPr>
        <w:t>vzťahov</w:t>
      </w:r>
      <w:r w:rsidR="00953617" w:rsidRPr="00E35858">
        <w:rPr>
          <w:rFonts w:ascii="Times New Roman" w:hAnsi="Times New Roman" w:cs="Times New Roman"/>
        </w:rPr>
        <w:t xml:space="preserve"> z účasti SR </w:t>
      </w:r>
      <w:r w:rsidR="00502768" w:rsidRPr="00E35858">
        <w:rPr>
          <w:rFonts w:ascii="Times New Roman" w:hAnsi="Times New Roman" w:cs="Times New Roman"/>
        </w:rPr>
        <w:t xml:space="preserve"> by musela schváliť Rada MBHS.</w:t>
      </w:r>
    </w:p>
    <w:p w14:paraId="382D7C2B" w14:textId="77777777" w:rsidR="0019771F" w:rsidRDefault="00372D3F" w:rsidP="00372D3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72D3F">
        <w:rPr>
          <w:rFonts w:ascii="Times New Roman" w:hAnsi="Times New Roman" w:cs="Times New Roman"/>
          <w:b/>
        </w:rPr>
        <w:t>Spôsob ukončenia členstva v</w:t>
      </w:r>
      <w:r>
        <w:rPr>
          <w:rFonts w:ascii="Times New Roman" w:hAnsi="Times New Roman" w:cs="Times New Roman"/>
          <w:b/>
        </w:rPr>
        <w:t> </w:t>
      </w:r>
      <w:r w:rsidRPr="00372D3F">
        <w:rPr>
          <w:rFonts w:ascii="Times New Roman" w:hAnsi="Times New Roman" w:cs="Times New Roman"/>
          <w:b/>
        </w:rPr>
        <w:t>MIB</w:t>
      </w:r>
    </w:p>
    <w:p w14:paraId="44014B19" w14:textId="77777777" w:rsidR="00372D3F" w:rsidRDefault="00372D3F" w:rsidP="00372D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súlade s Dohodou o MIB </w:t>
      </w:r>
      <w:r w:rsidR="00610A0C">
        <w:rPr>
          <w:rFonts w:ascii="Times New Roman" w:hAnsi="Times New Roman" w:cs="Times New Roman"/>
        </w:rPr>
        <w:t>sú možné takisto dva spôsoby ukončenia pôsobenia v MIB.</w:t>
      </w:r>
      <w:r w:rsidR="00B9276F">
        <w:rPr>
          <w:rFonts w:ascii="Times New Roman" w:hAnsi="Times New Roman" w:cs="Times New Roman"/>
        </w:rPr>
        <w:t xml:space="preserve"> V oboch prípadoch ide z pohľadu Slovenskej republiky o odstúpenie od dohody, avšak v možnosti 1) je výsledok zrušenie banky, zatiaľ čo v možnosti 2) ide o vystúpenie jednotlivých krajín, pričom banka funguje ďalej so zvyškom akcionárov.</w:t>
      </w:r>
    </w:p>
    <w:p w14:paraId="00AAD0E2" w14:textId="7B98FEE7" w:rsidR="00610A0C" w:rsidRPr="003F35C8" w:rsidRDefault="00610A0C" w:rsidP="00610A0C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3F35C8">
        <w:rPr>
          <w:rFonts w:ascii="Times New Roman" w:hAnsi="Times New Roman" w:cs="Times New Roman"/>
          <w:b/>
        </w:rPr>
        <w:t xml:space="preserve">Zrušenie banky </w:t>
      </w:r>
      <w:r w:rsidR="00180F2E">
        <w:rPr>
          <w:rFonts w:ascii="Times New Roman" w:hAnsi="Times New Roman" w:cs="Times New Roman"/>
          <w:b/>
        </w:rPr>
        <w:t>odstúpením 2/3 členských štátov od</w:t>
      </w:r>
      <w:r w:rsidRPr="003F35C8">
        <w:rPr>
          <w:rFonts w:ascii="Times New Roman" w:hAnsi="Times New Roman" w:cs="Times New Roman"/>
          <w:b/>
        </w:rPr>
        <w:t xml:space="preserve"> Dohody o M</w:t>
      </w:r>
      <w:r>
        <w:rPr>
          <w:rFonts w:ascii="Times New Roman" w:hAnsi="Times New Roman" w:cs="Times New Roman"/>
          <w:b/>
        </w:rPr>
        <w:t>IB</w:t>
      </w:r>
      <w:r w:rsidRPr="003F35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</w:t>
      </w:r>
      <w:r w:rsidRPr="00610A0C">
        <w:rPr>
          <w:rFonts w:ascii="Times New Roman" w:hAnsi="Times New Roman" w:cs="Times New Roman"/>
        </w:rPr>
        <w:t xml:space="preserve">áto dohoda zaniká, ak aspoň 2/3 jej členov vyhlásia svoj odchod z banky a </w:t>
      </w:r>
      <w:r w:rsidR="00180F2E">
        <w:rPr>
          <w:rFonts w:ascii="Times New Roman" w:hAnsi="Times New Roman" w:cs="Times New Roman"/>
        </w:rPr>
        <w:t>odstúpia od</w:t>
      </w:r>
      <w:r w:rsidR="00180F2E" w:rsidRPr="00610A0C">
        <w:rPr>
          <w:rFonts w:ascii="Times New Roman" w:hAnsi="Times New Roman" w:cs="Times New Roman"/>
        </w:rPr>
        <w:t xml:space="preserve"> </w:t>
      </w:r>
      <w:r w:rsidRPr="00610A0C">
        <w:rPr>
          <w:rFonts w:ascii="Times New Roman" w:hAnsi="Times New Roman" w:cs="Times New Roman"/>
        </w:rPr>
        <w:t>t</w:t>
      </w:r>
      <w:r w:rsidR="00180F2E">
        <w:rPr>
          <w:rFonts w:ascii="Times New Roman" w:hAnsi="Times New Roman" w:cs="Times New Roman"/>
        </w:rPr>
        <w:t>ejto</w:t>
      </w:r>
      <w:r w:rsidRPr="00610A0C">
        <w:rPr>
          <w:rFonts w:ascii="Times New Roman" w:hAnsi="Times New Roman" w:cs="Times New Roman"/>
        </w:rPr>
        <w:t xml:space="preserve"> dohod</w:t>
      </w:r>
      <w:r w:rsidR="00180F2E">
        <w:rPr>
          <w:rFonts w:ascii="Times New Roman" w:hAnsi="Times New Roman" w:cs="Times New Roman"/>
        </w:rPr>
        <w:t>y</w:t>
      </w:r>
      <w:r w:rsidRPr="00610A0C">
        <w:rPr>
          <w:rFonts w:ascii="Times New Roman" w:hAnsi="Times New Roman" w:cs="Times New Roman"/>
        </w:rPr>
        <w:t xml:space="preserve"> v súlade s</w:t>
      </w:r>
      <w:r>
        <w:rPr>
          <w:rFonts w:ascii="Times New Roman" w:hAnsi="Times New Roman" w:cs="Times New Roman"/>
        </w:rPr>
        <w:t> </w:t>
      </w:r>
      <w:r w:rsidRPr="00610A0C">
        <w:rPr>
          <w:rFonts w:ascii="Times New Roman" w:hAnsi="Times New Roman" w:cs="Times New Roman"/>
        </w:rPr>
        <w:t>článkom</w:t>
      </w:r>
      <w:r>
        <w:rPr>
          <w:rFonts w:ascii="Times New Roman" w:hAnsi="Times New Roman" w:cs="Times New Roman"/>
        </w:rPr>
        <w:t xml:space="preserve"> 18 Dohody o MIB</w:t>
      </w:r>
      <w:r w:rsidRPr="00610A0C">
        <w:rPr>
          <w:rFonts w:ascii="Times New Roman" w:hAnsi="Times New Roman" w:cs="Times New Roman"/>
        </w:rPr>
        <w:t>. V takom prípade banka ukončí svoju činnosť v termínoch a spôsobom stanoveným Radou guvernérov</w:t>
      </w:r>
      <w:r>
        <w:rPr>
          <w:rFonts w:ascii="Times New Roman" w:hAnsi="Times New Roman" w:cs="Times New Roman"/>
        </w:rPr>
        <w:t xml:space="preserve"> MIB</w:t>
      </w:r>
      <w:r w:rsidRPr="00610A0C">
        <w:rPr>
          <w:rFonts w:ascii="Times New Roman" w:hAnsi="Times New Roman" w:cs="Times New Roman"/>
        </w:rPr>
        <w:t>.</w:t>
      </w:r>
      <w:r w:rsidRPr="003F35C8">
        <w:rPr>
          <w:rFonts w:ascii="Times New Roman" w:hAnsi="Times New Roman" w:cs="Times New Roman"/>
        </w:rPr>
        <w:t xml:space="preserve"> </w:t>
      </w:r>
      <w:r w:rsidRPr="003F35C8">
        <w:rPr>
          <w:rFonts w:ascii="Times New Roman" w:hAnsi="Times New Roman" w:cs="Times New Roman"/>
          <w:b/>
        </w:rPr>
        <w:t>Na</w:t>
      </w:r>
      <w:r w:rsidRPr="003F35C8">
        <w:rPr>
          <w:rFonts w:ascii="Times New Roman" w:hAnsi="Times New Roman" w:cs="Times New Roman"/>
        </w:rPr>
        <w:t xml:space="preserve"> </w:t>
      </w:r>
      <w:r w:rsidRPr="003F35C8">
        <w:rPr>
          <w:rFonts w:ascii="Times New Roman" w:hAnsi="Times New Roman" w:cs="Times New Roman"/>
          <w:b/>
        </w:rPr>
        <w:t>zrušenie banky je po</w:t>
      </w:r>
      <w:r w:rsidR="00550C2B">
        <w:rPr>
          <w:rFonts w:ascii="Times New Roman" w:hAnsi="Times New Roman" w:cs="Times New Roman"/>
          <w:b/>
        </w:rPr>
        <w:t>trebných 6 krajín, pričom krajiny EÚ ochotné</w:t>
      </w:r>
      <w:r w:rsidRPr="003F35C8">
        <w:rPr>
          <w:rFonts w:ascii="Times New Roman" w:hAnsi="Times New Roman" w:cs="Times New Roman"/>
          <w:b/>
        </w:rPr>
        <w:t xml:space="preserve"> odstúpiť od zmluvy </w:t>
      </w:r>
      <w:r>
        <w:rPr>
          <w:rFonts w:ascii="Times New Roman" w:hAnsi="Times New Roman" w:cs="Times New Roman"/>
          <w:b/>
        </w:rPr>
        <w:t>sú</w:t>
      </w:r>
      <w:r w:rsidRPr="003F35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3F35C8">
        <w:rPr>
          <w:rFonts w:ascii="Times New Roman" w:hAnsi="Times New Roman" w:cs="Times New Roman"/>
        </w:rPr>
        <w:t xml:space="preserve"> (Slovensko, Česká republika, Rumunsko, Bulharsko). </w:t>
      </w:r>
    </w:p>
    <w:p w14:paraId="341C1690" w14:textId="77777777" w:rsidR="00610A0C" w:rsidRPr="00C71E10" w:rsidRDefault="00610A0C" w:rsidP="005A53BB">
      <w:pPr>
        <w:pStyle w:val="Odsekzoznamu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4157A">
        <w:rPr>
          <w:rFonts w:ascii="Times New Roman" w:hAnsi="Times New Roman" w:cs="Times New Roman"/>
          <w:b/>
        </w:rPr>
        <w:t>Odstúpením od účasti na</w:t>
      </w:r>
      <w:r>
        <w:rPr>
          <w:rFonts w:ascii="Times New Roman" w:hAnsi="Times New Roman" w:cs="Times New Roman"/>
          <w:b/>
        </w:rPr>
        <w:t xml:space="preserve"> Dohode o MIB a ukončení</w:t>
      </w:r>
      <w:r w:rsidR="00A07538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 </w:t>
      </w:r>
      <w:r w:rsidRPr="0019771F">
        <w:rPr>
          <w:rFonts w:ascii="Times New Roman" w:hAnsi="Times New Roman" w:cs="Times New Roman"/>
          <w:b/>
        </w:rPr>
        <w:t>členstva v banke</w:t>
      </w:r>
      <w:r>
        <w:rPr>
          <w:rFonts w:ascii="Times New Roman" w:hAnsi="Times New Roman" w:cs="Times New Roman"/>
        </w:rPr>
        <w:t xml:space="preserve">. </w:t>
      </w:r>
      <w:r w:rsidRPr="0019771F">
        <w:rPr>
          <w:rFonts w:ascii="Times New Roman" w:hAnsi="Times New Roman" w:cs="Times New Roman"/>
        </w:rPr>
        <w:t xml:space="preserve">Každý členský štát je oprávnený od </w:t>
      </w:r>
      <w:r>
        <w:rPr>
          <w:rFonts w:ascii="Times New Roman" w:hAnsi="Times New Roman" w:cs="Times New Roman"/>
        </w:rPr>
        <w:t>zmluvy</w:t>
      </w:r>
      <w:r w:rsidRPr="0019771F">
        <w:rPr>
          <w:rFonts w:ascii="Times New Roman" w:hAnsi="Times New Roman" w:cs="Times New Roman"/>
        </w:rPr>
        <w:t xml:space="preserve"> odstúpiť</w:t>
      </w:r>
      <w:r>
        <w:rPr>
          <w:rFonts w:ascii="Times New Roman" w:hAnsi="Times New Roman" w:cs="Times New Roman"/>
        </w:rPr>
        <w:t xml:space="preserve"> zaslaním písomného oznámenia R</w:t>
      </w:r>
      <w:r w:rsidRPr="00C71E10">
        <w:rPr>
          <w:rFonts w:ascii="Times New Roman" w:hAnsi="Times New Roman" w:cs="Times New Roman"/>
        </w:rPr>
        <w:t xml:space="preserve">ade </w:t>
      </w:r>
      <w:r w:rsidR="00A07538">
        <w:rPr>
          <w:rFonts w:ascii="Times New Roman" w:hAnsi="Times New Roman" w:cs="Times New Roman"/>
        </w:rPr>
        <w:t>guvernérov MIB</w:t>
      </w:r>
      <w:r>
        <w:rPr>
          <w:rFonts w:ascii="Times New Roman" w:hAnsi="Times New Roman" w:cs="Times New Roman"/>
        </w:rPr>
        <w:t xml:space="preserve"> </w:t>
      </w:r>
      <w:r w:rsidRPr="00C71E10">
        <w:rPr>
          <w:rFonts w:ascii="Times New Roman" w:hAnsi="Times New Roman" w:cs="Times New Roman"/>
        </w:rPr>
        <w:t>naj</w:t>
      </w:r>
      <w:r w:rsidR="00A07538">
        <w:rPr>
          <w:rFonts w:ascii="Times New Roman" w:hAnsi="Times New Roman" w:cs="Times New Roman"/>
        </w:rPr>
        <w:t xml:space="preserve">neskôr </w:t>
      </w:r>
      <w:r w:rsidRPr="00C71E10">
        <w:rPr>
          <w:rFonts w:ascii="Times New Roman" w:hAnsi="Times New Roman" w:cs="Times New Roman"/>
        </w:rPr>
        <w:t>šesť mesiacov</w:t>
      </w:r>
      <w:r w:rsidR="00A07538">
        <w:rPr>
          <w:rFonts w:ascii="Times New Roman" w:hAnsi="Times New Roman" w:cs="Times New Roman"/>
        </w:rPr>
        <w:t xml:space="preserve"> pred plánovaným termínom vystúpenia</w:t>
      </w:r>
      <w:r w:rsidRPr="0019771F">
        <w:rPr>
          <w:rFonts w:ascii="Times New Roman" w:hAnsi="Times New Roman" w:cs="Times New Roman"/>
        </w:rPr>
        <w:t xml:space="preserve">. </w:t>
      </w:r>
      <w:r w:rsidR="00C05B58" w:rsidRPr="00C05B58">
        <w:rPr>
          <w:rFonts w:ascii="Times New Roman" w:hAnsi="Times New Roman" w:cs="Times New Roman"/>
        </w:rPr>
        <w:t xml:space="preserve">Rada guvernérov </w:t>
      </w:r>
      <w:r w:rsidR="00C05B58">
        <w:rPr>
          <w:rFonts w:ascii="Times New Roman" w:hAnsi="Times New Roman" w:cs="Times New Roman"/>
        </w:rPr>
        <w:t xml:space="preserve">MIB </w:t>
      </w:r>
      <w:r w:rsidR="00C05B58" w:rsidRPr="00C05B58">
        <w:rPr>
          <w:rFonts w:ascii="Times New Roman" w:hAnsi="Times New Roman" w:cs="Times New Roman"/>
        </w:rPr>
        <w:t xml:space="preserve">schvaľuje postup </w:t>
      </w:r>
      <w:r w:rsidR="00C05B58">
        <w:rPr>
          <w:rFonts w:ascii="Times New Roman" w:hAnsi="Times New Roman" w:cs="Times New Roman"/>
        </w:rPr>
        <w:t>vystúpenia</w:t>
      </w:r>
      <w:r w:rsidR="00C05B58" w:rsidRPr="00C05B58">
        <w:rPr>
          <w:rFonts w:ascii="Times New Roman" w:hAnsi="Times New Roman" w:cs="Times New Roman"/>
        </w:rPr>
        <w:t xml:space="preserve"> člen</w:t>
      </w:r>
      <w:r w:rsidR="00C05B58">
        <w:rPr>
          <w:rFonts w:ascii="Times New Roman" w:hAnsi="Times New Roman" w:cs="Times New Roman"/>
        </w:rPr>
        <w:t>ského štátu</w:t>
      </w:r>
      <w:r w:rsidR="00C05B58" w:rsidRPr="00C05B58">
        <w:rPr>
          <w:rFonts w:ascii="Times New Roman" w:hAnsi="Times New Roman" w:cs="Times New Roman"/>
        </w:rPr>
        <w:t xml:space="preserve"> </w:t>
      </w:r>
      <w:r w:rsidR="00C05B58">
        <w:rPr>
          <w:rFonts w:ascii="Times New Roman" w:hAnsi="Times New Roman" w:cs="Times New Roman"/>
        </w:rPr>
        <w:t>MIB</w:t>
      </w:r>
      <w:r w:rsidR="00C05B58" w:rsidRPr="00C05B58">
        <w:rPr>
          <w:rFonts w:ascii="Times New Roman" w:hAnsi="Times New Roman" w:cs="Times New Roman"/>
        </w:rPr>
        <w:t xml:space="preserve"> a mechanizmus výpočtu vzájomných </w:t>
      </w:r>
      <w:r w:rsidR="005A53BB">
        <w:rPr>
          <w:rFonts w:ascii="Times New Roman" w:hAnsi="Times New Roman" w:cs="Times New Roman"/>
        </w:rPr>
        <w:t xml:space="preserve">pohľadávok </w:t>
      </w:r>
      <w:r w:rsidR="00C05B58" w:rsidRPr="00C05B58">
        <w:rPr>
          <w:rFonts w:ascii="Times New Roman" w:hAnsi="Times New Roman" w:cs="Times New Roman"/>
        </w:rPr>
        <w:t xml:space="preserve"> medzi bankou a vystupujúcim členom.</w:t>
      </w:r>
    </w:p>
    <w:p w14:paraId="349A6F73" w14:textId="77777777" w:rsidR="00610A0C" w:rsidRPr="00372D3F" w:rsidRDefault="00610A0C" w:rsidP="00372D3F">
      <w:pPr>
        <w:spacing w:line="360" w:lineRule="auto"/>
        <w:jc w:val="both"/>
        <w:rPr>
          <w:rFonts w:ascii="Times New Roman" w:hAnsi="Times New Roman" w:cs="Times New Roman"/>
        </w:rPr>
      </w:pPr>
    </w:p>
    <w:p w14:paraId="23B26BA7" w14:textId="77777777" w:rsidR="007A3F85" w:rsidRPr="007A3F85" w:rsidRDefault="00BF5C50" w:rsidP="0058289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Vnútroštátny s</w:t>
      </w:r>
      <w:r w:rsidR="00E40BA1">
        <w:rPr>
          <w:rFonts w:ascii="Times New Roman" w:hAnsi="Times New Roman" w:cs="Times New Roman"/>
          <w:b/>
        </w:rPr>
        <w:t xml:space="preserve">chvaľovací proces </w:t>
      </w:r>
      <w:r w:rsidR="007A3F85" w:rsidRPr="007A3F85">
        <w:rPr>
          <w:rFonts w:ascii="Times New Roman" w:hAnsi="Times New Roman" w:cs="Times New Roman"/>
          <w:b/>
        </w:rPr>
        <w:t xml:space="preserve">ukončenia členstva </w:t>
      </w:r>
      <w:r>
        <w:rPr>
          <w:rFonts w:ascii="Times New Roman" w:hAnsi="Times New Roman" w:cs="Times New Roman"/>
          <w:b/>
        </w:rPr>
        <w:t xml:space="preserve">SR </w:t>
      </w:r>
      <w:r w:rsidR="00E40BA1">
        <w:rPr>
          <w:rFonts w:ascii="Times New Roman" w:hAnsi="Times New Roman" w:cs="Times New Roman"/>
          <w:b/>
        </w:rPr>
        <w:t>v MIB a </w:t>
      </w:r>
      <w:r>
        <w:rPr>
          <w:rFonts w:ascii="Times New Roman" w:hAnsi="Times New Roman" w:cs="Times New Roman"/>
          <w:b/>
        </w:rPr>
        <w:t>MBHS</w:t>
      </w:r>
    </w:p>
    <w:p w14:paraId="0ED8B1D6" w14:textId="2E867E8C" w:rsidR="00990E36" w:rsidRDefault="007A3F85" w:rsidP="0058289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Ukončenie členstva Slovenskej republiky v Medzinárodnej investičnej banke a v Medzinárodnej banke hospodárskej spolupráce </w:t>
      </w:r>
      <w:r w:rsidRPr="007A3F85">
        <w:rPr>
          <w:rFonts w:ascii="Times New Roman" w:hAnsi="Times New Roman" w:cs="Times New Roman"/>
        </w:rPr>
        <w:t>bude musieť schváliť vláda SR, následne N</w:t>
      </w:r>
      <w:r>
        <w:rPr>
          <w:rFonts w:ascii="Times New Roman" w:hAnsi="Times New Roman" w:cs="Times New Roman"/>
        </w:rPr>
        <w:t xml:space="preserve">árodná rada </w:t>
      </w:r>
      <w:r w:rsidRPr="007A3F8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lovenskej republiky </w:t>
      </w:r>
      <w:r w:rsidRPr="007A3F85">
        <w:rPr>
          <w:rFonts w:ascii="Times New Roman" w:hAnsi="Times New Roman" w:cs="Times New Roman"/>
        </w:rPr>
        <w:t>a podpísať prezident</w:t>
      </w:r>
      <w:r>
        <w:rPr>
          <w:rFonts w:ascii="Times New Roman" w:hAnsi="Times New Roman" w:cs="Times New Roman"/>
        </w:rPr>
        <w:t>ka Slovenskej republiky</w:t>
      </w:r>
      <w:r w:rsidRPr="007A3F85">
        <w:rPr>
          <w:rFonts w:ascii="Times New Roman" w:hAnsi="Times New Roman" w:cs="Times New Roman"/>
        </w:rPr>
        <w:t xml:space="preserve">, nakoľko zakladajúce dokumenty </w:t>
      </w:r>
      <w:r>
        <w:rPr>
          <w:rFonts w:ascii="Times New Roman" w:hAnsi="Times New Roman" w:cs="Times New Roman"/>
        </w:rPr>
        <w:t>obo</w:t>
      </w:r>
      <w:r w:rsidR="00974AAA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bánk</w:t>
      </w:r>
      <w:r w:rsidRPr="007A3F85">
        <w:rPr>
          <w:rFonts w:ascii="Times New Roman" w:hAnsi="Times New Roman" w:cs="Times New Roman"/>
        </w:rPr>
        <w:t xml:space="preserve"> sú v podmienkach SR prezidentskou medzinárodnou zmluvou</w:t>
      </w:r>
      <w:r w:rsidR="00B25080">
        <w:rPr>
          <w:rFonts w:ascii="Times New Roman" w:hAnsi="Times New Roman" w:cs="Times New Roman"/>
        </w:rPr>
        <w:t xml:space="preserve"> </w:t>
      </w:r>
      <w:r w:rsidR="00C4170E">
        <w:rPr>
          <w:rFonts w:ascii="Times New Roman" w:hAnsi="Times New Roman" w:cs="Times New Roman"/>
        </w:rPr>
        <w:t xml:space="preserve">podľa čl. 7 ods. 4 Ústavy SR a </w:t>
      </w:r>
      <w:r w:rsidR="00B25080">
        <w:rPr>
          <w:rFonts w:ascii="Times New Roman" w:hAnsi="Times New Roman" w:cs="Times New Roman"/>
        </w:rPr>
        <w:t xml:space="preserve">podľa článku </w:t>
      </w:r>
      <w:r w:rsidR="00B25080">
        <w:rPr>
          <w:rFonts w:ascii="Times New Roman" w:hAnsi="Times New Roman" w:cs="Times New Roman"/>
        </w:rPr>
        <w:lastRenderedPageBreak/>
        <w:t>29 ods. 1 Pravidiel pre uzatváranie medzinárodných zmlúv a zmluvnú prax</w:t>
      </w:r>
      <w:r w:rsidR="00B25080">
        <w:rPr>
          <w:rStyle w:val="Odkaznapoznmkupodiarou"/>
          <w:rFonts w:ascii="Times New Roman" w:hAnsi="Times New Roman" w:cs="Times New Roman"/>
        </w:rPr>
        <w:footnoteReference w:id="1"/>
      </w:r>
      <w:r w:rsidR="00B25080">
        <w:rPr>
          <w:rFonts w:ascii="Times New Roman" w:hAnsi="Times New Roman" w:cs="Times New Roman"/>
        </w:rPr>
        <w:t xml:space="preserve"> podliehajú rovnakému postupu aj v prípade ukončenia</w:t>
      </w:r>
      <w:r w:rsidR="00C4170E">
        <w:rPr>
          <w:rFonts w:ascii="Times New Roman" w:hAnsi="Times New Roman" w:cs="Times New Roman"/>
        </w:rPr>
        <w:t xml:space="preserve"> ich platnosti</w:t>
      </w:r>
      <w:r w:rsidRPr="007A3F85">
        <w:rPr>
          <w:rFonts w:ascii="Times New Roman" w:hAnsi="Times New Roman" w:cs="Times New Roman"/>
        </w:rPr>
        <w:t xml:space="preserve">. </w:t>
      </w:r>
    </w:p>
    <w:p w14:paraId="2A2B1781" w14:textId="5B3D2DF3" w:rsidR="00FE063A" w:rsidRDefault="007A3F85" w:rsidP="00582896">
      <w:pPr>
        <w:spacing w:line="360" w:lineRule="auto"/>
        <w:jc w:val="both"/>
        <w:rPr>
          <w:rFonts w:ascii="Times New Roman" w:hAnsi="Times New Roman" w:cs="Times New Roman"/>
        </w:rPr>
      </w:pPr>
      <w:r w:rsidRPr="007A3F85">
        <w:rPr>
          <w:rFonts w:ascii="Times New Roman" w:hAnsi="Times New Roman" w:cs="Times New Roman"/>
        </w:rPr>
        <w:t xml:space="preserve">Ukončenie platnosti </w:t>
      </w:r>
      <w:r w:rsidR="00990E36">
        <w:rPr>
          <w:rFonts w:ascii="Times New Roman" w:hAnsi="Times New Roman" w:cs="Times New Roman"/>
        </w:rPr>
        <w:t>oboch dohôd</w:t>
      </w:r>
      <w:r w:rsidRPr="007A3F85">
        <w:rPr>
          <w:rFonts w:ascii="Times New Roman" w:hAnsi="Times New Roman" w:cs="Times New Roman"/>
        </w:rPr>
        <w:t xml:space="preserve"> pre SR bude zverejnené v Zbierke zákonov. </w:t>
      </w:r>
      <w:r w:rsidR="00B25080">
        <w:rPr>
          <w:rFonts w:ascii="Times New Roman" w:hAnsi="Times New Roman" w:cs="Times New Roman"/>
        </w:rPr>
        <w:t xml:space="preserve">Ukončenie </w:t>
      </w:r>
      <w:r w:rsidR="00B25080" w:rsidRPr="007A3F85">
        <w:rPr>
          <w:rFonts w:ascii="Times New Roman" w:hAnsi="Times New Roman" w:cs="Times New Roman"/>
        </w:rPr>
        <w:t xml:space="preserve">platnosti </w:t>
      </w:r>
      <w:r w:rsidR="00B25080">
        <w:rPr>
          <w:rFonts w:ascii="Times New Roman" w:hAnsi="Times New Roman" w:cs="Times New Roman"/>
        </w:rPr>
        <w:t xml:space="preserve">oboch </w:t>
      </w:r>
      <w:r w:rsidR="00E97366">
        <w:rPr>
          <w:rFonts w:ascii="Times New Roman" w:hAnsi="Times New Roman" w:cs="Times New Roman"/>
        </w:rPr>
        <w:t xml:space="preserve">zakladajúcich </w:t>
      </w:r>
      <w:r w:rsidR="00B25080">
        <w:rPr>
          <w:rFonts w:ascii="Times New Roman" w:hAnsi="Times New Roman" w:cs="Times New Roman"/>
        </w:rPr>
        <w:t>dohôd</w:t>
      </w:r>
      <w:r w:rsidR="00B25080" w:rsidRPr="007A3F85">
        <w:rPr>
          <w:rFonts w:ascii="Times New Roman" w:hAnsi="Times New Roman" w:cs="Times New Roman"/>
        </w:rPr>
        <w:t xml:space="preserve"> </w:t>
      </w:r>
      <w:r w:rsidR="00B25080">
        <w:rPr>
          <w:rFonts w:ascii="Times New Roman" w:hAnsi="Times New Roman" w:cs="Times New Roman"/>
        </w:rPr>
        <w:t xml:space="preserve">by bolo vykonané </w:t>
      </w:r>
      <w:r w:rsidR="00B8483F">
        <w:rPr>
          <w:rFonts w:ascii="Times New Roman" w:hAnsi="Times New Roman" w:cs="Times New Roman"/>
        </w:rPr>
        <w:t>zaslaním oznámenia</w:t>
      </w:r>
      <w:r w:rsidR="00953617">
        <w:rPr>
          <w:rFonts w:ascii="Times New Roman" w:hAnsi="Times New Roman" w:cs="Times New Roman"/>
        </w:rPr>
        <w:t xml:space="preserve"> </w:t>
      </w:r>
      <w:r w:rsidR="00C4170E">
        <w:rPr>
          <w:rFonts w:ascii="Times New Roman" w:hAnsi="Times New Roman" w:cs="Times New Roman"/>
        </w:rPr>
        <w:t>diplomatickou cestou Rade guvernérov MIB a Rade MBHS</w:t>
      </w:r>
      <w:r w:rsidRPr="007A3F85">
        <w:rPr>
          <w:rFonts w:ascii="Times New Roman" w:hAnsi="Times New Roman" w:cs="Times New Roman"/>
        </w:rPr>
        <w:t>.</w:t>
      </w:r>
    </w:p>
    <w:p w14:paraId="523166E6" w14:textId="77777777" w:rsidR="00FE063A" w:rsidRPr="00D10A22" w:rsidRDefault="00FE063A" w:rsidP="0058289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10A22">
        <w:rPr>
          <w:rFonts w:ascii="Times New Roman" w:hAnsi="Times New Roman" w:cs="Times New Roman"/>
          <w:b/>
        </w:rPr>
        <w:t>Navrhované riešenie</w:t>
      </w:r>
    </w:p>
    <w:p w14:paraId="4C455C22" w14:textId="6DC2C64A" w:rsidR="00153609" w:rsidRDefault="00C136BE" w:rsidP="00B848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financií SR </w:t>
      </w:r>
      <w:r w:rsidR="00153609">
        <w:rPr>
          <w:rFonts w:ascii="Times New Roman" w:hAnsi="Times New Roman" w:cs="Times New Roman"/>
        </w:rPr>
        <w:t>odporúča spustiť proces odstúpenia Slovenskej republiky z oboch dohôd</w:t>
      </w:r>
      <w:r w:rsidR="00C4170E">
        <w:rPr>
          <w:rFonts w:ascii="Times New Roman" w:hAnsi="Times New Roman" w:cs="Times New Roman"/>
        </w:rPr>
        <w:t>,</w:t>
      </w:r>
      <w:r w:rsidR="00153609">
        <w:rPr>
          <w:rFonts w:ascii="Times New Roman" w:hAnsi="Times New Roman" w:cs="Times New Roman"/>
        </w:rPr>
        <w:t xml:space="preserve"> a zároveň v koordinácii s ostatnými členskými štátmi MIB a MBHS sa pokúsiť </w:t>
      </w:r>
      <w:r w:rsidR="00A46FF5">
        <w:rPr>
          <w:rFonts w:ascii="Times New Roman" w:hAnsi="Times New Roman" w:cs="Times New Roman"/>
        </w:rPr>
        <w:t>o</w:t>
      </w:r>
      <w:r w:rsidR="00153609">
        <w:rPr>
          <w:rFonts w:ascii="Times New Roman" w:hAnsi="Times New Roman" w:cs="Times New Roman"/>
        </w:rPr>
        <w:t> zrušenie oboch bánk</w:t>
      </w:r>
      <w:r w:rsidR="00153609" w:rsidRPr="00153609">
        <w:rPr>
          <w:rFonts w:ascii="Times New Roman" w:hAnsi="Times New Roman" w:cs="Times New Roman"/>
        </w:rPr>
        <w:t xml:space="preserve"> </w:t>
      </w:r>
      <w:r w:rsidR="00A46FF5">
        <w:rPr>
          <w:rFonts w:ascii="Times New Roman" w:hAnsi="Times New Roman" w:cs="Times New Roman"/>
        </w:rPr>
        <w:t xml:space="preserve">odstúpením </w:t>
      </w:r>
      <w:r w:rsidR="00153609">
        <w:rPr>
          <w:rFonts w:ascii="Times New Roman" w:hAnsi="Times New Roman" w:cs="Times New Roman"/>
        </w:rPr>
        <w:t>2/3 členských štátov.</w:t>
      </w:r>
      <w:r w:rsidR="00E4276B">
        <w:rPr>
          <w:rFonts w:ascii="Times New Roman" w:hAnsi="Times New Roman" w:cs="Times New Roman"/>
        </w:rPr>
        <w:t xml:space="preserve"> Termín odstúpenia od dohôd bude Ministerstvo financií SR koordinovať s ostatnými členskými krajinami oboch bánk, ktoré sa zaviazali urobiť rovnaké kroky. </w:t>
      </w:r>
    </w:p>
    <w:p w14:paraId="1BEC6CF4" w14:textId="77777777" w:rsidR="00A46FF5" w:rsidRDefault="00153609" w:rsidP="00B848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procese</w:t>
      </w:r>
      <w:r w:rsidR="008C0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ukončenie členstva Slovenskej republiky v oboch bankách bude Ministerstvo financií SR</w:t>
      </w:r>
      <w:r w:rsidR="00953617">
        <w:rPr>
          <w:rFonts w:ascii="Times New Roman" w:hAnsi="Times New Roman" w:cs="Times New Roman"/>
        </w:rPr>
        <w:t xml:space="preserve"> </w:t>
      </w:r>
      <w:r w:rsidR="00B8483F">
        <w:rPr>
          <w:rFonts w:ascii="Times New Roman" w:hAnsi="Times New Roman" w:cs="Times New Roman"/>
        </w:rPr>
        <w:t xml:space="preserve"> </w:t>
      </w:r>
      <w:r w:rsidR="00A46FF5">
        <w:rPr>
          <w:rFonts w:ascii="Times New Roman" w:hAnsi="Times New Roman" w:cs="Times New Roman"/>
        </w:rPr>
        <w:t xml:space="preserve"> vyjednáva</w:t>
      </w:r>
      <w:r w:rsidR="008C01CB">
        <w:rPr>
          <w:rFonts w:ascii="Times New Roman" w:hAnsi="Times New Roman" w:cs="Times New Roman"/>
        </w:rPr>
        <w:t>ť čo najlepšie podmienky pre dohodu o</w:t>
      </w:r>
      <w:r w:rsidR="00953617">
        <w:rPr>
          <w:rFonts w:ascii="Times New Roman" w:hAnsi="Times New Roman" w:cs="Times New Roman"/>
        </w:rPr>
        <w:t> vysporiadaní vzájomných vzťahov z účasti SR</w:t>
      </w:r>
      <w:r w:rsidR="00A46FF5">
        <w:rPr>
          <w:rFonts w:ascii="Times New Roman" w:hAnsi="Times New Roman" w:cs="Times New Roman"/>
        </w:rPr>
        <w:t xml:space="preserve"> v bankách.</w:t>
      </w:r>
      <w:r w:rsidR="00953617">
        <w:rPr>
          <w:rFonts w:ascii="Times New Roman" w:hAnsi="Times New Roman" w:cs="Times New Roman"/>
        </w:rPr>
        <w:t xml:space="preserve"> </w:t>
      </w:r>
    </w:p>
    <w:p w14:paraId="581C95FF" w14:textId="77777777" w:rsidR="00E97366" w:rsidRDefault="004B0E93" w:rsidP="00B8483F">
      <w:pPr>
        <w:spacing w:line="360" w:lineRule="auto"/>
        <w:jc w:val="both"/>
        <w:rPr>
          <w:rFonts w:ascii="Times New Roman" w:hAnsi="Times New Roman" w:cs="Times New Roman"/>
        </w:rPr>
      </w:pPr>
      <w:r w:rsidRPr="004B0E93">
        <w:rPr>
          <w:rFonts w:ascii="Times New Roman" w:hAnsi="Times New Roman" w:cs="Times New Roman"/>
        </w:rPr>
        <w:t xml:space="preserve">V prípade vystúpenia štátu z </w:t>
      </w:r>
      <w:r w:rsidR="00A46FF5">
        <w:rPr>
          <w:rFonts w:ascii="Times New Roman" w:hAnsi="Times New Roman" w:cs="Times New Roman"/>
        </w:rPr>
        <w:t>MBHS</w:t>
      </w:r>
      <w:r w:rsidRPr="004B0E93">
        <w:rPr>
          <w:rFonts w:ascii="Times New Roman" w:hAnsi="Times New Roman" w:cs="Times New Roman"/>
        </w:rPr>
        <w:t xml:space="preserve"> sa jeho podiel vracia</w:t>
      </w:r>
      <w:r>
        <w:rPr>
          <w:rFonts w:ascii="Times New Roman" w:hAnsi="Times New Roman" w:cs="Times New Roman"/>
        </w:rPr>
        <w:t>, pri</w:t>
      </w:r>
      <w:r w:rsidR="00E97366">
        <w:rPr>
          <w:rFonts w:ascii="Times New Roman" w:hAnsi="Times New Roman" w:cs="Times New Roman"/>
        </w:rPr>
        <w:t>čom</w:t>
      </w:r>
      <w:r w:rsidRPr="004B0E93">
        <w:rPr>
          <w:rFonts w:ascii="Times New Roman" w:hAnsi="Times New Roman" w:cs="Times New Roman"/>
        </w:rPr>
        <w:t xml:space="preserve"> sa od celkovej sumy podielu odpočítajú sumy dlhov tohto štátu voči banke</w:t>
      </w:r>
      <w:r>
        <w:rPr>
          <w:rFonts w:ascii="Times New Roman" w:hAnsi="Times New Roman" w:cs="Times New Roman"/>
        </w:rPr>
        <w:t xml:space="preserve">. </w:t>
      </w:r>
    </w:p>
    <w:p w14:paraId="5BB32ACE" w14:textId="77777777" w:rsidR="00B8483F" w:rsidRDefault="005A53BB" w:rsidP="00B848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</w:t>
      </w:r>
      <w:r w:rsidR="00E9736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IB je situácia </w:t>
      </w:r>
      <w:r w:rsidR="00E97366">
        <w:rPr>
          <w:rFonts w:ascii="Times New Roman" w:hAnsi="Times New Roman" w:cs="Times New Roman"/>
        </w:rPr>
        <w:t>obdobná</w:t>
      </w:r>
      <w:r>
        <w:rPr>
          <w:rFonts w:ascii="Times New Roman" w:hAnsi="Times New Roman" w:cs="Times New Roman"/>
        </w:rPr>
        <w:t xml:space="preserve">, pretože v zmysle článku 21 ods. 1 písm. g) Dodatku č. 2 k Dohode o založení Medzinárodnej investičnej banky sa predpokladá v prípade odstúpenia člena aj </w:t>
      </w:r>
      <w:r w:rsidRPr="005A53BB">
        <w:rPr>
          <w:rFonts w:ascii="Times New Roman" w:hAnsi="Times New Roman" w:cs="Times New Roman"/>
        </w:rPr>
        <w:t>určen</w:t>
      </w:r>
      <w:r>
        <w:rPr>
          <w:rFonts w:ascii="Times New Roman" w:hAnsi="Times New Roman" w:cs="Times New Roman"/>
        </w:rPr>
        <w:t>ie</w:t>
      </w:r>
      <w:r w:rsidRPr="005A53BB">
        <w:rPr>
          <w:rFonts w:ascii="Times New Roman" w:hAnsi="Times New Roman" w:cs="Times New Roman"/>
        </w:rPr>
        <w:t xml:space="preserve"> postupu na výpočet vzájomných pohľadávok m</w:t>
      </w:r>
      <w:r>
        <w:rPr>
          <w:rFonts w:ascii="Times New Roman" w:hAnsi="Times New Roman" w:cs="Times New Roman"/>
        </w:rPr>
        <w:t>edzi bankou a príslušným členom.</w:t>
      </w:r>
    </w:p>
    <w:p w14:paraId="037E1282" w14:textId="0096006C" w:rsidR="00E97366" w:rsidRDefault="00C4170E" w:rsidP="00E973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dohôd o vysporiadaní vzájomných vzťahov </w:t>
      </w:r>
      <w:r w:rsidR="00977DA6">
        <w:rPr>
          <w:rFonts w:ascii="Times New Roman" w:hAnsi="Times New Roman" w:cs="Times New Roman"/>
        </w:rPr>
        <w:t xml:space="preserve">podlieha súhlasu vlády SR. </w:t>
      </w:r>
    </w:p>
    <w:p w14:paraId="1698A766" w14:textId="77777777" w:rsidR="003F35C8" w:rsidRDefault="003F35C8" w:rsidP="0058289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F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3800" w14:textId="77777777" w:rsidR="00C877CD" w:rsidRDefault="00C877CD" w:rsidP="00B25080">
      <w:pPr>
        <w:spacing w:after="0" w:line="240" w:lineRule="auto"/>
      </w:pPr>
      <w:r>
        <w:separator/>
      </w:r>
    </w:p>
  </w:endnote>
  <w:endnote w:type="continuationSeparator" w:id="0">
    <w:p w14:paraId="45251D21" w14:textId="77777777" w:rsidR="00C877CD" w:rsidRDefault="00C877CD" w:rsidP="00B2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1314F" w14:textId="77777777" w:rsidR="00C877CD" w:rsidRDefault="00C877CD" w:rsidP="00B25080">
      <w:pPr>
        <w:spacing w:after="0" w:line="240" w:lineRule="auto"/>
      </w:pPr>
      <w:r>
        <w:separator/>
      </w:r>
    </w:p>
  </w:footnote>
  <w:footnote w:type="continuationSeparator" w:id="0">
    <w:p w14:paraId="44DE6D76" w14:textId="77777777" w:rsidR="00C877CD" w:rsidRDefault="00C877CD" w:rsidP="00B25080">
      <w:pPr>
        <w:spacing w:after="0" w:line="240" w:lineRule="auto"/>
      </w:pPr>
      <w:r>
        <w:continuationSeparator/>
      </w:r>
    </w:p>
  </w:footnote>
  <w:footnote w:id="1">
    <w:p w14:paraId="02B70FD3" w14:textId="159AD9F2" w:rsidR="00B25080" w:rsidRPr="00B25080" w:rsidRDefault="00B25080">
      <w:pPr>
        <w:pStyle w:val="Textpoznmkypodiarou"/>
        <w:rPr>
          <w:rFonts w:ascii="Times New Roman" w:hAnsi="Times New Roman" w:cs="Times New Roman"/>
        </w:rPr>
      </w:pPr>
      <w:r w:rsidRPr="00B25080">
        <w:rPr>
          <w:rStyle w:val="Odkaznapoznmkupodiarou"/>
          <w:rFonts w:ascii="Times New Roman" w:hAnsi="Times New Roman" w:cs="Times New Roman"/>
        </w:rPr>
        <w:footnoteRef/>
      </w:r>
      <w:r w:rsidRPr="00B25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Uznesenie vlády Slovenskej republiky č. 743 z 21. októbra 2009.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6EF0"/>
    <w:multiLevelType w:val="hybridMultilevel"/>
    <w:tmpl w:val="081EC5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20E9"/>
    <w:multiLevelType w:val="hybridMultilevel"/>
    <w:tmpl w:val="1D86F2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0658"/>
    <w:multiLevelType w:val="hybridMultilevel"/>
    <w:tmpl w:val="CB2859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742E"/>
    <w:multiLevelType w:val="hybridMultilevel"/>
    <w:tmpl w:val="1C16D9E4"/>
    <w:lvl w:ilvl="0" w:tplc="A08CBD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E6788"/>
    <w:multiLevelType w:val="hybridMultilevel"/>
    <w:tmpl w:val="793440A8"/>
    <w:lvl w:ilvl="0" w:tplc="032E60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3706E"/>
    <w:multiLevelType w:val="hybridMultilevel"/>
    <w:tmpl w:val="4FC0E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055A"/>
    <w:multiLevelType w:val="hybridMultilevel"/>
    <w:tmpl w:val="081EC50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37C8"/>
    <w:multiLevelType w:val="hybridMultilevel"/>
    <w:tmpl w:val="081EC50C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60"/>
    <w:rsid w:val="00031E99"/>
    <w:rsid w:val="00037923"/>
    <w:rsid w:val="000415AD"/>
    <w:rsid w:val="00045D58"/>
    <w:rsid w:val="00080497"/>
    <w:rsid w:val="00084794"/>
    <w:rsid w:val="000A56E9"/>
    <w:rsid w:val="000B0290"/>
    <w:rsid w:val="000B114E"/>
    <w:rsid w:val="000B5BD3"/>
    <w:rsid w:val="000C06FD"/>
    <w:rsid w:val="00124527"/>
    <w:rsid w:val="00153609"/>
    <w:rsid w:val="00180F2E"/>
    <w:rsid w:val="0019771F"/>
    <w:rsid w:val="001B2E61"/>
    <w:rsid w:val="001B3CCA"/>
    <w:rsid w:val="001C6A47"/>
    <w:rsid w:val="0024744D"/>
    <w:rsid w:val="002707D7"/>
    <w:rsid w:val="00295F3D"/>
    <w:rsid w:val="002B0CB1"/>
    <w:rsid w:val="002B5C60"/>
    <w:rsid w:val="002C015B"/>
    <w:rsid w:val="002D6E48"/>
    <w:rsid w:val="00334DD2"/>
    <w:rsid w:val="00372D3F"/>
    <w:rsid w:val="0039154D"/>
    <w:rsid w:val="003B673D"/>
    <w:rsid w:val="003C27DC"/>
    <w:rsid w:val="003E3452"/>
    <w:rsid w:val="003F35C8"/>
    <w:rsid w:val="003F4190"/>
    <w:rsid w:val="00412E63"/>
    <w:rsid w:val="0044157A"/>
    <w:rsid w:val="00496E1C"/>
    <w:rsid w:val="004B0E93"/>
    <w:rsid w:val="004C20DC"/>
    <w:rsid w:val="004D4AEE"/>
    <w:rsid w:val="00502768"/>
    <w:rsid w:val="005351F8"/>
    <w:rsid w:val="00550C2B"/>
    <w:rsid w:val="00582896"/>
    <w:rsid w:val="005A53BB"/>
    <w:rsid w:val="005C26A8"/>
    <w:rsid w:val="00601B8D"/>
    <w:rsid w:val="0060501B"/>
    <w:rsid w:val="00610A0C"/>
    <w:rsid w:val="006307A8"/>
    <w:rsid w:val="0068381F"/>
    <w:rsid w:val="006A5507"/>
    <w:rsid w:val="006C7F3F"/>
    <w:rsid w:val="007372DC"/>
    <w:rsid w:val="00751534"/>
    <w:rsid w:val="00777544"/>
    <w:rsid w:val="00781CFC"/>
    <w:rsid w:val="00785E89"/>
    <w:rsid w:val="007A3F85"/>
    <w:rsid w:val="00813170"/>
    <w:rsid w:val="008416EF"/>
    <w:rsid w:val="00890DA4"/>
    <w:rsid w:val="00895185"/>
    <w:rsid w:val="008C01CB"/>
    <w:rsid w:val="00953617"/>
    <w:rsid w:val="00974AAA"/>
    <w:rsid w:val="00977DA6"/>
    <w:rsid w:val="00990E36"/>
    <w:rsid w:val="00991421"/>
    <w:rsid w:val="00994FB6"/>
    <w:rsid w:val="009D78B9"/>
    <w:rsid w:val="009F73E7"/>
    <w:rsid w:val="00A07538"/>
    <w:rsid w:val="00A225B3"/>
    <w:rsid w:val="00A46FF5"/>
    <w:rsid w:val="00A66E4B"/>
    <w:rsid w:val="00A83CD8"/>
    <w:rsid w:val="00A90DA1"/>
    <w:rsid w:val="00AC5595"/>
    <w:rsid w:val="00AC637C"/>
    <w:rsid w:val="00AD5A95"/>
    <w:rsid w:val="00B05357"/>
    <w:rsid w:val="00B16365"/>
    <w:rsid w:val="00B20982"/>
    <w:rsid w:val="00B20CA1"/>
    <w:rsid w:val="00B25080"/>
    <w:rsid w:val="00B324DA"/>
    <w:rsid w:val="00B42590"/>
    <w:rsid w:val="00B8483F"/>
    <w:rsid w:val="00B9276F"/>
    <w:rsid w:val="00BF5C50"/>
    <w:rsid w:val="00BF6F44"/>
    <w:rsid w:val="00C05B58"/>
    <w:rsid w:val="00C136BE"/>
    <w:rsid w:val="00C16765"/>
    <w:rsid w:val="00C16AF4"/>
    <w:rsid w:val="00C1779A"/>
    <w:rsid w:val="00C277F5"/>
    <w:rsid w:val="00C4170E"/>
    <w:rsid w:val="00C45A88"/>
    <w:rsid w:val="00C54E71"/>
    <w:rsid w:val="00C554BF"/>
    <w:rsid w:val="00C71E10"/>
    <w:rsid w:val="00C877CD"/>
    <w:rsid w:val="00CC6CC8"/>
    <w:rsid w:val="00CC7AA2"/>
    <w:rsid w:val="00CD144F"/>
    <w:rsid w:val="00CD4E17"/>
    <w:rsid w:val="00CE619E"/>
    <w:rsid w:val="00CE6FB6"/>
    <w:rsid w:val="00D10A22"/>
    <w:rsid w:val="00D20526"/>
    <w:rsid w:val="00D24656"/>
    <w:rsid w:val="00D63736"/>
    <w:rsid w:val="00D9119F"/>
    <w:rsid w:val="00DA06A4"/>
    <w:rsid w:val="00DA1581"/>
    <w:rsid w:val="00E073F1"/>
    <w:rsid w:val="00E35858"/>
    <w:rsid w:val="00E40BA1"/>
    <w:rsid w:val="00E40E4D"/>
    <w:rsid w:val="00E4276B"/>
    <w:rsid w:val="00E85F05"/>
    <w:rsid w:val="00E913C4"/>
    <w:rsid w:val="00E92A85"/>
    <w:rsid w:val="00E97366"/>
    <w:rsid w:val="00EB509A"/>
    <w:rsid w:val="00EE6324"/>
    <w:rsid w:val="00EF0FDF"/>
    <w:rsid w:val="00EF70FF"/>
    <w:rsid w:val="00F03E7C"/>
    <w:rsid w:val="00F61EC0"/>
    <w:rsid w:val="00F64C2F"/>
    <w:rsid w:val="00FE063A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D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7">
    <w:name w:val="Style7"/>
    <w:basedOn w:val="Normlny"/>
    <w:uiPriority w:val="99"/>
    <w:rsid w:val="00D20526"/>
    <w:pPr>
      <w:widowControl w:val="0"/>
      <w:autoSpaceDE w:val="0"/>
      <w:autoSpaceDN w:val="0"/>
      <w:adjustRightInd w:val="0"/>
      <w:spacing w:after="0" w:line="292" w:lineRule="exac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D20526"/>
    <w:pPr>
      <w:widowControl w:val="0"/>
      <w:autoSpaceDE w:val="0"/>
      <w:autoSpaceDN w:val="0"/>
      <w:adjustRightInd w:val="0"/>
      <w:spacing w:after="0" w:line="292" w:lineRule="exac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Tabukasmriekou5tmavzvraznenie11">
    <w:name w:val="Tabuľka s mriežkou 5 – tmavá – zvýraznenie 11"/>
    <w:basedOn w:val="Normlnatabuka"/>
    <w:uiPriority w:val="50"/>
    <w:rsid w:val="00D205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ezriadkovania">
    <w:name w:val="No Spacing"/>
    <w:link w:val="BezriadkovaniaChar"/>
    <w:uiPriority w:val="1"/>
    <w:qFormat/>
    <w:rsid w:val="00D20526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D20526"/>
  </w:style>
  <w:style w:type="paragraph" w:styleId="Odsekzoznamu">
    <w:name w:val="List Paragraph"/>
    <w:basedOn w:val="Normlny"/>
    <w:uiPriority w:val="34"/>
    <w:qFormat/>
    <w:rsid w:val="0058289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2508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2508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2508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508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B0E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0E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0E9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0E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0E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337A-03E3-4697-A2C9-091503D7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2022-03-15T09:25:00Z</dcterms:created>
  <dcterms:modified xsi:type="dcterms:W3CDTF">2022-03-22T14:12:00Z</dcterms:modified>
</cp:coreProperties>
</file>