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F50F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144A1EC9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7A8BD2CB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6122A46A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090A5B4A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6D5CE51F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1FCEBBCB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59071304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7F716A19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3D0045A1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4E7C17C4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09A891B9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22EB1FAE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312B15E7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5CF40187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17EB843E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413CFD17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5BC62888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5C0DC6B1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178C539D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7D70634E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5B9EAD28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7165C141" w14:textId="77777777" w:rsidR="004E095A" w:rsidRDefault="004E095A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67B3BFC4" w14:textId="062A1316" w:rsidR="00961D59" w:rsidRPr="00EA62CB" w:rsidRDefault="00961D59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EA62CB">
        <w:rPr>
          <w:rFonts w:ascii="Times New Roman" w:hAnsi="Times New Roman"/>
          <w:b/>
          <w:bCs/>
          <w:sz w:val="24"/>
        </w:rPr>
        <w:t xml:space="preserve"> </w:t>
      </w:r>
    </w:p>
    <w:p w14:paraId="75D0A46E" w14:textId="77777777" w:rsidR="00961D59" w:rsidRPr="00EA62CB" w:rsidRDefault="00961D59" w:rsidP="00EA62CB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14:paraId="6041152F" w14:textId="77777777" w:rsidR="00116A92" w:rsidRPr="008C250D" w:rsidRDefault="00810AB1" w:rsidP="00EA6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250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768A5" w:rsidRPr="008C250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C250D">
        <w:rPr>
          <w:rFonts w:ascii="Times New Roman" w:hAnsi="Times New Roman" w:cs="Times New Roman"/>
          <w:b/>
          <w:bCs/>
          <w:sz w:val="24"/>
          <w:szCs w:val="24"/>
        </w:rPr>
        <w:t> 1</w:t>
      </w:r>
      <w:r w:rsidR="00A73BF7" w:rsidRPr="008C25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C25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044D" w:rsidRPr="008C250D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961D59" w:rsidRPr="008C250D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57069E" w:rsidRPr="008C250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BD6846A" w14:textId="77777777" w:rsidR="00116A92" w:rsidRPr="00EA62CB" w:rsidRDefault="00116A92" w:rsidP="00EA6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A2B644" w14:textId="77777777" w:rsidR="00116A92" w:rsidRPr="00EA62CB" w:rsidRDefault="00116A92" w:rsidP="00EA6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 dopĺňa zákon č. 262/2014 Z. z. o pôsobnosti orgánov štátnej správy vo veciach prekurzorov výbušnín a o zmene a doplnení niektorých zákonov </w:t>
      </w:r>
    </w:p>
    <w:p w14:paraId="10372DCA" w14:textId="77777777" w:rsidR="00116A92" w:rsidRPr="00EA62CB" w:rsidRDefault="00116A92" w:rsidP="00EA6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E4651E" w14:textId="77777777" w:rsidR="00116A92" w:rsidRPr="00EA62CB" w:rsidRDefault="00116A92" w:rsidP="00EA6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6807F55B" w14:textId="77777777" w:rsidR="00116A92" w:rsidRPr="00EA62CB" w:rsidRDefault="00116A92" w:rsidP="00EA6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5C8C83" w14:textId="77777777" w:rsidR="00116A92" w:rsidRPr="00EA62CB" w:rsidRDefault="00116A92" w:rsidP="00EA6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3D873902" w14:textId="77777777" w:rsidR="00116A92" w:rsidRPr="00EA62CB" w:rsidRDefault="00116A9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A2DD25" w14:textId="77777777" w:rsidR="00116A92" w:rsidRPr="00EA62CB" w:rsidRDefault="00116A92" w:rsidP="00EA6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262/2014 Z. z. o pôsobnosti orgánov štátnej správy vo veciach prekurzorov výbušnín a o zmene a doplnení niektorých zákonov sa mení a dopĺňa takto:</w:t>
      </w:r>
    </w:p>
    <w:p w14:paraId="0E0A78A3" w14:textId="77777777" w:rsidR="002025A6" w:rsidRPr="00EA62CB" w:rsidRDefault="002025A6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C2AE6D" w14:textId="77777777" w:rsidR="002025A6" w:rsidRPr="00EA62CB" w:rsidRDefault="002025A6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 písm. a) </w:t>
      </w:r>
      <w:r w:rsidR="00E42949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prvom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bod</w:t>
      </w:r>
      <w:r w:rsidR="00E42949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 </w:t>
      </w:r>
      <w:r w:rsidR="00E42949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konci pripájajú tieto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</w:t>
      </w:r>
      <w:r w:rsidR="00E42949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 regulovaných prekurzorov výbušnín“. </w:t>
      </w:r>
    </w:p>
    <w:p w14:paraId="41AA61B1" w14:textId="77777777" w:rsidR="00E56D3C" w:rsidRPr="00EA62CB" w:rsidRDefault="00E56D3C" w:rsidP="00EA62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7291D3" w14:textId="77777777" w:rsidR="00E56D3C" w:rsidRPr="00EA62CB" w:rsidRDefault="00E56D3C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</w:t>
      </w:r>
      <w:r w:rsidR="000C231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znie: </w:t>
      </w:r>
    </w:p>
    <w:p w14:paraId="06513348" w14:textId="77777777" w:rsidR="009309F8" w:rsidRPr="00EA62CB" w:rsidRDefault="009309F8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2</w:t>
      </w:r>
    </w:p>
    <w:p w14:paraId="74290CA5" w14:textId="77777777" w:rsidR="00F40A10" w:rsidRPr="00EA62CB" w:rsidRDefault="00F40A10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Orgány štátnej správy vo veciach prekurzorov výbušnín</w:t>
      </w:r>
    </w:p>
    <w:p w14:paraId="65D71EAF" w14:textId="77777777" w:rsidR="00F40A10" w:rsidRPr="00EA62CB" w:rsidRDefault="00F40A10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C10C73" w14:textId="77777777" w:rsidR="00F40A10" w:rsidRPr="00EA62CB" w:rsidRDefault="00F40A10" w:rsidP="00EA62CB">
      <w:pPr>
        <w:pStyle w:val="Odsekzoznamu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Orgánmi štátnej správy vo veciach prekurzorov výbušnín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sú</w:t>
      </w:r>
    </w:p>
    <w:p w14:paraId="71074854" w14:textId="77777777" w:rsidR="00F40A10" w:rsidRPr="00EA62CB" w:rsidRDefault="00F40A10" w:rsidP="00D217E4">
      <w:pPr>
        <w:pStyle w:val="Odsekzoznamu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banský úrad,</w:t>
      </w:r>
    </w:p>
    <w:p w14:paraId="3F6EB354" w14:textId="77777777" w:rsidR="00F40A10" w:rsidRPr="00EA62CB" w:rsidRDefault="00F40A10" w:rsidP="00EA62CB">
      <w:pPr>
        <w:pStyle w:val="Odsekzoznamu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vnútra Slovenskej republiky (ďalej len </w:t>
      </w:r>
      <w:r w:rsidR="00202E2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</w:t>
      </w:r>
      <w:r w:rsidR="00202E2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“),</w:t>
      </w:r>
    </w:p>
    <w:p w14:paraId="14E27E40" w14:textId="77777777" w:rsidR="00F40A10" w:rsidRPr="00EA62CB" w:rsidRDefault="009309F8" w:rsidP="00EA62CB">
      <w:pPr>
        <w:pStyle w:val="Odsekzoznamu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F40A1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bvodné banské úrady,</w:t>
      </w:r>
    </w:p>
    <w:p w14:paraId="501223D5" w14:textId="77777777" w:rsidR="000C231D" w:rsidRPr="00EA62CB" w:rsidRDefault="00F40A10" w:rsidP="00EA62CB">
      <w:pPr>
        <w:pStyle w:val="Odsekzoznamu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colné úrady.“.</w:t>
      </w:r>
    </w:p>
    <w:p w14:paraId="62F58043" w14:textId="77777777" w:rsidR="00F40A10" w:rsidRPr="00EA62CB" w:rsidRDefault="00F40A10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467B07" w14:textId="77777777" w:rsidR="00F40A10" w:rsidRPr="00EA62CB" w:rsidRDefault="00F40A10" w:rsidP="00EA62CB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Poznámka pod čiarou k odkazu 1 znie:</w:t>
      </w:r>
    </w:p>
    <w:p w14:paraId="4DEAC2F0" w14:textId="77777777" w:rsidR="00F40A10" w:rsidRPr="00EA62CB" w:rsidRDefault="00F40A10" w:rsidP="00EA62CB">
      <w:pPr>
        <w:pStyle w:val="Odsekzoznamu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Príloha I a Príloha II nariadenia Európskeho parlamentu a Rady (EÚ) 2019/1148 z 20. júna 2019 o uvádzaní prekurzorov výbušnín na trh a ich používaní, ktorým sa mení nariadenie (ES) č. 1907/2006 a ktorým sa zrušuje nariadenie (EÚ) č. 98/2013 (Ú. v. EÚ L 186, 11. 7. 2019)</w:t>
      </w:r>
      <w:r w:rsidR="006266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044D">
        <w:rPr>
          <w:rFonts w:ascii="Times New Roman" w:eastAsia="Times New Roman" w:hAnsi="Times New Roman" w:cs="Times New Roman"/>
          <w:sz w:val="24"/>
          <w:szCs w:val="24"/>
          <w:lang w:eastAsia="sk-SK"/>
        </w:rPr>
        <w:t>v platnom znení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424553B8" w14:textId="77777777" w:rsidR="000C231D" w:rsidRPr="00EA62CB" w:rsidRDefault="000C231D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A98E36" w14:textId="77777777" w:rsidR="00E163F2" w:rsidRPr="00EA62CB" w:rsidRDefault="00E163F2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3 vrátane nadpisu znie:</w:t>
      </w:r>
    </w:p>
    <w:p w14:paraId="1BC19BB0" w14:textId="77777777" w:rsidR="00912E9C" w:rsidRPr="00EA62CB" w:rsidRDefault="00066022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912E9C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3</w:t>
      </w:r>
    </w:p>
    <w:p w14:paraId="6D7E8255" w14:textId="77777777" w:rsidR="00490190" w:rsidRPr="00EA62CB" w:rsidRDefault="006B5BB4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banský úrad</w:t>
      </w:r>
    </w:p>
    <w:p w14:paraId="295AD717" w14:textId="77777777" w:rsidR="00066022" w:rsidRPr="00EA62CB" w:rsidRDefault="0006602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FA4986" w14:textId="77777777" w:rsidR="0006602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(1) Hlavný banský úrad vo veciach prekurzorov výbušnín</w:t>
      </w:r>
    </w:p>
    <w:p w14:paraId="48E36E0C" w14:textId="77777777" w:rsidR="00E163F2" w:rsidRPr="00EA62CB" w:rsidRDefault="00E163F2" w:rsidP="00EA62CB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a) riadi výkon štátnej správy vo veciach prekurzorov výbušnín,</w:t>
      </w:r>
    </w:p>
    <w:p w14:paraId="5801B06E" w14:textId="3642C81D" w:rsidR="00E163F2" w:rsidRPr="00EA62CB" w:rsidRDefault="00E163F2" w:rsidP="00EA62CB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spolupracuje s Európskou komisiou a </w:t>
      </w:r>
      <w:r w:rsidR="00080B78" w:rsidRPr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>inými členskými štátmi Európskej únie</w:t>
      </w:r>
      <w:r w:rsidR="00080B78" w:rsidRPr="00080B78" w:rsidDel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 inými štátmi, ktoré sú zmluvnými stranami Dohody o</w:t>
      </w:r>
      <w:r w:rsidR="00EA04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európskom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hospodárskom priestore podľa osobitného predpisu,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53DA3F48" w14:textId="77777777" w:rsidR="00E163F2" w:rsidRPr="00EA62CB" w:rsidRDefault="00E163F2" w:rsidP="00EA62CB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c) zverejňuje na svojom webovom sídle informácie pre hospodárske subjekty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v súlade s osobitným predpisom,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76BA8665" w14:textId="5C1434B2" w:rsidR="00E163F2" w:rsidRPr="00EA62CB" w:rsidRDefault="00E163F2" w:rsidP="00EA62CB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="00080B78" w:rsidRPr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>zhromažďuje informácie a údaje, spracúva súhrnné správy a poskytuje ich Európskej komisii.</w:t>
      </w:r>
      <w:r w:rsidR="00080B78" w:rsidRPr="00080B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="00080B78" w:rsidRPr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6CC2B757" w14:textId="77777777" w:rsidR="00E163F2" w:rsidRPr="00EA62CB" w:rsidRDefault="00E163F2" w:rsidP="00EA62CB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007F1E" w14:textId="77777777" w:rsidR="00B47EC2" w:rsidRPr="00EA62CB" w:rsidRDefault="00B47EC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75010479"/>
      <w:r w:rsidRPr="00EA62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7F60" w:rsidRPr="00EA62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 Látkové množstvo pre každý obmedzený prekurzor výbušnín, ktoré sa na účely tohto zákona bude považovať za nepatrn</w:t>
      </w:r>
      <w:r w:rsidR="00A67F60" w:rsidRPr="00EA62CB">
        <w:rPr>
          <w:rFonts w:ascii="Times New Roman" w:eastAsia="Times New Roman" w:hAnsi="Times New Roman" w:cs="Times New Roman"/>
          <w:sz w:val="24"/>
          <w:szCs w:val="24"/>
        </w:rPr>
        <w:t>é množstvo, ustanovuje  príloha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50DD" w:rsidRPr="00EA62C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účel</w:t>
      </w:r>
      <w:r w:rsidR="009B50DD" w:rsidRPr="00EA62C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posudzovania porušenia tohto zákona sa hľadí na každý obmedzený prekurzor výbušnín samostatne</w:t>
      </w:r>
      <w:r w:rsidR="0062681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7F1954C5" w14:textId="77777777" w:rsidR="00FD5586" w:rsidRDefault="00FD5586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9D61696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2 až 5 znejú:</w:t>
      </w:r>
    </w:p>
    <w:p w14:paraId="752D2645" w14:textId="0E367EAA" w:rsidR="00E163F2" w:rsidRPr="00EA62CB" w:rsidRDefault="009309F8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E163F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163F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14 ods. 4 nariadenia (EÚ) 2019/1148.</w:t>
      </w:r>
    </w:p>
    <w:p w14:paraId="60222498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10 nariadenia (EÚ) 2019/1148.</w:t>
      </w:r>
    </w:p>
    <w:p w14:paraId="18E2BB0E" w14:textId="77777777" w:rsidR="00E163F2" w:rsidRPr="00EA62CB" w:rsidRDefault="00E163F2" w:rsidP="00EA62C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Čl. 9 ods. 5 a 6 nariadenia (EÚ) 2019/1148. </w:t>
      </w:r>
    </w:p>
    <w:p w14:paraId="4D2EC7C6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1" w:name="_Hlk75004125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19, čl. 20 ods. 3 a čl. 21 ods. 2 nariadenia (EÚ) 2019/1148</w:t>
      </w:r>
      <w:bookmarkEnd w:id="1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16B2DFE8" w14:textId="77777777" w:rsidR="00FD5586" w:rsidRDefault="00FD5586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448D1D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6 až 13 sa vypúšťajú.</w:t>
      </w:r>
    </w:p>
    <w:bookmarkEnd w:id="0"/>
    <w:p w14:paraId="4BE67677" w14:textId="77777777" w:rsidR="00116A92" w:rsidRPr="00EA62CB" w:rsidRDefault="00116A9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5B8068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</w:t>
      </w:r>
      <w:r w:rsidR="00D50A9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znie:</w:t>
      </w:r>
    </w:p>
    <w:p w14:paraId="4859F311" w14:textId="3F3D7746" w:rsidR="00116A92" w:rsidRPr="00EA62CB" w:rsidRDefault="00116A92" w:rsidP="00EA62CB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bookmarkStart w:id="2" w:name="_Hlk75010808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(1) Ministerstvo vnútra zhromažďuje a vyhodnocuje informácie o nahlasovaných podozrivých transakciách,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zamietnutých podozrivých transakciách, významných stratách a</w:t>
      </w:r>
      <w:r w:rsidR="00A67F6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 krádežiach regulovaných prekurzorov výbušnín</w:t>
      </w:r>
      <w:r w:rsidR="00A67F6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80B78" w:rsidRPr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je mu povinný poskytnúť hospodársky subjekt, člen širokej verejnosti</w:t>
      </w:r>
      <w:r w:rsidR="00080B78" w:rsidRPr="00080B78" w:rsidDel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67F6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 profesionálny používateľ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podľa osobitného predpisu.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Podobné informácie prijíma od orgánov iných členských štátov Európskej únie,  informácie takto získané poskytuje príslušným orgánom, vrátane orgánov iných členských štátov Európskej únie, pokiaľ je to nevyhnutné v záujme udržania bezpečnosti</w:t>
      </w:r>
      <w:bookmarkEnd w:id="2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.“. </w:t>
      </w:r>
    </w:p>
    <w:p w14:paraId="3DCEB27C" w14:textId="77777777" w:rsidR="00E163F2" w:rsidRPr="00EA62CB" w:rsidRDefault="00E163F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A21AAF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14 až 1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5b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14:paraId="0EE68B09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3" w:name="_Hlk75004598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7 nariadenia (EÚ) 2019/1148.</w:t>
      </w:r>
      <w:bookmarkEnd w:id="3"/>
    </w:p>
    <w:p w14:paraId="3D709B7B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15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4" w:name="_Hlk75004768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13 nariadenia (EÚ) 2019/1148.</w:t>
      </w:r>
      <w:bookmarkEnd w:id="4"/>
    </w:p>
    <w:p w14:paraId="240994E7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5" w:name="_Hlk75005035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9 nariadenia (EÚ) 2019/1148.</w:t>
      </w:r>
      <w:bookmarkEnd w:id="5"/>
    </w:p>
    <w:p w14:paraId="1EA225E1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6" w:name="_Hlk75005335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8 ods. 3 a čl. 9 ods. 3 až 5 nariadenia (EÚ) 2019/1148</w:t>
      </w:r>
      <w:bookmarkEnd w:id="6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4D93F8E9" w14:textId="77777777" w:rsidR="007959B1" w:rsidRPr="00EA62CB" w:rsidRDefault="007959B1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C0EA1F" w14:textId="77777777" w:rsidR="00BA2A44" w:rsidRPr="00EA62CB" w:rsidRDefault="007959B1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A2A44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</w:p>
    <w:p w14:paraId="43E27B2E" w14:textId="77777777" w:rsidR="007959B1" w:rsidRPr="00EA62CB" w:rsidRDefault="00BA2A44" w:rsidP="00EA62CB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3 nariadenia (EÚ) 2019/1148.“.</w:t>
      </w:r>
      <w:r w:rsidR="007959B1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29C7E55" w14:textId="77777777" w:rsidR="00116A92" w:rsidRPr="00EA62CB" w:rsidRDefault="00116A9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A76EED" w14:textId="77777777" w:rsidR="00116A92" w:rsidRPr="00EA62CB" w:rsidRDefault="00837B4B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4 sa </w:t>
      </w:r>
      <w:r w:rsidR="00C530A3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C530A3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 a 4, ktoré znejú:</w:t>
      </w:r>
    </w:p>
    <w:p w14:paraId="3A575117" w14:textId="77777777" w:rsidR="0050133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" w:name="_Hlk75010890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</w:t>
      </w:r>
      <w:r w:rsidR="00BB391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</w:t>
      </w:r>
      <w:r w:rsidR="00BB391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vnútra </w:t>
      </w:r>
      <w:r w:rsidR="00BB391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oprávnené vykonávať kontrolu dodržiavania podmienok pre sprístupňovanie obmedzených prekurzorov výbušnín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6a</w:t>
      </w:r>
      <w:r w:rsidR="00BB391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42CEB4C6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14:paraId="0EF9EC78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(4)</w:t>
      </w:r>
      <w:r w:rsidRPr="00EA62CB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3F791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</w:t>
      </w:r>
      <w:r w:rsidR="00BB3C7C" w:rsidRPr="00EA62CB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poskytuje </w:t>
      </w:r>
      <w:r w:rsidR="006678D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hlavnému banskému úradu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informácie potrebné na vypracovanie </w:t>
      </w:r>
      <w:r w:rsidR="00AB694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súhrnnej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správy </w:t>
      </w:r>
      <w:r w:rsidR="00AB694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[§ 3 ods. 1 písm. d)]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bookmarkEnd w:id="7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4F17796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856D9D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16a znie:</w:t>
      </w:r>
    </w:p>
    <w:p w14:paraId="3FCAFBBF" w14:textId="77777777" w:rsidR="00E163F2" w:rsidRPr="00EA62CB" w:rsidRDefault="00E163F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12 nariadenia (EÚ) 2019/1148.“.</w:t>
      </w:r>
    </w:p>
    <w:p w14:paraId="6928B4D0" w14:textId="77777777" w:rsidR="00AE6859" w:rsidRPr="00EA62CB" w:rsidRDefault="00AE6859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AD7504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" w:name="_Hlk82269963"/>
      <w:r w:rsidRPr="00EA62CB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§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5 vrátane nadpisu znie:</w:t>
      </w:r>
      <w:bookmarkEnd w:id="8"/>
    </w:p>
    <w:p w14:paraId="6E6EF20B" w14:textId="77777777" w:rsidR="00312859" w:rsidRPr="00EA62CB" w:rsidRDefault="00312859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" w:name="_Hlk82270354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5</w:t>
      </w:r>
    </w:p>
    <w:p w14:paraId="314876CD" w14:textId="77777777" w:rsidR="00312859" w:rsidRDefault="003D6CE2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</w:t>
      </w:r>
      <w:r w:rsidR="00DC026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bansk</w:t>
      </w:r>
      <w:r w:rsidR="00DC026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</w:t>
      </w:r>
    </w:p>
    <w:p w14:paraId="4402520A" w14:textId="77777777" w:rsidR="00080B78" w:rsidRPr="00EA62CB" w:rsidRDefault="00080B78" w:rsidP="00EA62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bookmarkEnd w:id="9"/>
    <w:p w14:paraId="281232FC" w14:textId="77777777" w:rsidR="00312859" w:rsidRPr="00EA62CB" w:rsidRDefault="00080B78" w:rsidP="00080B78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080B78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 banský úrad</w:t>
      </w:r>
    </w:p>
    <w:p w14:paraId="5D3AAFDB" w14:textId="22A3E8D5" w:rsidR="00312859" w:rsidRPr="00EA62CB" w:rsidRDefault="00312859" w:rsidP="00EA62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kontroluj</w:t>
      </w:r>
      <w:r w:rsidR="00DC026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dodržiavanie podmienok zákazu sprístupňovania obmedzených prekurzorov výbušnín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16a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D0988" w:rsidRPr="001D0988">
        <w:rPr>
          <w:rFonts w:ascii="Times New Roman" w:eastAsia="Times New Roman" w:hAnsi="Times New Roman" w:cs="Times New Roman"/>
          <w:sz w:val="24"/>
          <w:szCs w:val="24"/>
          <w:lang w:eastAsia="sk-SK"/>
        </w:rPr>
        <w:t>pri predaji alebo poskytovaní služieb</w:t>
      </w:r>
      <w:r w:rsidR="001D0988" w:rsidRPr="001D0988" w:rsidDel="001D09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členom širokej verejnosti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795B3F" w14:textId="05280714" w:rsidR="00312859" w:rsidRPr="00EA62CB" w:rsidRDefault="00312859" w:rsidP="00EA62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kontroluj</w:t>
      </w:r>
      <w:r w:rsidR="00DC0262" w:rsidRPr="00EA62C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dodržiavanie </w:t>
      </w:r>
      <w:r w:rsidR="00202E22" w:rsidRPr="00EA62CB">
        <w:rPr>
          <w:rFonts w:ascii="Times New Roman" w:eastAsia="Times New Roman" w:hAnsi="Times New Roman" w:cs="Times New Roman"/>
          <w:sz w:val="24"/>
          <w:szCs w:val="24"/>
        </w:rPr>
        <w:t xml:space="preserve">povinností hospodárskeho subjektu </w:t>
      </w:r>
      <w:r w:rsidR="00BA515C" w:rsidRPr="00EA62CB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202E22" w:rsidRPr="00EA62CB">
        <w:rPr>
          <w:rFonts w:ascii="Times New Roman" w:eastAsia="Times New Roman" w:hAnsi="Times New Roman" w:cs="Times New Roman"/>
          <w:sz w:val="24"/>
          <w:szCs w:val="24"/>
        </w:rPr>
        <w:t>profesionálneho používateľa</w:t>
      </w:r>
      <w:r w:rsidR="00BA515C"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E22" w:rsidRPr="00EA62CB">
        <w:rPr>
          <w:rFonts w:ascii="Times New Roman" w:eastAsia="Times New Roman" w:hAnsi="Times New Roman" w:cs="Times New Roman"/>
          <w:sz w:val="24"/>
          <w:szCs w:val="24"/>
        </w:rPr>
        <w:t xml:space="preserve">sprístupňujúceho </w:t>
      </w:r>
      <w:r w:rsidR="00BA515C" w:rsidRPr="00EA62CB">
        <w:rPr>
          <w:rFonts w:ascii="Times New Roman" w:eastAsia="Times New Roman" w:hAnsi="Times New Roman" w:cs="Times New Roman"/>
          <w:sz w:val="24"/>
          <w:szCs w:val="24"/>
        </w:rPr>
        <w:t>regulované prekurzory výbušnín na online trhy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podľa osobitného predpisu,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AE4EEF" w14:textId="77777777" w:rsidR="003D6CE2" w:rsidRPr="00EA62CB" w:rsidRDefault="003D6CE2" w:rsidP="00EA62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poskytuj</w:t>
      </w:r>
      <w:r w:rsidR="00DC0262" w:rsidRPr="00EA62C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hlavnému banskému úradu informácie potrebné na vypracovanie </w:t>
      </w:r>
      <w:r w:rsidR="00AB694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súhrnnej 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správy podľa </w:t>
      </w:r>
      <w:r w:rsidR="00AB694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[§ 3 ods. 1 písm. d)]</w:t>
      </w:r>
      <w:r w:rsidR="00FA20A8" w:rsidRPr="00EA62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42D2"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1718DE" w14:textId="22FB6A5C" w:rsidR="00312859" w:rsidRPr="00EA62CB" w:rsidRDefault="00C530A3" w:rsidP="00EA62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A62CB">
        <w:rPr>
          <w:rFonts w:ascii="Times New Roman" w:eastAsia="Times New Roman" w:hAnsi="Times New Roman" w:cs="Times New Roman"/>
          <w:sz w:val="24"/>
          <w:szCs w:val="24"/>
        </w:rPr>
        <w:t>prejednáva</w:t>
      </w:r>
      <w:proofErr w:type="spellEnd"/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správne delikty a </w:t>
      </w:r>
      <w:r w:rsidR="00CD42D2" w:rsidRPr="00EA62CB">
        <w:rPr>
          <w:rFonts w:ascii="Times New Roman" w:eastAsia="Times New Roman" w:hAnsi="Times New Roman" w:cs="Times New Roman"/>
          <w:sz w:val="24"/>
          <w:szCs w:val="24"/>
        </w:rPr>
        <w:t>uklad</w:t>
      </w:r>
      <w:r w:rsidR="00DC0262" w:rsidRPr="00EA62CB">
        <w:rPr>
          <w:rFonts w:ascii="Times New Roman" w:eastAsia="Times New Roman" w:hAnsi="Times New Roman" w:cs="Times New Roman"/>
          <w:sz w:val="24"/>
          <w:szCs w:val="24"/>
        </w:rPr>
        <w:t>á</w:t>
      </w:r>
      <w:r w:rsidR="00CD42D2" w:rsidRPr="00EA62CB">
        <w:rPr>
          <w:rFonts w:ascii="Times New Roman" w:eastAsia="Times New Roman" w:hAnsi="Times New Roman" w:cs="Times New Roman"/>
          <w:sz w:val="24"/>
          <w:szCs w:val="24"/>
        </w:rPr>
        <w:t xml:space="preserve"> pokuty podľa § 8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 xml:space="preserve"> alebo § 9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754A">
        <w:rPr>
          <w:rFonts w:ascii="Times New Roman" w:eastAsia="Times New Roman" w:hAnsi="Times New Roman" w:cs="Times New Roman"/>
          <w:sz w:val="24"/>
          <w:szCs w:val="24"/>
        </w:rPr>
        <w:t>“.</w:t>
      </w:r>
      <w:bookmarkStart w:id="10" w:name="_GoBack"/>
      <w:bookmarkEnd w:id="10"/>
    </w:p>
    <w:p w14:paraId="2821C1A9" w14:textId="77777777" w:rsidR="00CD42D2" w:rsidRPr="00EA62CB" w:rsidRDefault="00CD42D2" w:rsidP="00EA62CB">
      <w:pPr>
        <w:widowControl w:val="0"/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0F2F0A" w14:textId="77777777" w:rsidR="00312859" w:rsidRPr="00EA62CB" w:rsidRDefault="00312859" w:rsidP="00EA62CB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Poznámky pod čiarou k odkazom 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17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14:paraId="0B8C576C" w14:textId="77777777" w:rsidR="00312859" w:rsidRPr="00EA62CB" w:rsidRDefault="00312859" w:rsidP="00EA62CB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70 ods. 1 písm. a) zákona č. 58/2014 Z. z. </w:t>
      </w:r>
      <w:r w:rsidR="002B672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výbušninách, výbušných predmetoch a muníci</w:t>
      </w:r>
      <w:r w:rsidR="002B672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zmene a doplnení niektorých zákonov v znení neskorších predpisov.</w:t>
      </w:r>
    </w:p>
    <w:p w14:paraId="220273F9" w14:textId="6BA4399E" w:rsidR="00312859" w:rsidRPr="00EA62CB" w:rsidRDefault="00312859" w:rsidP="00EA62C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18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50133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313F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7 ods.  1 až 3</w:t>
      </w:r>
      <w:r w:rsidR="001D09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313F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 čl. 9 nariadenia (EÚ) 2019/1148.“.</w:t>
      </w:r>
    </w:p>
    <w:p w14:paraId="5327D19A" w14:textId="77777777" w:rsidR="00116A92" w:rsidRPr="00EA62CB" w:rsidRDefault="00312859" w:rsidP="00EA62C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</w:p>
    <w:p w14:paraId="39A0D8FD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ods. 1 sa </w:t>
      </w:r>
      <w:r w:rsidR="003753D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slovo „</w:t>
      </w:r>
      <w:r w:rsidR="003753D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“ vkladajú slová „dodržiavania zákazu“.</w:t>
      </w:r>
    </w:p>
    <w:p w14:paraId="6AB125CB" w14:textId="77777777" w:rsidR="00116A92" w:rsidRPr="00EA62CB" w:rsidRDefault="00116A92" w:rsidP="00EA62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03CC51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sa vypúšťa ods</w:t>
      </w:r>
      <w:r w:rsidR="00D50A9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</w:t>
      </w:r>
    </w:p>
    <w:p w14:paraId="11C204AA" w14:textId="77777777" w:rsidR="00116A92" w:rsidRPr="00EA62CB" w:rsidRDefault="00116A92" w:rsidP="00EA62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399AF0" w14:textId="77777777" w:rsidR="00116A92" w:rsidRPr="00EA62CB" w:rsidRDefault="00116A92" w:rsidP="00EA62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3 a 4 sa označujú ako odseky 2 a 3.</w:t>
      </w:r>
    </w:p>
    <w:p w14:paraId="4BF9D755" w14:textId="77777777" w:rsidR="00116A92" w:rsidRPr="00EA62CB" w:rsidRDefault="00116A9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C6B22B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ods. </w:t>
      </w:r>
      <w:r w:rsidR="009F5FB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 „odseku 3“ nahrádzajú slovami „odseku 2“.</w:t>
      </w:r>
    </w:p>
    <w:p w14:paraId="43ADF0BD" w14:textId="77777777" w:rsidR="00116A92" w:rsidRPr="00EA62CB" w:rsidRDefault="00116A92" w:rsidP="00EA62C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F969B1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§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 </w:t>
      </w:r>
      <w:r w:rsidR="00912E9C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8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nadpis</w:t>
      </w:r>
      <w:r w:rsidR="00912E9C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 w:rsidR="00912E9C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35585569" w14:textId="77777777" w:rsidR="00116A92" w:rsidRPr="00EA62CB" w:rsidRDefault="00912E9C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7</w:t>
      </w:r>
    </w:p>
    <w:p w14:paraId="18D17A23" w14:textId="77777777" w:rsidR="00531ADD" w:rsidRPr="00EA62CB" w:rsidRDefault="00116A92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" w:name="_Hlk75011323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Práva a povinnosti hospodárskeho subjektu,  profesionálneho používateľa</w:t>
      </w:r>
    </w:p>
    <w:p w14:paraId="374744CA" w14:textId="77777777" w:rsidR="00116A92" w:rsidRPr="00EA62CB" w:rsidRDefault="00116A92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 člena širokej verejnosti</w:t>
      </w:r>
    </w:p>
    <w:p w14:paraId="4426DC70" w14:textId="77777777" w:rsidR="00116A92" w:rsidRPr="00EA62CB" w:rsidRDefault="00116A92" w:rsidP="00EA62C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E39379" w14:textId="77777777" w:rsidR="00116A92" w:rsidRPr="00EA62CB" w:rsidRDefault="007136C4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Hospodársky subjekt nesmie </w:t>
      </w:r>
      <w:r w:rsidR="00AB6946" w:rsidRPr="00EA62CB">
        <w:rPr>
          <w:rFonts w:ascii="Times New Roman" w:eastAsia="Times New Roman" w:hAnsi="Times New Roman" w:cs="Times New Roman"/>
          <w:sz w:val="24"/>
          <w:szCs w:val="24"/>
        </w:rPr>
        <w:t xml:space="preserve">obmedzený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prekurzor </w:t>
      </w:r>
      <w:r w:rsidR="00AB6946" w:rsidRPr="00EA62CB">
        <w:rPr>
          <w:rFonts w:ascii="Times New Roman" w:eastAsia="Times New Roman" w:hAnsi="Times New Roman" w:cs="Times New Roman"/>
          <w:sz w:val="24"/>
          <w:szCs w:val="24"/>
        </w:rPr>
        <w:t xml:space="preserve">výbušniny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sprístupniť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 xml:space="preserve"> dovážať členom širokej 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</w:rPr>
        <w:t>verejnosti.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C313F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29D5A2E" w14:textId="77777777" w:rsidR="00116A92" w:rsidRPr="00EA62CB" w:rsidRDefault="00116A92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96CA7" w14:textId="77777777" w:rsidR="00116A92" w:rsidRPr="00EA62CB" w:rsidRDefault="007136C4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Hospodársky subjekt vedie evidenciu nadobudnutých a spotrebovaných obmedzených prekurzorov výbušnín a uvedie na žiadosť správnych orgánov uvedených v § 2 písm. </w:t>
      </w:r>
      <w:r w:rsidR="00EB7DAE" w:rsidRPr="00EA62CB"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) bezodkladne in</w:t>
      </w:r>
      <w:r w:rsidR="00CF2CDB" w:rsidRPr="00EA62CB">
        <w:rPr>
          <w:rFonts w:ascii="Times New Roman" w:eastAsia="Times New Roman" w:hAnsi="Times New Roman" w:cs="Times New Roman"/>
          <w:sz w:val="24"/>
          <w:szCs w:val="24"/>
        </w:rPr>
        <w:t xml:space="preserve">formácie podľa  osobitného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predpisu.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C313F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A299E" w14:textId="77777777" w:rsidR="00116A92" w:rsidRPr="00EA62CB" w:rsidRDefault="00116A92" w:rsidP="00EA62CB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4B8244" w14:textId="77777777" w:rsidR="00116A92" w:rsidRPr="00EA62CB" w:rsidRDefault="007136C4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Hospodársky subjekt, ktorý sprístupňuje alebo používa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3a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D0988">
        <w:rPr>
          <w:rFonts w:ascii="Times New Roman" w:eastAsia="Times New Roman" w:hAnsi="Times New Roman" w:cs="Times New Roman"/>
          <w:sz w:val="24"/>
          <w:szCs w:val="24"/>
        </w:rPr>
        <w:t xml:space="preserve">regulované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prekurzory výbušnín je povinný bezodkladne oznámiť kontaktnému miestu podľa § 4 ods. 2 podozrivú transakciu alebo pokus o ňu, zamietnutú podozrivú transakciu, stratu a</w:t>
      </w:r>
      <w:r w:rsidR="00C530A3" w:rsidRPr="00EA62CB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krádež podľa osobitného predpisu.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3b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AD14BE3" w14:textId="77777777" w:rsidR="00116A92" w:rsidRPr="00EA62CB" w:rsidRDefault="00116A92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90D7F" w14:textId="527EFC20" w:rsidR="00116A92" w:rsidRPr="00EA62CB" w:rsidRDefault="007136C4" w:rsidP="004965C7">
      <w:p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1D0988" w:rsidRPr="001D0988">
        <w:rPr>
          <w:rFonts w:ascii="Times New Roman" w:eastAsia="Times New Roman" w:hAnsi="Times New Roman" w:cs="Times New Roman"/>
          <w:sz w:val="24"/>
          <w:szCs w:val="24"/>
        </w:rPr>
        <w:t>Profesionálny používateľ alebo hospodársky subjekt je povinný preukázať hodnoverným spôsobom inému hospodárskemu subjektu, že obmedzený prekurzor výbušnín, ktorý od neho zamýšľa nadobudnúť, je nevyhnutný na účely súvisiace s jeho obchodovaním, podnikaním alebo výkonom povolania vrátane poľnohospodárskej činnosti.</w:t>
      </w:r>
      <w:r w:rsidR="001D0988" w:rsidRPr="001D09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23c</w:t>
      </w:r>
      <w:r w:rsidR="001D09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Za profesionálneho používateľa sa na účely tohto zákona považuje aj </w:t>
      </w:r>
      <w:r w:rsidR="008E2B1D" w:rsidRPr="00EA62CB">
        <w:rPr>
          <w:rFonts w:ascii="Times New Roman" w:eastAsia="Times New Roman" w:hAnsi="Times New Roman" w:cs="Times New Roman"/>
          <w:sz w:val="24"/>
          <w:szCs w:val="24"/>
        </w:rPr>
        <w:t>osoba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8E2B1D" w:rsidRPr="00EA62CB">
        <w:rPr>
          <w:rFonts w:ascii="Times New Roman" w:eastAsia="Times New Roman" w:hAnsi="Times New Roman" w:cs="Times New Roman"/>
          <w:sz w:val="24"/>
          <w:szCs w:val="24"/>
        </w:rPr>
        <w:t>á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 nevykonáva podnikateľskú činnosť a ktor</w:t>
      </w:r>
      <w:r w:rsidR="008E2B1D" w:rsidRPr="00EA62CB">
        <w:rPr>
          <w:rFonts w:ascii="Times New Roman" w:eastAsia="Times New Roman" w:hAnsi="Times New Roman" w:cs="Times New Roman"/>
          <w:sz w:val="24"/>
          <w:szCs w:val="24"/>
        </w:rPr>
        <w:t>á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 nadobúda obmedzen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é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 prekurzor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 výbušnín na základe je</w:t>
      </w:r>
      <w:r w:rsidR="008E2B1D" w:rsidRPr="00EA62CB">
        <w:rPr>
          <w:rFonts w:ascii="Times New Roman" w:eastAsia="Times New Roman" w:hAnsi="Times New Roman" w:cs="Times New Roman"/>
          <w:sz w:val="24"/>
          <w:szCs w:val="24"/>
        </w:rPr>
        <w:t>j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 osobitného oprávnenia alebo odbornej spôsobilosti </w:t>
      </w:r>
      <w:r w:rsidR="00C530A3" w:rsidRPr="00EA62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>a účel</w:t>
      </w:r>
      <w:r w:rsidR="00F1751B" w:rsidRPr="00EA62CB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 xml:space="preserve"> výkonu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 xml:space="preserve"> jej osobitného oprávnenia</w:t>
      </w:r>
      <w:r w:rsidR="00A031C7" w:rsidRPr="00EA62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7864D" w14:textId="77777777" w:rsidR="00116A92" w:rsidRPr="00EA62CB" w:rsidRDefault="00116A92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7DE2F" w14:textId="77777777" w:rsidR="00116A92" w:rsidRPr="00EA62CB" w:rsidRDefault="007136C4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Profesionálny používateľ je povinný preukázať orgánom oprávneným vykonávať kontrolu dodržiavania podmienok </w:t>
      </w:r>
      <w:r w:rsidR="003D2A80" w:rsidRPr="00EA62CB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sprístupňovanie obmedzených prekurzorov 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</w:rPr>
        <w:t>výbušnín,</w:t>
      </w:r>
      <w:r w:rsidR="006B4960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16a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) že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 xml:space="preserve">obmedzené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prekurzor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y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výbušnín, 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</w:rPr>
        <w:t xml:space="preserve">ktoré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nadobudol alebo zamýšľa nadobudnúť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sú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nevyhnutn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é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314" w:rsidRPr="00EA62C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účely súvisiace s jeho obchodovaním, podnikaním alebo výkonom povolania vrátane poľnohospodárskej činnosti.</w:t>
      </w:r>
    </w:p>
    <w:p w14:paraId="3033A357" w14:textId="77777777" w:rsidR="00116A92" w:rsidRPr="00EA62CB" w:rsidRDefault="00116A92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E1A98" w14:textId="77777777" w:rsidR="00116A92" w:rsidRPr="00EA62CB" w:rsidRDefault="007136C4" w:rsidP="0062663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5E1F" w:rsidRPr="00EA62C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Člen širokej verejnosti</w:t>
      </w:r>
      <w:r w:rsidR="00626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nesmie obmedzený prekurzor výbušnín </w:t>
      </w:r>
      <w:r w:rsidR="002B6727" w:rsidRPr="00EA62CB">
        <w:rPr>
          <w:rFonts w:ascii="Times New Roman" w:eastAsia="Times New Roman" w:hAnsi="Times New Roman" w:cs="Times New Roman"/>
          <w:sz w:val="24"/>
          <w:szCs w:val="24"/>
        </w:rPr>
        <w:t>držať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626633" w:rsidRPr="00EA62CB">
        <w:rPr>
          <w:rFonts w:ascii="Times New Roman" w:eastAsia="Times New Roman" w:hAnsi="Times New Roman" w:cs="Times New Roman"/>
          <w:sz w:val="24"/>
          <w:szCs w:val="24"/>
        </w:rPr>
        <w:t>používať</w:t>
      </w:r>
      <w:r w:rsidR="00626633" w:rsidRPr="00EA62CB" w:rsidDel="00626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podľa tohto zákona a osobitného predpisu.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3d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1F18D3" w14:textId="77777777" w:rsidR="007A2C97" w:rsidRPr="00EA62CB" w:rsidRDefault="007A2C97" w:rsidP="00EA62C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84E2A" w14:textId="77777777" w:rsidR="00116A92" w:rsidRPr="00EA62CB" w:rsidRDefault="00C05E1F" w:rsidP="00EA62C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6727" w:rsidRPr="00EA62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7136C4" w:rsidRPr="00EA62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Člen širokej verejnosti</w:t>
      </w:r>
      <w:r w:rsidR="00626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F1751B" w:rsidRPr="00EA62CB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> profesionálny používateľ je povinn</w:t>
      </w:r>
      <w:r w:rsidR="006706E2" w:rsidRPr="00EA62CB">
        <w:rPr>
          <w:rFonts w:ascii="Times New Roman" w:eastAsia="Times New Roman" w:hAnsi="Times New Roman" w:cs="Times New Roman"/>
          <w:sz w:val="24"/>
          <w:szCs w:val="24"/>
        </w:rPr>
        <w:t>ý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podozrivú transakciu alebo pokus o ňu, zamietnutú podozrivú transakciu, stratu a</w:t>
      </w:r>
      <w:r w:rsidR="00BB097F" w:rsidRPr="00EA62CB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krádež podľa osobitného predpisu vo vzťahu k regulovanému prekurzoru výbušnín bezodkladne oznámiť kontaktnému miestu podľa § 4 ods. 2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1"/>
    <w:p w14:paraId="6DAB703B" w14:textId="77777777" w:rsidR="00EA62CB" w:rsidRDefault="00EA62CB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FD7281" w14:textId="77777777" w:rsidR="00116A92" w:rsidRPr="00EA62CB" w:rsidRDefault="00116A92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8</w:t>
      </w:r>
    </w:p>
    <w:p w14:paraId="6A1EAE6E" w14:textId="77777777" w:rsidR="001C6F34" w:rsidRPr="00EA62CB" w:rsidRDefault="00E42949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Iné s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 delikty</w:t>
      </w:r>
      <w:bookmarkStart w:id="12" w:name="_Hlk75011914"/>
    </w:p>
    <w:p w14:paraId="36169D8F" w14:textId="77777777" w:rsidR="002B6727" w:rsidRPr="00EA62CB" w:rsidRDefault="008E2B1D" w:rsidP="00EA6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62CB" w:rsidDel="008E2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A74A7F" w14:textId="77777777" w:rsidR="0046001A" w:rsidRPr="00EA62CB" w:rsidRDefault="00531ADD" w:rsidP="00EA62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 banský úrad uloží pokutu od 500 eur do 20 000 eur hospodárskemu subjektu, ktorý</w:t>
      </w:r>
    </w:p>
    <w:p w14:paraId="58E1B1EB" w14:textId="77777777" w:rsidR="0046001A" w:rsidRPr="00EA62CB" w:rsidRDefault="0046001A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neposkytne požadované informácie príslušnému správnemu orgánu podľa § 2 písm. a) a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 xml:space="preserve">lebo 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</w:rPr>
        <w:t xml:space="preserve">písm. 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c),</w:t>
      </w:r>
    </w:p>
    <w:p w14:paraId="65735EA8" w14:textId="77777777" w:rsidR="0046001A" w:rsidRPr="00EA62CB" w:rsidRDefault="0046001A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neoznačí obmedzené prekurzory výbušnín alebo regulovaný prekurzor výbušnín podľa osobitného predpisu,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034E84" w14:textId="4D4E8DD6" w:rsidR="0046001A" w:rsidRPr="00EA62CB" w:rsidRDefault="001D0988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988">
        <w:rPr>
          <w:rFonts w:ascii="Times New Roman" w:eastAsia="Times New Roman" w:hAnsi="Times New Roman" w:cs="Times New Roman"/>
          <w:sz w:val="24"/>
          <w:szCs w:val="24"/>
        </w:rPr>
        <w:t>nevedie evidenciu vykonanej transakcie</w:t>
      </w:r>
      <w:r w:rsidRPr="001D0988" w:rsidDel="001D0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</w:rPr>
        <w:t>s obmedzeným prekurzorom výbušnín v ustanovenom rozsahu alebo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 neuchováva 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</w:rPr>
        <w:t>počas určenej lehoty podľa  tohto zákona alebo osobitného predpisu,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E7DE9E" w14:textId="77777777" w:rsidR="0046001A" w:rsidRPr="00EA62CB" w:rsidRDefault="0046001A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nezaistí 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>alebo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 nepreukáže že zaistil, či jeho zamestnanci podieľajúci sa na predaji regulovaných prekurzorov výbušnín sú oboznámení s tým, ktoré z výrobkov, ktoré sprístupňujú, obsahujú regulované prekurzory výbušnín podľa tohto zákona alebo osobitného predpisu,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55423DF" w14:textId="59A4319E" w:rsidR="0046001A" w:rsidRPr="00EA62CB" w:rsidRDefault="0046001A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nezavedie náležité, vhodné a primerané postupy na odhaľovanie podozrivých transakcií podľa osobitného predpisu,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25a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F0FEFF" w14:textId="77777777" w:rsidR="0046001A" w:rsidRPr="00EA62CB" w:rsidRDefault="0046001A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neoznámi kontaktnému miestu informácie podľa § 7 ods. 3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</w:p>
    <w:p w14:paraId="7373666F" w14:textId="77777777" w:rsidR="0046001A" w:rsidRPr="00EA62CB" w:rsidRDefault="0046001A" w:rsidP="00EA62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neoznámi kontaktnému miestu informácie o podozrivej transakcii alebo pokuse o ňu podľa  tohto zákona alebo osobitného predpisu.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25b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2D9C72" w14:textId="77777777" w:rsidR="0046001A" w:rsidRPr="00EA62CB" w:rsidRDefault="0046001A" w:rsidP="00EA62CB">
      <w:pPr>
        <w:widowControl w:val="0"/>
        <w:autoSpaceDE w:val="0"/>
        <w:autoSpaceDN w:val="0"/>
        <w:adjustRightInd w:val="0"/>
        <w:spacing w:after="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9F73" w14:textId="77777777" w:rsidR="0046001A" w:rsidRPr="00EA62CB" w:rsidRDefault="00531ADD" w:rsidP="00EA62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 banský úrad uloží pokutu od 5000 eur do 50 000 eur hospodárskemu subjektu vykonávajúcemu operácie na online trh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och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25c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</w:rPr>
        <w:t xml:space="preserve">) ktorý </w:t>
      </w:r>
      <w:r w:rsidR="0046001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700CD70A" w14:textId="77777777" w:rsidR="0046001A" w:rsidRPr="00EA62CB" w:rsidRDefault="0046001A" w:rsidP="00EA62CB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sprístupní obmedzené prekurzory výbušnín v rozpore s týmto zákonom alebo osobitným predpisom,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23d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7A299C9" w14:textId="77777777" w:rsidR="0046001A" w:rsidRPr="00EA62CB" w:rsidRDefault="0046001A" w:rsidP="00EA62CB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</w:rPr>
        <w:t>neoverí, že potenciálny zákazník je profesionálnym používateľom alebo hospodárskym subjektom alebo jeho zamýšľané použitie je v súlade s jeho obchodovaním, podnikaním alebo výkonom povolania podľa tohto z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 xml:space="preserve">ákona alebo osobitného predpisu 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25d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</w:p>
    <w:p w14:paraId="73F2974C" w14:textId="77777777" w:rsidR="002B6727" w:rsidRDefault="0046001A" w:rsidP="00EA62CB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neprijme opatrenia podľa 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tohto zákona alebo osobitného predpisu,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25e</w:t>
      </w:r>
      <w:r w:rsidRPr="00EA62C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A3324D" w14:textId="77777777" w:rsidR="00FD5586" w:rsidRPr="00EA62CB" w:rsidRDefault="00FD5586" w:rsidP="00FD55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D78D5" w14:textId="77777777" w:rsidR="00116A92" w:rsidRDefault="00FD5586" w:rsidP="00EA62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2E84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 banský úrad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uloží pokutu od 500 eur do 50 000 eur profesionálnemu používateľovi, </w:t>
      </w:r>
      <w:r w:rsidR="00AA1DF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je právnickou osobou za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poruš</w:t>
      </w:r>
      <w:r w:rsidR="00AA1DF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enie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povinnos</w:t>
      </w:r>
      <w:r w:rsidR="00AA1DF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7 ods. </w:t>
      </w:r>
      <w:r w:rsidR="008E2B1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4 a</w:t>
      </w:r>
      <w:r w:rsidR="00746711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lebo ods.</w:t>
      </w:r>
      <w:r w:rsidR="008E2B1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6A9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</w:p>
    <w:p w14:paraId="74A15A71" w14:textId="77777777" w:rsidR="00FD5586" w:rsidRPr="00EA62CB" w:rsidRDefault="00FD5586" w:rsidP="00FD55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17A3CC" w14:textId="77777777" w:rsidR="00116A92" w:rsidRPr="00FD5586" w:rsidRDefault="00116A92" w:rsidP="00EA62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Pri určovaní výšky pokuty sa prihliada na závažnosť protiprávneho konania, spôsob, čas a následky protiprávneho konania.</w:t>
      </w:r>
    </w:p>
    <w:p w14:paraId="3EF3C7F7" w14:textId="77777777" w:rsidR="00FD5586" w:rsidRPr="00EA62CB" w:rsidRDefault="00FD5586" w:rsidP="00FD558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94B1624" w14:textId="77777777" w:rsidR="00116A92" w:rsidRDefault="00FD5586" w:rsidP="00EA62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568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Pokutu možno uložiť do jedného roka odo dňa, keď sa úrad dozvedel o porušení povinnosti, najneskôr však do troch rokov odo dňa, keď k porušeniu povinnosti došlo.</w:t>
      </w:r>
    </w:p>
    <w:p w14:paraId="409D1A86" w14:textId="77777777" w:rsidR="00FD5586" w:rsidRPr="00EA62CB" w:rsidRDefault="00FD5586" w:rsidP="00FD55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0F7067" w14:textId="77777777" w:rsidR="00511182" w:rsidRDefault="00511182" w:rsidP="00EA62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Pokuty sú príjmom štátneho rozpočtu.</w:t>
      </w:r>
    </w:p>
    <w:p w14:paraId="79580491" w14:textId="77777777" w:rsidR="00FD5586" w:rsidRPr="00EA62CB" w:rsidRDefault="00FD5586" w:rsidP="00FD558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B4371F" w14:textId="0B10634D" w:rsidR="00511182" w:rsidRPr="00EA62CB" w:rsidRDefault="00511182" w:rsidP="00EA62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konanie o uložení pokuty za správny delikt sa vzťahuje správny poriadok.“.</w:t>
      </w:r>
    </w:p>
    <w:p w14:paraId="5CB37142" w14:textId="77777777" w:rsidR="00511182" w:rsidRPr="00EA62CB" w:rsidRDefault="00511182" w:rsidP="00EA62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" w:name="_Hlk75008339"/>
      <w:bookmarkEnd w:id="12"/>
    </w:p>
    <w:p w14:paraId="6B0CD860" w14:textId="77777777" w:rsidR="00511182" w:rsidRPr="00EA62CB" w:rsidRDefault="00511182" w:rsidP="00EA62CB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2</w:t>
      </w:r>
      <w:r w:rsidR="009309F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25</w:t>
      </w:r>
      <w:r w:rsidR="00365BE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14:paraId="3353F642" w14:textId="77777777" w:rsidR="009309F8" w:rsidRPr="00EA62CB" w:rsidRDefault="009309F8" w:rsidP="00EA62C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22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8 nariadenia (EÚ) 2019/1148.</w:t>
      </w:r>
    </w:p>
    <w:p w14:paraId="371B0E41" w14:textId="77777777" w:rsidR="009309F8" w:rsidRPr="00EA62CB" w:rsidRDefault="009309F8" w:rsidP="00EA62C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8 ods. 4 nariadenia (EÚ) 2019/1148.</w:t>
      </w:r>
    </w:p>
    <w:p w14:paraId="23FEAA02" w14:textId="77777777" w:rsidR="009309F8" w:rsidRPr="00EA62CB" w:rsidRDefault="009309F8" w:rsidP="00EA62C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6 nariadenia (EÚ) 2019/1148.</w:t>
      </w:r>
    </w:p>
    <w:p w14:paraId="7BCCD2C2" w14:textId="77777777" w:rsidR="009309F8" w:rsidRPr="00EA62CB" w:rsidRDefault="009309F8" w:rsidP="00EA62C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23b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1, 2, 4 a 5 nariadenia (EÚ) 2019/1148.</w:t>
      </w:r>
    </w:p>
    <w:p w14:paraId="7BBE59FA" w14:textId="77777777" w:rsidR="009309F8" w:rsidRPr="00EA62CB" w:rsidRDefault="009309F8" w:rsidP="00EA62C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23c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14 nariadenia (EÚ) 2019/1148.</w:t>
      </w:r>
    </w:p>
    <w:p w14:paraId="508ED59D" w14:textId="77777777" w:rsidR="009309F8" w:rsidRPr="00EA62CB" w:rsidRDefault="009309F8" w:rsidP="00EA62C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23d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5 ods. 1 nariadenia (EÚ) 2019/1148.</w:t>
      </w:r>
    </w:p>
    <w:p w14:paraId="12A5C360" w14:textId="77777777" w:rsidR="0046001A" w:rsidRPr="00EA62CB" w:rsidRDefault="0046001A" w:rsidP="00EA62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24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Čl. 7 ods. 1 nariadenia (EÚ) 2019/1148. </w:t>
      </w:r>
    </w:p>
    <w:p w14:paraId="7C44FD75" w14:textId="33A3DDCB" w:rsidR="0046001A" w:rsidRPr="00EA62CB" w:rsidRDefault="0046001A" w:rsidP="00EA62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 Čl. 7 ods. 2 nariadenia (EÚ) 2019/1148.</w:t>
      </w:r>
    </w:p>
    <w:p w14:paraId="7DBC6B8F" w14:textId="77777777" w:rsidR="0046001A" w:rsidRPr="00EA62CB" w:rsidRDefault="0046001A" w:rsidP="00EA62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2 nariadenia (EÚ) 2019/1148.</w:t>
      </w:r>
    </w:p>
    <w:p w14:paraId="4077491B" w14:textId="77777777" w:rsidR="0046001A" w:rsidRPr="00EA62CB" w:rsidRDefault="0046001A" w:rsidP="00EA62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1 a 4 nariadenia (EÚ) 2019/1148.</w:t>
      </w:r>
    </w:p>
    <w:p w14:paraId="3B3C69E6" w14:textId="77777777" w:rsidR="0046001A" w:rsidRPr="00EA62CB" w:rsidRDefault="0046001A" w:rsidP="00EA62CB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25c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11 nariadenia (EÚ) 2019/1148.</w:t>
      </w:r>
    </w:p>
    <w:p w14:paraId="17B77546" w14:textId="77777777" w:rsidR="0046001A" w:rsidRPr="00EA62CB" w:rsidRDefault="0046001A" w:rsidP="00EA62C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25d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Čl. 8 ods. 2 a 3 nariadenia (EÚ) 2019/1148. </w:t>
      </w:r>
    </w:p>
    <w:p w14:paraId="741AB44D" w14:textId="77777777" w:rsidR="0046001A" w:rsidRPr="00EA62CB" w:rsidRDefault="0046001A" w:rsidP="00EA62C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8 ods. 5 a čl. 7 ods. 3 nariadenia (EÚ) 2019/1148.“.</w:t>
      </w:r>
    </w:p>
    <w:p w14:paraId="3F83DED1" w14:textId="77777777" w:rsidR="0046001A" w:rsidRPr="00EA62CB" w:rsidRDefault="00AF4566" w:rsidP="00EA62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bookmarkEnd w:id="13"/>
    <w:p w14:paraId="4107C0AE" w14:textId="77777777" w:rsidR="00FE7A8E" w:rsidRPr="00EA62CB" w:rsidRDefault="00FE7A8E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26 znie: </w:t>
      </w:r>
    </w:p>
    <w:p w14:paraId="6177BB5C" w14:textId="77777777" w:rsidR="00FE7A8E" w:rsidRPr="00EA62CB" w:rsidRDefault="00FE7A8E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A13D1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A13D1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5 ods. 1 a 2 nariadenia (EÚ) 2019/1148.“.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95BA4B1" w14:textId="77777777" w:rsidR="00FE7A8E" w:rsidRPr="00EA62CB" w:rsidRDefault="00FE7A8E" w:rsidP="00EA62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CA0632" w14:textId="77777777" w:rsidR="00116A92" w:rsidRPr="00EA62CB" w:rsidRDefault="00EA7FE8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9 ods. </w:t>
      </w:r>
      <w:r w:rsidR="00362A8E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„ministerstvo hospodárstva“ nahrádzajú slovami „</w:t>
      </w:r>
      <w:r w:rsidR="008E6783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banský úrad“.</w:t>
      </w:r>
    </w:p>
    <w:p w14:paraId="705C9B94" w14:textId="77777777" w:rsidR="007E0EB9" w:rsidRPr="00EA62CB" w:rsidRDefault="007E0EB9" w:rsidP="00EA62CB">
      <w:pPr>
        <w:pStyle w:val="Odsekzoznamu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C980CA" w14:textId="77777777" w:rsidR="00116A92" w:rsidRPr="00EA62CB" w:rsidRDefault="00116A92" w:rsidP="00EA62C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9 sa za odsek 2 </w:t>
      </w:r>
      <w:r w:rsidR="000F43E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vkladajú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nové odseky 3 a 4, ktoré znejú:</w:t>
      </w:r>
    </w:p>
    <w:p w14:paraId="6C5EA151" w14:textId="77777777" w:rsidR="00116A92" w:rsidRPr="00EA62CB" w:rsidRDefault="00116A92" w:rsidP="00EA62C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75012051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</w:t>
      </w:r>
      <w:r w:rsidRPr="00EA62CB">
        <w:rPr>
          <w:rFonts w:ascii="Times New Roman" w:hAnsi="Times New Roman" w:cs="Times New Roman"/>
          <w:sz w:val="24"/>
          <w:szCs w:val="24"/>
        </w:rPr>
        <w:t xml:space="preserve">Priestupku sa dopustí </w:t>
      </w:r>
      <w:r w:rsidR="0079757F" w:rsidRPr="00EA62CB">
        <w:rPr>
          <w:rFonts w:ascii="Times New Roman" w:hAnsi="Times New Roman" w:cs="Times New Roman"/>
          <w:sz w:val="24"/>
          <w:szCs w:val="24"/>
        </w:rPr>
        <w:t>profesionálny používateľ, ktorý je fyzickou osobou,</w:t>
      </w:r>
      <w:r w:rsidR="00511182" w:rsidRPr="00EA62CB">
        <w:rPr>
          <w:rFonts w:ascii="Times New Roman" w:hAnsi="Times New Roman" w:cs="Times New Roman"/>
          <w:sz w:val="24"/>
          <w:szCs w:val="24"/>
        </w:rPr>
        <w:t xml:space="preserve"> </w:t>
      </w:r>
      <w:r w:rsidR="0079757F" w:rsidRPr="00EA62CB">
        <w:rPr>
          <w:rFonts w:ascii="Times New Roman" w:hAnsi="Times New Roman" w:cs="Times New Roman"/>
          <w:sz w:val="24"/>
          <w:szCs w:val="24"/>
        </w:rPr>
        <w:t>ak</w:t>
      </w:r>
      <w:r w:rsidRPr="00EA62CB">
        <w:rPr>
          <w:rFonts w:ascii="Times New Roman" w:hAnsi="Times New Roman" w:cs="Times New Roman"/>
          <w:sz w:val="24"/>
          <w:szCs w:val="24"/>
        </w:rPr>
        <w:t xml:space="preserve"> nesplní povinnos</w:t>
      </w:r>
      <w:r w:rsidR="00BB5688" w:rsidRPr="00EA62CB">
        <w:rPr>
          <w:rFonts w:ascii="Times New Roman" w:hAnsi="Times New Roman" w:cs="Times New Roman"/>
          <w:sz w:val="24"/>
          <w:szCs w:val="24"/>
        </w:rPr>
        <w:t>ť</w:t>
      </w:r>
      <w:r w:rsidRPr="00EA62CB">
        <w:rPr>
          <w:rFonts w:ascii="Times New Roman" w:hAnsi="Times New Roman" w:cs="Times New Roman"/>
          <w:sz w:val="24"/>
          <w:szCs w:val="24"/>
        </w:rPr>
        <w:t xml:space="preserve"> </w:t>
      </w:r>
      <w:r w:rsidR="00511182" w:rsidRPr="00EA62CB">
        <w:rPr>
          <w:rFonts w:ascii="Times New Roman" w:hAnsi="Times New Roman" w:cs="Times New Roman"/>
          <w:sz w:val="24"/>
          <w:szCs w:val="24"/>
        </w:rPr>
        <w:t>podľa § 7 ods. 4</w:t>
      </w:r>
      <w:r w:rsidR="008E2B1D" w:rsidRPr="00EA62CB">
        <w:rPr>
          <w:rFonts w:ascii="Times New Roman" w:hAnsi="Times New Roman" w:cs="Times New Roman"/>
          <w:sz w:val="24"/>
          <w:szCs w:val="24"/>
        </w:rPr>
        <w:t xml:space="preserve"> a</w:t>
      </w:r>
      <w:r w:rsidR="00746711" w:rsidRPr="00EA62CB">
        <w:rPr>
          <w:rFonts w:ascii="Times New Roman" w:hAnsi="Times New Roman" w:cs="Times New Roman"/>
          <w:sz w:val="24"/>
          <w:szCs w:val="24"/>
        </w:rPr>
        <w:t xml:space="preserve">lebo ods. </w:t>
      </w:r>
      <w:r w:rsidR="008E2B1D" w:rsidRPr="00EA62CB">
        <w:rPr>
          <w:rFonts w:ascii="Times New Roman" w:hAnsi="Times New Roman" w:cs="Times New Roman"/>
          <w:sz w:val="24"/>
          <w:szCs w:val="24"/>
        </w:rPr>
        <w:t xml:space="preserve"> 5</w:t>
      </w:r>
      <w:r w:rsidRPr="00EA62CB">
        <w:rPr>
          <w:rFonts w:ascii="Times New Roman" w:hAnsi="Times New Roman" w:cs="Times New Roman"/>
          <w:sz w:val="24"/>
          <w:szCs w:val="24"/>
        </w:rPr>
        <w:t>.</w:t>
      </w:r>
    </w:p>
    <w:p w14:paraId="055F9BC3" w14:textId="77777777" w:rsidR="00FD5586" w:rsidRDefault="00FD5586" w:rsidP="00EA62C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E73AB7" w14:textId="77777777" w:rsidR="00116A92" w:rsidRPr="00EA62CB" w:rsidRDefault="00116A92" w:rsidP="00EA62C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62CB">
        <w:rPr>
          <w:rFonts w:ascii="Times New Roman" w:hAnsi="Times New Roman" w:cs="Times New Roman"/>
          <w:sz w:val="24"/>
          <w:szCs w:val="24"/>
        </w:rPr>
        <w:t xml:space="preserve">(4) Za priestupok podľa odseku 3 </w:t>
      </w:r>
      <w:r w:rsidR="008E6783" w:rsidRPr="00EA62CB">
        <w:rPr>
          <w:rFonts w:ascii="Times New Roman" w:hAnsi="Times New Roman" w:cs="Times New Roman"/>
          <w:sz w:val="24"/>
          <w:szCs w:val="24"/>
        </w:rPr>
        <w:t>obvodný</w:t>
      </w:r>
      <w:r w:rsidR="00972537" w:rsidRPr="00EA62CB">
        <w:rPr>
          <w:rFonts w:ascii="Times New Roman" w:hAnsi="Times New Roman" w:cs="Times New Roman"/>
          <w:sz w:val="24"/>
          <w:szCs w:val="24"/>
        </w:rPr>
        <w:t xml:space="preserve"> banský úrad</w:t>
      </w:r>
      <w:r w:rsidRPr="00EA62CB">
        <w:rPr>
          <w:rFonts w:ascii="Times New Roman" w:hAnsi="Times New Roman" w:cs="Times New Roman"/>
          <w:sz w:val="24"/>
          <w:szCs w:val="24"/>
        </w:rPr>
        <w:t xml:space="preserve"> uloží  pokutu do 15 000 eur.</w:t>
      </w:r>
      <w:bookmarkEnd w:id="14"/>
      <w:r w:rsidRPr="00EA62CB">
        <w:rPr>
          <w:rFonts w:ascii="Times New Roman" w:hAnsi="Times New Roman" w:cs="Times New Roman"/>
          <w:sz w:val="24"/>
          <w:szCs w:val="24"/>
        </w:rPr>
        <w:t>“.</w:t>
      </w:r>
    </w:p>
    <w:p w14:paraId="24C46522" w14:textId="77777777" w:rsidR="007E0EB9" w:rsidRPr="00EA62CB" w:rsidRDefault="007E0EB9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89D59" w14:textId="77777777" w:rsidR="00116A92" w:rsidRPr="00EA62CB" w:rsidRDefault="00116A92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3 a 4 sa označujú ako odseky 5 a 6.</w:t>
      </w:r>
    </w:p>
    <w:p w14:paraId="51692A8F" w14:textId="77777777" w:rsidR="00BA515C" w:rsidRPr="00EA62CB" w:rsidRDefault="00BA515C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9297E0" w14:textId="77777777" w:rsidR="00BA515C" w:rsidRPr="00EA62CB" w:rsidRDefault="00BA515C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9 odsek 6 znie:</w:t>
      </w:r>
    </w:p>
    <w:p w14:paraId="74D943BD" w14:textId="77777777" w:rsidR="00BA515C" w:rsidRPr="00EA62CB" w:rsidRDefault="00BA515C" w:rsidP="00EA62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„(6) Pokuty sú príjmom štátneho rozpočtu.“.</w:t>
      </w:r>
    </w:p>
    <w:p w14:paraId="4E08A1EB" w14:textId="77777777" w:rsidR="00EC200E" w:rsidRPr="00EA62CB" w:rsidRDefault="00EC200E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920A36" w14:textId="77777777" w:rsidR="00116A92" w:rsidRPr="00EA62CB" w:rsidRDefault="00116A92" w:rsidP="00EA62C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10 odsek 2 znie: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9EA5E4" w14:textId="77777777" w:rsidR="00116A92" w:rsidRPr="00EA62CB" w:rsidRDefault="00116A92" w:rsidP="00EA62C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5" w:name="_Hlk75012223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„(2)</w:t>
      </w:r>
      <w:r w:rsidR="00FD55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Ministerstvo obrany Slovenskej republiky, Ministerstvo pôdohospodárstva a rozvoja vidieka Slovenskej republiky alebo orgány ministerstva vnútra pri plnení úloh podľa </w:t>
      </w:r>
      <w:r w:rsidR="00A33039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zákona alebo podľa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osobitných predpisov</w:t>
      </w:r>
      <w:r w:rsidR="00D844B5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zistia nesprávne zaobchádzanie s regulovanými prekurzormi výbušnín, túto skutočnosť 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odkladne oznámia </w:t>
      </w:r>
      <w:r w:rsidR="00BA515C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obvodnému banskému úradu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kontaktnému </w:t>
      </w:r>
      <w:r w:rsidR="00724AB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miestu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024EE171" w14:textId="77777777" w:rsidR="009309F8" w:rsidRPr="00EA62CB" w:rsidRDefault="009309F8" w:rsidP="00EA62C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2B55B6" w14:textId="77777777" w:rsidR="00116A92" w:rsidRPr="00EA62CB" w:rsidRDefault="00116A92" w:rsidP="00EA62CB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6" w:name="_Hlk75013709"/>
      <w:bookmarkEnd w:id="15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D844B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</w:t>
      </w:r>
      <w:bookmarkEnd w:id="16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448400A9" w14:textId="77777777" w:rsidR="00116A92" w:rsidRPr="00EA62CB" w:rsidRDefault="00116A92" w:rsidP="00EA62CB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7" w:name="_Hlk75013740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844B5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18" w:name="_Hlk75008505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Napríklad 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</w:t>
      </w:r>
      <w:r w:rsidR="00F1751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1751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č. 171/1993 Z. z. o Policajnom zbore v znení neskorších predpisov,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14 zákona č. 136/2000 Z. z. o hnojivách v znení neskorších predpisov,</w:t>
      </w:r>
      <w:r w:rsidR="00F1751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7 zákona č. 315/2001 Z. z. o Hasičskom a záchrannom zbore v znení neskorších predpisov</w:t>
      </w:r>
      <w:r w:rsidR="00F1751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bookmarkEnd w:id="17"/>
    <w:bookmarkEnd w:id="18"/>
    <w:p w14:paraId="171A2033" w14:textId="77777777" w:rsidR="00116A92" w:rsidRPr="00EA62CB" w:rsidRDefault="00116A92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51FEF8" w14:textId="77777777" w:rsidR="00116A92" w:rsidRPr="00EA62CB" w:rsidRDefault="00116A92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11 vrátane nadpis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44AF6402" w14:textId="77777777" w:rsidR="00116A92" w:rsidRPr="00EA62CB" w:rsidRDefault="00116A92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11</w:t>
      </w:r>
    </w:p>
    <w:p w14:paraId="179C7A7E" w14:textId="77777777" w:rsidR="00116A92" w:rsidRPr="00EA62CB" w:rsidRDefault="00116A92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Sp</w:t>
      </w:r>
      <w:r w:rsidR="0051118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racovanie osobných údajov </w:t>
      </w:r>
    </w:p>
    <w:p w14:paraId="6913FE7A" w14:textId="77777777" w:rsidR="00D844B5" w:rsidRPr="00EA62CB" w:rsidRDefault="00D844B5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166BD5" w14:textId="77777777" w:rsidR="00D844B5" w:rsidRPr="00EA62CB" w:rsidRDefault="00D844B5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Hospodársky subjekt a orgán štátnej správy podľa § 2 spracúvajú na účel kontroly oprávnenosti sprístupnenia obmedzených prekurzorov výbušnín profesionálnemu používateľovi  alebo inému hospodárskemu subjektu osobné údaje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29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v tomto rozsahu: </w:t>
      </w:r>
    </w:p>
    <w:p w14:paraId="5A33983A" w14:textId="77777777" w:rsidR="00D844B5" w:rsidRPr="00EA62CB" w:rsidRDefault="00D844B5" w:rsidP="00EA62CB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 priezvisko, rodné priezvisko, rodné číslo alebo identifikátor zahraničnej fyzickej osoby podľa </w:t>
      </w:r>
      <w:r w:rsidR="00AF456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o e-Governmente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30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dokladu totožnosti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31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adresa pobytu profesionálneho používateľa  alebo iného hospodárskeho subjektu, ak je fyzickou osobou,  </w:t>
      </w:r>
    </w:p>
    <w:p w14:paraId="0863DEB6" w14:textId="77777777" w:rsidR="00D844B5" w:rsidRPr="00EA62CB" w:rsidRDefault="007227EE" w:rsidP="00EA62CB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</w:t>
      </w:r>
      <w:r w:rsidR="00D844B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, adresa sídla alebo adresa miesta podnikania a identifikačné číslo organizácie profesionálneho používateľa alebo iného hospodárskeho subjektu, ak je fyzickou osobou – podnikateľom,</w:t>
      </w:r>
    </w:p>
    <w:p w14:paraId="7A63A655" w14:textId="77777777" w:rsidR="00D844B5" w:rsidRPr="00EA62CB" w:rsidRDefault="00D844B5" w:rsidP="00EA62CB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 fyzickej osoby oprávnenej konať v mene profesionálneho používateľa alebo iného hospodárskeho subjektu a názov alebo obchodné meno, adresa sídla alebo adresa miesta podnikania a identifikačné číslo organizácie profesionálneho používateľa alebo iného hospodárskeho subjektu, v mene ktorého táto fyzická osoba koná.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BF11040" w14:textId="77777777" w:rsidR="00F24BDD" w:rsidRPr="00EA62CB" w:rsidRDefault="00F24BDD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094D61" w14:textId="77777777" w:rsidR="00F24BDD" w:rsidRPr="00EA62CB" w:rsidRDefault="00F24BDD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odkazom 29 a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14:paraId="61EA4BD1" w14:textId="77777777" w:rsidR="00F24BDD" w:rsidRPr="00EA62CB" w:rsidRDefault="00F24BDD" w:rsidP="00EA62CB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29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Nariadenie Európskeho parlamentu a Rady (EÚ) 2016/679 z 27. apríla 2016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ochrane fyzických osôb pri spracúvaní osobných údajov a o voľnom pohybe takýchto údajov, ktorým sa zrušuje smernica 95/46/ES (všeobecné nariadenie o ochrane údajov) (Ú. v. EÚ L 119, 4.5.2016)</w:t>
      </w:r>
      <w:r w:rsidR="006679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6B7900" w14:textId="77777777" w:rsidR="00F24BDD" w:rsidRPr="00EA62CB" w:rsidRDefault="00F24BDD" w:rsidP="00EA62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18/2018 Z. z. o ochrane osobných údajov a o zmene a doplnení niektorých zákonov v znení neskorších predpisov.“. </w:t>
      </w:r>
    </w:p>
    <w:p w14:paraId="5A0DDA4D" w14:textId="77777777" w:rsidR="00B23FBA" w:rsidRPr="00EA62CB" w:rsidRDefault="00F24BDD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30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§ 3 písm. n) prvý bod zákon</w:t>
      </w:r>
      <w:r w:rsidR="003C6B24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e-</w:t>
      </w:r>
      <w:proofErr w:type="spellStart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Governmente</w:t>
      </w:r>
      <w:proofErr w:type="spellEnd"/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07CABFD" w14:textId="77777777" w:rsidR="00F24BDD" w:rsidRPr="00EA62CB" w:rsidRDefault="00B23FBA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31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8 ods. 1 nariadenia (EÚ) 20</w:t>
      </w:r>
      <w:r w:rsidR="00837696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/1148.“.</w:t>
      </w:r>
    </w:p>
    <w:p w14:paraId="29DEF7F5" w14:textId="77777777" w:rsidR="00F24BDD" w:rsidRDefault="00F24BDD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DB2CD2" w14:textId="77777777" w:rsidR="00AB1C40" w:rsidRDefault="00AB1C40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5364AF" w14:textId="77777777" w:rsidR="00AB1C40" w:rsidRPr="00EA62CB" w:rsidRDefault="00AB1C40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4A52BB" w14:textId="77777777" w:rsidR="00F1751B" w:rsidRPr="00EA62CB" w:rsidRDefault="00AD3C58" w:rsidP="00EA62CB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12 sa vkladá § 12a, ktorý vrátane nadpisu znie:</w:t>
      </w:r>
    </w:p>
    <w:p w14:paraId="0854C2E1" w14:textId="77777777" w:rsidR="00BC2735" w:rsidRPr="00EA62CB" w:rsidRDefault="00AD3C58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§ 12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36C4D747" w14:textId="77777777" w:rsidR="00BC2735" w:rsidRPr="00EA62CB" w:rsidRDefault="00BC2735" w:rsidP="00EA62C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6083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úprav</w:t>
      </w:r>
      <w:r w:rsidR="00724AB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6083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</w:t>
      </w:r>
      <w:r w:rsidR="00724ABB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66083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</w:t>
      </w:r>
      <w:r w:rsidR="008356F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1. m</w:t>
      </w:r>
      <w:r w:rsidR="007227EE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áj</w:t>
      </w:r>
      <w:r w:rsidR="008356F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60837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7227EE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388398B5" w14:textId="77777777" w:rsidR="00FF20DB" w:rsidRPr="00EA62CB" w:rsidRDefault="00FF20DB" w:rsidP="00EA62CB">
      <w:pPr>
        <w:pStyle w:val="Odsekzoznamu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863065" w14:textId="77777777" w:rsidR="00BC2735" w:rsidRPr="00EA62CB" w:rsidRDefault="00BB5688" w:rsidP="00EA62C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 širokej verejnosti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legálne nadobud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obmedzen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prekurzor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výbušnín </w:t>
      </w:r>
      <w:r w:rsidR="007227EE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do 30. apríla 2022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povinn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obmedzen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prekurzor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výbušnín </w:t>
      </w:r>
      <w:r w:rsidR="00511182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scudziť 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hospodárskemu subjektu alebo zneškodniť podľa osobitného predpisu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824CF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oznámiť kontaktnému miestu podľa § 4 ods. 2 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</w:rPr>
        <w:t>podozrivú transakciu alebo pokus o ňu, zamietnutú podozrivú transakciu</w:t>
      </w:r>
      <w:r w:rsidR="00FE0668" w:rsidRPr="00EA62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</w:rPr>
        <w:t xml:space="preserve"> stratu alebo krádež obmedzen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</w:rPr>
        <w:t>ých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</w:rPr>
        <w:t xml:space="preserve"> prekurzor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</w:rPr>
        <w:t xml:space="preserve"> výbušnín</w:t>
      </w:r>
      <w:r w:rsidR="00F21A7F" w:rsidRPr="00EA6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A7F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do 30. júna 2022</w:t>
      </w:r>
      <w:r w:rsidR="00AD3C58" w:rsidRPr="00EA62CB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55FB67F5" w14:textId="77777777" w:rsidR="00BC2735" w:rsidRPr="00EA62CB" w:rsidRDefault="00BC2735" w:rsidP="00EA6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D016F8" w14:textId="77777777" w:rsidR="00912E9C" w:rsidRPr="00EA62CB" w:rsidRDefault="00BC2735" w:rsidP="00EA62C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F24BD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</w:t>
      </w:r>
      <w:r w:rsidR="00912E9C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odkaz</w:t>
      </w:r>
      <w:r w:rsidR="00F24BD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824CF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DB784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F24BDD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e:</w:t>
      </w:r>
    </w:p>
    <w:p w14:paraId="520DF053" w14:textId="77777777" w:rsidR="00BC2735" w:rsidRPr="00EA62CB" w:rsidRDefault="00912E9C" w:rsidP="00EA62CB">
      <w:p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824CF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="00B23FBA" w:rsidRPr="00EA62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Zákon č. 79/2015 Z. z o odpadoch a o zmene a doplnení 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niektorých zákonov </w:t>
      </w:r>
      <w:r w:rsidR="00BC2735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predpisov.“.</w:t>
      </w:r>
    </w:p>
    <w:p w14:paraId="7BC97DE2" w14:textId="77777777" w:rsidR="00116A92" w:rsidRPr="00EA62CB" w:rsidRDefault="00116A92" w:rsidP="00EA62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EF5038" w14:textId="77777777" w:rsidR="00116A92" w:rsidRDefault="00116A92" w:rsidP="00EA6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2CB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6E55DC5" w14:textId="77777777" w:rsidR="00AB1C40" w:rsidRPr="00EA62CB" w:rsidRDefault="00AB1C40" w:rsidP="00EA6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B17EC" w14:textId="1437AFD0" w:rsidR="00116A92" w:rsidRDefault="00116A92" w:rsidP="00EA6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2CB">
        <w:rPr>
          <w:rFonts w:ascii="Times New Roman" w:hAnsi="Times New Roman" w:cs="Times New Roman"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211/2000 Z. z., zákona č. 468/2000 Z. z., zákona č. 553/2001 Z. z., zákona č. 96/2002 Z. z., zákona č. 118/2002 Z. z., zákona č. 215/2002 Z. z., zákona č. 237/2002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418/2002 Z. z., zákona č. 457/2002 Z. z., zákona č. 465/2002 Z. z., zákona č. 477/2002 Z. z., zákona č. 480/2002 Z. z., zákona č. 190/2003 Z. z., zákona č. 217/2003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245/2003 Z. z., zákona č. 450/2003 Z. z., zákona č. 469/2003 Z. z., zákona č. 583/2003 Z. z., zákona č. 5/2004 Z. z., zákona č. 199/2004 Z. z., zákona č. 204/2004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347/2004 Z. z., zákona č. 382/2004 Z. z., zákona č. 434/2004 Z. z., zákona č. 533/2004 Z. z., zákona č. 541/2004 Z. z., zákona č. 572/2004 Z. z., zákona č. 578/2004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581/2004 Z. z., zákon č. 633/2004 Z. z., zákona č. 653/2004 Z. z., zákona č. 656/2004 Z. z., zákona č. 725/2004 Z. z., zákona č. 5/2005 Z. z., zákona č. 8/2005 Z. z., zákona č. 15/2005 Z. z., zákona č. 93/2005 Z. z., zákona č. 171/2005 Z. z., zákona č. 308/2005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331/2005 Z. z., zákona č. 341/2005 Z. z., zákona č. 342/2005 Z. z., zákona č. 473/2005 Z. z., zákona č. 491/2005 Z. z., zákona č. 538/2005 Z. z., zákona č. 558/2005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572/2005 Z. z., zákona č. 573/2005 Z. z., zákona č. 610/2005 Z. z., zákona č. 14/2006 Z. z., zákona č. 15/2006 Z. z., zákona č. 24/2006 Z. z., zákona č. 117/2006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124/2006 Z. z., zákona č. 126/2006 Z. z., zákona č. 224/2006 Z. z., zákona č. 342/2006 Z. z., zákona č. 672/2006 Z. z., zákona č. 693/2006 Z. z., zákona č. 21/2007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43/2007 Z. z., zákona č. 95/2007 Z. z., zákona č. 193/2007 Z. z., zákona č. 220/2007 Z. z., zákona č. 279/2007 Z. z., zákona č. 295/2007 Z. z., zákona č. 309/2007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342/2007 Z. z., zákona č. 343/2007 Z. z., zákona č. 344/2007 Z. z., zákona č. 355/2007 Z. z., zákona č. 358/2007 Z. z., zákona č. 359/2007 Z. z., zákona č. 460/2007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517/2007 Z. z., zákona č. 537/2007 Z. z., zákona č. 548/2007 Z. z., zákona č. 571/2007 Z. z., zákona č. 577/2007 Z. z., zákona č. 647/2007 Z. z., zákona č. 661/2007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92/2008 Z. z., zákona č. 112/2008 Z. z., zákona č. 167/2008 Z. z., zákona č. 214/2008 Z. z., zákona č. 264/2008 Z. z., zákona č. 405/2008 Z. z., zákona č. 408/2008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451/2008 Z. z., zákona č. 465/2008 Z. z., zákona č. 495/2008 Z. z., zákona č. 514/2008 Z. z., zákona č. 8/2009 Z. z., zákona č. 45/2009 Z. z., zákona č. 188/2009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191/2009 Z. z., zákona č. 274/2009 Z. z., zákona č. 292/2009 Z. z., zákona č. 304/2009 Z. z., zákona č. 305/2009 Z. z., zákona č. 307/2009 Z. z., zákona č. 465/2009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478/2009 Z. z., zákona č. 513/2009 Z. z., zákona č. 568/2009 Z. z., zákona č. 570/2009 Z. z., zákona č. 594/2009 Z. z., zákona č. 67/2010 Z. z., zákona č. 92/2010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136/2010 Z. z., zákona č. 144/2010 Z. z., zákona č. 514/2010 Z. z., zákona č. 556/2010 Z. z., zákona č. 39/2011 Z. z., zákona č. 119/2011 Z. z., zákona č. 200/2011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223/2011 Z. z., zákona č. 254/2011 Z. z., zákona č. 256/2011 Z. z., zákona č. 258/2011 Z. z., zákona č. 254/2011 Z. z., zákona č. 256/2011 Z. z., zákona č. 258/2011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324/2011 Z. z., zákona č. 342/2011 Z. z., zákona č. 363/2011 Z. z., zákona č. 381/2011 Z. z., zákona č. 392/2011 Z. z., zákona č. 404/2011 Z. z., zákona č. 405/2011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409/2011 Z. z., zákona č. 519/2011 Z. z., zákona č. 547/2011 Z. z., zákona č. 49/2012 Z. z., zákona č. 96/2012 Z. z., zákona č. 251/2012 Z. z., zákona č. 286/2012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336/2012 Z. z., zákona č. 339/2012 Z. z., zákona č. 351/2012 Z. z., zákona č. 439/2012 Z. z., zákona č. 447/2012 Z. z., zákona č. 459/2012 Z. z., zákona č. 8/2013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39/2013 Z. z., zákona č. 40/2013 Z. z., zákona č. 72/2013 Z. z., zákona č. 75/2013 Z. z., zákona č. 94/2013 Z. z., zákona č. 96/2013 Z. z., zákona č. 122/2013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144/2013 Z. z., zákona č. 154/2013 Z. z., zákona č. 213/2013 Z. z., zákona č. 311/2013 Z. z., zákona č. 319/2013 Z. z., zákona č. 347/2013 Z. z., zákona č. 387/2013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388/2013 Z. z., zákona č. 474/2013 Z. z., zákona č. 506/2013 Z. z., zákona č. 35/2014 Z. z., zákona č. 58/2014 Z. z., zákona č. 84/2014 Z. z., zákona č. 152/2014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162/2014 Z. z., zákona č. 182/2014 Z. z., zákona č. 204/2014 Z. z., zákona č. 262/2014 Z. z., zákona č. 293/2014 Z. z., zákona č.335/2014 Z. z., zákona č. 399/2014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40/2015 Z. z., zákona č. 79/2015 Z. z. , zákona č. 120/2015 Z. z , zákona č. 128/2015 Z. z. , zákona č. 129/2015 Z. z., zákona č. 247/2015 Z. z.,  zákona č. 253/2015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259/2015 Z. z., zákona č. 262/2015 Z. z. , zákona č. 273/2015 Z. z. ,  zákona č. 387/2015 Z. z. , zákona č. 403/2015 Z. z., zákona č. 125/2016 Z. z., zákona č. 272/2016 Z. z., zákona č. 342/2016 Z. z., zákona č. 386/2016 Z. z., zákona č. 51/2017 Z. z. , zákona č. 238/2017 Z. z., zákona č. 242/2017 Z. z., zákona č. 276/2017 Z. z., zákona č. 292/2017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293/2017 Z. z. , zákona č. 336/2017 Z. .z, zákona č. 17/2018 Z. z. , zákona č. 18/2018 Z. z. , zákona č. 49/2018 Z. z., zákona č. 52/2018 Z. z., zákona č. 56/2018 Z. z., zákona č. 87/2018 Z. z., zákona č. 106/2018 Z. z., zákona č. 108/2018 Z. z., zákona č. 110/2018 Z. z., 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157/2018 Z. z.,  zákona č. 212/2018 Z. z.,  zákona č. 215/2018 Z. z., zákona č. 284/2018 Z. z. , zákona č. 312/2018 Z. z., zákona č. 346/2018 Z. z., zákona č. 9/2019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30/2019 Z. z.,  zákona č. 150/2019 Z. z., zákona č. 156/2019 Z. z., zákona č. 158/2019 Z. z., zákona č. 211/2019 Z. z., zákona č. 213/2019 Z. z., zákona č. 216/2019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 xml:space="preserve">č. 221/2019 Z. z., zákona č. 356/2019 Z. z., zákona č. 364/2019 Z. z., zákona č. 383/2019 Z. z., zákona č. 386/2019 Z. z., zákona č. 390/2019 Z. z.,  zákona č. 395/2019 Z. z., zákona </w:t>
      </w:r>
      <w:r w:rsidR="00641D3B" w:rsidRPr="00EA62CB">
        <w:rPr>
          <w:rFonts w:ascii="Times New Roman" w:hAnsi="Times New Roman" w:cs="Times New Roman"/>
          <w:sz w:val="24"/>
          <w:szCs w:val="24"/>
        </w:rPr>
        <w:br/>
      </w:r>
      <w:r w:rsidRPr="00EA62CB">
        <w:rPr>
          <w:rFonts w:ascii="Times New Roman" w:hAnsi="Times New Roman" w:cs="Times New Roman"/>
          <w:sz w:val="24"/>
          <w:szCs w:val="24"/>
        </w:rPr>
        <w:t>č. 460/2019 Z. z., zákona č. 165/2020 Z. z., zákona č. 198/2020 Z. z., zákona č. 310/2020 Z. z., zákona č. 128/2021 Z. z.</w:t>
      </w:r>
      <w:r w:rsidR="00BC2735" w:rsidRPr="00EA62CB">
        <w:rPr>
          <w:rFonts w:ascii="Times New Roman" w:hAnsi="Times New Roman" w:cs="Times New Roman"/>
          <w:sz w:val="24"/>
          <w:szCs w:val="24"/>
        </w:rPr>
        <w:t xml:space="preserve">, </w:t>
      </w:r>
      <w:r w:rsidRPr="00EA62CB">
        <w:rPr>
          <w:rFonts w:ascii="Times New Roman" w:hAnsi="Times New Roman" w:cs="Times New Roman"/>
          <w:sz w:val="24"/>
          <w:szCs w:val="24"/>
        </w:rPr>
        <w:t>zákona č. 149/2021 Z. z.</w:t>
      </w:r>
      <w:r w:rsidR="009F5FBD" w:rsidRPr="00EA62CB">
        <w:rPr>
          <w:rFonts w:ascii="Times New Roman" w:hAnsi="Times New Roman" w:cs="Times New Roman"/>
          <w:sz w:val="24"/>
          <w:szCs w:val="24"/>
        </w:rPr>
        <w:t xml:space="preserve">, </w:t>
      </w:r>
      <w:r w:rsidR="00BC2735" w:rsidRPr="00EA62CB">
        <w:rPr>
          <w:rFonts w:ascii="Times New Roman" w:hAnsi="Times New Roman" w:cs="Times New Roman"/>
          <w:sz w:val="24"/>
          <w:szCs w:val="24"/>
        </w:rPr>
        <w:t>zákona č. 259/2021 Z. z.</w:t>
      </w:r>
      <w:r w:rsidR="00BA515C" w:rsidRPr="00EA62CB">
        <w:rPr>
          <w:rFonts w:ascii="Times New Roman" w:hAnsi="Times New Roman" w:cs="Times New Roman"/>
          <w:sz w:val="24"/>
          <w:szCs w:val="24"/>
        </w:rPr>
        <w:t>,</w:t>
      </w:r>
      <w:r w:rsidR="009F5FBD" w:rsidRPr="00EA62CB">
        <w:rPr>
          <w:rFonts w:ascii="Times New Roman" w:hAnsi="Times New Roman" w:cs="Times New Roman"/>
          <w:sz w:val="24"/>
          <w:szCs w:val="24"/>
        </w:rPr>
        <w:t xml:space="preserve"> zákona </w:t>
      </w:r>
      <w:r w:rsidR="009F5FBD" w:rsidRPr="00EA62CB">
        <w:rPr>
          <w:rFonts w:ascii="Times New Roman" w:hAnsi="Times New Roman" w:cs="Times New Roman"/>
          <w:sz w:val="24"/>
          <w:szCs w:val="24"/>
        </w:rPr>
        <w:br/>
        <w:t>č. 287/2021 Z. z.</w:t>
      </w:r>
      <w:r w:rsidR="00BA515C" w:rsidRPr="00EA62CB">
        <w:rPr>
          <w:rFonts w:ascii="Times New Roman" w:hAnsi="Times New Roman" w:cs="Times New Roman"/>
          <w:sz w:val="24"/>
          <w:szCs w:val="24"/>
        </w:rPr>
        <w:t>, zákona č. 310/2021 Z. z., zákona č. 372/2021 Z. z.</w:t>
      </w:r>
      <w:r w:rsidR="00667970">
        <w:rPr>
          <w:rFonts w:ascii="Times New Roman" w:hAnsi="Times New Roman" w:cs="Times New Roman"/>
          <w:sz w:val="24"/>
          <w:szCs w:val="24"/>
        </w:rPr>
        <w:t xml:space="preserve">, </w:t>
      </w:r>
      <w:r w:rsidR="00BA515C" w:rsidRPr="00EA62CB">
        <w:rPr>
          <w:rFonts w:ascii="Times New Roman" w:hAnsi="Times New Roman" w:cs="Times New Roman"/>
          <w:sz w:val="24"/>
          <w:szCs w:val="24"/>
        </w:rPr>
        <w:t>zákona č. 378/2021 Z. z.</w:t>
      </w:r>
      <w:r w:rsidR="00667970">
        <w:rPr>
          <w:rFonts w:ascii="Times New Roman" w:hAnsi="Times New Roman" w:cs="Times New Roman"/>
          <w:sz w:val="24"/>
          <w:szCs w:val="24"/>
        </w:rPr>
        <w:t xml:space="preserve">, zákona č. 395/2021 Z. z., zákona č. 402/2021 Z. z., zákona č. 404/2021 Z. z. , zákona č. 455/2021 Z. z., zákona č. 490/2021 Z. z., zákona č. 500/2021 Z. z., zákona č. 532/2021 Z. z. a zákona č. 540/2021 Z. z. </w:t>
      </w:r>
      <w:r w:rsidRPr="00EA62CB">
        <w:rPr>
          <w:rFonts w:ascii="Times New Roman" w:hAnsi="Times New Roman" w:cs="Times New Roman"/>
          <w:sz w:val="24"/>
          <w:szCs w:val="24"/>
        </w:rPr>
        <w:t>sa mení takto:</w:t>
      </w:r>
    </w:p>
    <w:p w14:paraId="03E18BE9" w14:textId="77777777" w:rsidR="00667970" w:rsidRPr="00EA62CB" w:rsidRDefault="00667970" w:rsidP="00EA6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C10E95" w14:textId="77777777" w:rsidR="00116A92" w:rsidRPr="00EA62CB" w:rsidRDefault="00116A92" w:rsidP="00EA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CB">
        <w:rPr>
          <w:rFonts w:ascii="Times New Roman" w:hAnsi="Times New Roman" w:cs="Times New Roman"/>
          <w:sz w:val="24"/>
          <w:szCs w:val="24"/>
        </w:rPr>
        <w:t>V prílohe Sadzobník správnych poplatkov časti VIII Finančná správa a obchodná činnosť položke 154 písm. g) sa vypúšťajú slová „alebo jednorazového povolenia na dovoz obmedzených prekurzorov výbušnín podľa osobitného predpisu</w:t>
      </w:r>
      <w:r w:rsidRPr="00EA62CB">
        <w:rPr>
          <w:rFonts w:ascii="Times New Roman" w:hAnsi="Times New Roman" w:cs="Times New Roman"/>
          <w:sz w:val="24"/>
          <w:szCs w:val="24"/>
          <w:vertAlign w:val="superscript"/>
        </w:rPr>
        <w:t>36u</w:t>
      </w:r>
      <w:r w:rsidRPr="00EA62CB">
        <w:rPr>
          <w:rFonts w:ascii="Times New Roman" w:hAnsi="Times New Roman" w:cs="Times New Roman"/>
          <w:sz w:val="24"/>
          <w:szCs w:val="24"/>
        </w:rPr>
        <w:t>)“.</w:t>
      </w:r>
    </w:p>
    <w:p w14:paraId="4F595906" w14:textId="77777777" w:rsidR="00116A92" w:rsidRPr="00EA62CB" w:rsidRDefault="00D50A96" w:rsidP="00EA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CB">
        <w:rPr>
          <w:rFonts w:ascii="Times New Roman" w:hAnsi="Times New Roman" w:cs="Times New Roman"/>
          <w:sz w:val="24"/>
          <w:szCs w:val="24"/>
        </w:rPr>
        <w:t>Poznámka pod čiarou k o</w:t>
      </w:r>
      <w:r w:rsidR="00116A92" w:rsidRPr="00EA62CB">
        <w:rPr>
          <w:rFonts w:ascii="Times New Roman" w:hAnsi="Times New Roman" w:cs="Times New Roman"/>
          <w:sz w:val="24"/>
          <w:szCs w:val="24"/>
        </w:rPr>
        <w:t>dkaz</w:t>
      </w:r>
      <w:r w:rsidRPr="00EA62CB">
        <w:rPr>
          <w:rFonts w:ascii="Times New Roman" w:hAnsi="Times New Roman" w:cs="Times New Roman"/>
          <w:sz w:val="24"/>
          <w:szCs w:val="24"/>
        </w:rPr>
        <w:t>u</w:t>
      </w:r>
      <w:r w:rsidR="00116A92" w:rsidRPr="00EA62CB">
        <w:rPr>
          <w:rFonts w:ascii="Times New Roman" w:hAnsi="Times New Roman" w:cs="Times New Roman"/>
          <w:sz w:val="24"/>
          <w:szCs w:val="24"/>
        </w:rPr>
        <w:t xml:space="preserve"> 36u sa vypúšťa. </w:t>
      </w:r>
    </w:p>
    <w:p w14:paraId="31B90E6D" w14:textId="77777777" w:rsidR="00AB1C40" w:rsidRDefault="00AB1C40" w:rsidP="00EA6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36B3DDF" w14:textId="77777777" w:rsidR="00FA5493" w:rsidRDefault="00FA5493" w:rsidP="00FA5493">
      <w:pPr>
        <w:tabs>
          <w:tab w:val="left" w:pos="405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6431586B" w14:textId="77777777" w:rsidR="00FA5493" w:rsidRDefault="00FA5493" w:rsidP="00FA5493">
      <w:pPr>
        <w:tabs>
          <w:tab w:val="left" w:pos="405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19FADA" w14:textId="77777777" w:rsidR="00FA5493" w:rsidRDefault="00FA5493" w:rsidP="00FA5493">
      <w:pPr>
        <w:tabs>
          <w:tab w:val="left" w:pos="405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B97250" w14:textId="77777777" w:rsidR="00FA5493" w:rsidRDefault="00FA5493" w:rsidP="00FA5493">
      <w:pPr>
        <w:tabs>
          <w:tab w:val="left" w:pos="405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C6316DD" w14:textId="77777777" w:rsidR="00116A92" w:rsidRPr="00EA62CB" w:rsidRDefault="00FA5493" w:rsidP="00FA5493">
      <w:pPr>
        <w:tabs>
          <w:tab w:val="left" w:pos="405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116A92" w:rsidRPr="00EA62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III</w:t>
      </w:r>
    </w:p>
    <w:p w14:paraId="00711825" w14:textId="77777777" w:rsidR="00116A92" w:rsidRPr="00EA62CB" w:rsidRDefault="00116A92" w:rsidP="00EA62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B800A9" w14:textId="77777777" w:rsidR="00E662A0" w:rsidRPr="00EA62CB" w:rsidRDefault="00116A92" w:rsidP="00EA6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8356F0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7227EE"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áj</w:t>
      </w:r>
      <w:r w:rsidRPr="00EA62CB">
        <w:rPr>
          <w:rFonts w:ascii="Times New Roman" w:eastAsia="Times New Roman" w:hAnsi="Times New Roman" w:cs="Times New Roman"/>
          <w:sz w:val="24"/>
          <w:szCs w:val="24"/>
          <w:lang w:eastAsia="sk-SK"/>
        </w:rPr>
        <w:t>a 2022.</w:t>
      </w:r>
    </w:p>
    <w:p w14:paraId="66FE163B" w14:textId="24DDEBD2" w:rsidR="0039396F" w:rsidRDefault="0039396F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C9421" w14:textId="4889CF45" w:rsidR="005727CD" w:rsidRDefault="005727CD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175F6" w14:textId="5D03C1E7" w:rsidR="005727CD" w:rsidRDefault="005727CD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32AE9B" w14:textId="77777777" w:rsidR="005727CD" w:rsidRDefault="005727CD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A95B01" w14:textId="77777777" w:rsidR="005727CD" w:rsidRPr="00434A78" w:rsidRDefault="005727CD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B2C2B0" w14:textId="77777777" w:rsidR="005727CD" w:rsidRPr="005727CD" w:rsidRDefault="005727CD" w:rsidP="005727C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E3C10A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7CD">
        <w:rPr>
          <w:rFonts w:ascii="Times New Roman" w:eastAsia="Calibri" w:hAnsi="Times New Roman" w:cs="Times New Roman"/>
          <w:sz w:val="24"/>
          <w:szCs w:val="24"/>
        </w:rPr>
        <w:tab/>
      </w:r>
      <w:r w:rsidRPr="005727CD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72717412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7ED5C5" w14:textId="463A5917" w:rsid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789CB3" w14:textId="7A88247D" w:rsid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ECBBFB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BAA86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29CD38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29E9C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7B822A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D67A4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7CD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13BDC504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3BD409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25633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F1E953" w14:textId="4D089794" w:rsid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ABF3E9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90E64D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DFE6F2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ABBCFC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7DFF1E" w14:textId="77777777" w:rsidR="005727CD" w:rsidRPr="005727CD" w:rsidRDefault="005727CD" w:rsidP="005727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7CD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p w14:paraId="3CA7BBAC" w14:textId="77777777" w:rsidR="0039396F" w:rsidRPr="00E52826" w:rsidRDefault="001C56B3" w:rsidP="008C250D">
      <w:pPr>
        <w:spacing w:after="0"/>
        <w:ind w:left="778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  <w:r w:rsidR="00AB1C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</w:t>
      </w:r>
      <w:r w:rsidR="0039396F"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</w:t>
      </w:r>
    </w:p>
    <w:p w14:paraId="09D79CBD" w14:textId="77777777" w:rsidR="00E52826" w:rsidRPr="00E52826" w:rsidRDefault="00E52826" w:rsidP="00AB1C4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</w:t>
      </w: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zákonu č</w:t>
      </w:r>
      <w:r w:rsidR="00AB14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8E2B1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262/2014</w:t>
      </w: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Z.</w:t>
      </w:r>
      <w:r w:rsidR="006F2F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</w:t>
      </w:r>
    </w:p>
    <w:p w14:paraId="2FA4BDAD" w14:textId="77777777" w:rsidR="001C56B3" w:rsidRPr="00AB1C40" w:rsidRDefault="002500AB" w:rsidP="001C56B3">
      <w:pPr>
        <w:rPr>
          <w:rFonts w:ascii="Times New Roman" w:eastAsia="Calibri" w:hAnsi="Times New Roman" w:cs="Times New Roman"/>
          <w:sz w:val="24"/>
          <w:szCs w:val="24"/>
        </w:rPr>
      </w:pPr>
      <w:r w:rsidRPr="00810AB1">
        <w:rPr>
          <w:rFonts w:ascii="Times New Roman" w:eastAsia="Times New Roman" w:hAnsi="Times New Roman" w:cs="Times New Roman"/>
          <w:sz w:val="24"/>
          <w:szCs w:val="24"/>
        </w:rPr>
        <w:t>Látkové množstvo pre každý obmedzený prekurzor výbušnín, ktoré sa na účely tohto zákona považuje za nepatrn</w:t>
      </w:r>
      <w:r w:rsidRPr="00AB1C40">
        <w:rPr>
          <w:rFonts w:ascii="Times New Roman" w:eastAsia="Times New Roman" w:hAnsi="Times New Roman" w:cs="Times New Roman"/>
          <w:sz w:val="24"/>
          <w:szCs w:val="24"/>
        </w:rPr>
        <w:t>é množstvo</w:t>
      </w:r>
      <w:r w:rsidRPr="00AB1C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Mriekatabuky1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1C56B3" w:rsidRPr="00810AB1" w14:paraId="1E3F6F58" w14:textId="77777777" w:rsidTr="00B046C4">
        <w:tc>
          <w:tcPr>
            <w:tcW w:w="3117" w:type="dxa"/>
          </w:tcPr>
          <w:p w14:paraId="5E0D6678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Stĺpec 1</w:t>
            </w:r>
          </w:p>
          <w:p w14:paraId="4320F484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Systematický názov látky</w:t>
            </w:r>
          </w:p>
          <w:p w14:paraId="62514D82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Registračné číslo </w:t>
            </w:r>
            <w:proofErr w:type="spellStart"/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Chemical</w:t>
            </w:r>
            <w:proofErr w:type="spellEnd"/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Service (CAS)</w:t>
            </w:r>
          </w:p>
        </w:tc>
        <w:tc>
          <w:tcPr>
            <w:tcW w:w="3117" w:type="dxa"/>
          </w:tcPr>
          <w:p w14:paraId="64176118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Stĺpec 2</w:t>
            </w:r>
          </w:p>
          <w:p w14:paraId="6FF4D2FF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Prahová hodnota koncentrácie vyjadrená hmotnostným zlomkom </w:t>
            </w:r>
          </w:p>
          <w:p w14:paraId="1E4F7574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3117" w:type="dxa"/>
          </w:tcPr>
          <w:p w14:paraId="69599D82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Stĺpec 3</w:t>
            </w:r>
          </w:p>
          <w:p w14:paraId="2DFC712C" w14:textId="77777777" w:rsidR="001C56B3" w:rsidRPr="00810AB1" w:rsidRDefault="001C56B3" w:rsidP="001C5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Látkové množstvo</w:t>
            </w:r>
            <w:r w:rsidR="003B7898" w:rsidRPr="00810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</w:t>
            </w:r>
            <w:r w:rsidR="001B6151" w:rsidRPr="00810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važované za nepatrné množstvo </w:t>
            </w:r>
            <w:r w:rsidR="003B7898" w:rsidRPr="00810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0A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8E82DF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kmol</w:t>
            </w:r>
            <w:proofErr w:type="spellEnd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</w:tr>
      <w:tr w:rsidR="001C56B3" w:rsidRPr="00810AB1" w14:paraId="0A3ADB7E" w14:textId="77777777" w:rsidTr="00B046C4">
        <w:tc>
          <w:tcPr>
            <w:tcW w:w="3117" w:type="dxa"/>
          </w:tcPr>
          <w:p w14:paraId="029F3DA4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Kyselina dusičná</w:t>
            </w:r>
          </w:p>
          <w:p w14:paraId="320C78AC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7697-37-2</w:t>
            </w:r>
          </w:p>
        </w:tc>
        <w:tc>
          <w:tcPr>
            <w:tcW w:w="3117" w:type="dxa"/>
            <w:vAlign w:val="center"/>
          </w:tcPr>
          <w:p w14:paraId="237E2BE4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3,00 vo vzťahu k hmotnosti látky</w:t>
            </w:r>
          </w:p>
        </w:tc>
        <w:tc>
          <w:tcPr>
            <w:tcW w:w="3117" w:type="dxa"/>
            <w:vAlign w:val="center"/>
          </w:tcPr>
          <w:p w14:paraId="3A66864C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0,160</w:t>
            </w:r>
          </w:p>
        </w:tc>
      </w:tr>
      <w:tr w:rsidR="001C56B3" w:rsidRPr="00810AB1" w14:paraId="18E4B766" w14:textId="77777777" w:rsidTr="00B046C4">
        <w:tc>
          <w:tcPr>
            <w:tcW w:w="3117" w:type="dxa"/>
          </w:tcPr>
          <w:p w14:paraId="0F032800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Peroxid vodíka</w:t>
            </w:r>
          </w:p>
          <w:p w14:paraId="07223676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7722-84-1</w:t>
            </w:r>
          </w:p>
        </w:tc>
        <w:tc>
          <w:tcPr>
            <w:tcW w:w="3117" w:type="dxa"/>
            <w:vAlign w:val="center"/>
          </w:tcPr>
          <w:p w14:paraId="468FF1A8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12,00 vo vzťahu k hmotnosti látky</w:t>
            </w:r>
          </w:p>
        </w:tc>
        <w:tc>
          <w:tcPr>
            <w:tcW w:w="3117" w:type="dxa"/>
            <w:vAlign w:val="center"/>
          </w:tcPr>
          <w:p w14:paraId="1B369AFE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</w:tr>
      <w:tr w:rsidR="001C56B3" w:rsidRPr="00810AB1" w14:paraId="5FDAF7B2" w14:textId="77777777" w:rsidTr="00B046C4">
        <w:tc>
          <w:tcPr>
            <w:tcW w:w="3117" w:type="dxa"/>
          </w:tcPr>
          <w:p w14:paraId="195C9594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Kyselina sírová</w:t>
            </w:r>
          </w:p>
          <w:p w14:paraId="0FE31A39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7664-93-9</w:t>
            </w:r>
          </w:p>
        </w:tc>
        <w:tc>
          <w:tcPr>
            <w:tcW w:w="3117" w:type="dxa"/>
            <w:vAlign w:val="center"/>
          </w:tcPr>
          <w:p w14:paraId="1671ACD0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15,00 vo vzťahu k hmotnosti látky</w:t>
            </w:r>
          </w:p>
        </w:tc>
        <w:tc>
          <w:tcPr>
            <w:tcW w:w="3117" w:type="dxa"/>
            <w:vAlign w:val="center"/>
          </w:tcPr>
          <w:p w14:paraId="21FF7291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0,100</w:t>
            </w:r>
          </w:p>
        </w:tc>
      </w:tr>
      <w:tr w:rsidR="001C56B3" w:rsidRPr="00810AB1" w14:paraId="0FED9082" w14:textId="77777777" w:rsidTr="00B046C4">
        <w:tc>
          <w:tcPr>
            <w:tcW w:w="3117" w:type="dxa"/>
          </w:tcPr>
          <w:p w14:paraId="6E5D4B64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Nitrometán</w:t>
            </w:r>
            <w:proofErr w:type="spellEnd"/>
          </w:p>
          <w:p w14:paraId="0C223278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75-52-5</w:t>
            </w:r>
          </w:p>
        </w:tc>
        <w:tc>
          <w:tcPr>
            <w:tcW w:w="3117" w:type="dxa"/>
            <w:vAlign w:val="center"/>
          </w:tcPr>
          <w:p w14:paraId="16F6D1E1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16,00 vo vzťahu k hmotnosti látky</w:t>
            </w:r>
          </w:p>
        </w:tc>
        <w:tc>
          <w:tcPr>
            <w:tcW w:w="3117" w:type="dxa"/>
            <w:vAlign w:val="center"/>
          </w:tcPr>
          <w:p w14:paraId="15DE65A1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0,060</w:t>
            </w:r>
          </w:p>
        </w:tc>
      </w:tr>
      <w:tr w:rsidR="001C56B3" w:rsidRPr="00810AB1" w14:paraId="2E4BB144" w14:textId="77777777" w:rsidTr="00B046C4">
        <w:tc>
          <w:tcPr>
            <w:tcW w:w="3117" w:type="dxa"/>
          </w:tcPr>
          <w:p w14:paraId="27CD757D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Dusičnan amónny</w:t>
            </w:r>
          </w:p>
          <w:p w14:paraId="102100F9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6484-52-2</w:t>
            </w:r>
          </w:p>
        </w:tc>
        <w:tc>
          <w:tcPr>
            <w:tcW w:w="3117" w:type="dxa"/>
            <w:vAlign w:val="center"/>
          </w:tcPr>
          <w:p w14:paraId="5D2F0BA6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16,00 obsah dusíka vo vzťahu k hmotnosti dusičnanu amónneho</w:t>
            </w:r>
          </w:p>
        </w:tc>
        <w:tc>
          <w:tcPr>
            <w:tcW w:w="3117" w:type="dxa"/>
            <w:vAlign w:val="center"/>
          </w:tcPr>
          <w:p w14:paraId="70DECC2C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0,070</w:t>
            </w:r>
          </w:p>
        </w:tc>
      </w:tr>
      <w:tr w:rsidR="001C56B3" w:rsidRPr="00810AB1" w14:paraId="72D0D417" w14:textId="77777777" w:rsidTr="00B046C4">
        <w:tc>
          <w:tcPr>
            <w:tcW w:w="3117" w:type="dxa"/>
          </w:tcPr>
          <w:p w14:paraId="28DC4C28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Chlorečnan draselný</w:t>
            </w:r>
          </w:p>
          <w:p w14:paraId="266254D4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3811-04-9</w:t>
            </w:r>
          </w:p>
        </w:tc>
        <w:tc>
          <w:tcPr>
            <w:tcW w:w="3117" w:type="dxa"/>
            <w:vAlign w:val="center"/>
          </w:tcPr>
          <w:p w14:paraId="255D08A2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14:paraId="7D20EA7E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  <w:tr w:rsidR="001C56B3" w:rsidRPr="00810AB1" w14:paraId="13545ADC" w14:textId="77777777" w:rsidTr="00B046C4">
        <w:tc>
          <w:tcPr>
            <w:tcW w:w="3117" w:type="dxa"/>
          </w:tcPr>
          <w:p w14:paraId="50655AFC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Chloristan</w:t>
            </w:r>
            <w:proofErr w:type="spellEnd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draselný</w:t>
            </w:r>
          </w:p>
          <w:p w14:paraId="5B604D49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7778-74-7</w:t>
            </w:r>
          </w:p>
        </w:tc>
        <w:tc>
          <w:tcPr>
            <w:tcW w:w="3117" w:type="dxa"/>
            <w:vAlign w:val="center"/>
          </w:tcPr>
          <w:p w14:paraId="1881DE43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14:paraId="493863AA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  <w:tr w:rsidR="001C56B3" w:rsidRPr="00810AB1" w14:paraId="14DA175A" w14:textId="77777777" w:rsidTr="00B046C4">
        <w:tc>
          <w:tcPr>
            <w:tcW w:w="3117" w:type="dxa"/>
          </w:tcPr>
          <w:p w14:paraId="262E6531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Chlorečnan sodný</w:t>
            </w:r>
          </w:p>
          <w:p w14:paraId="5CECD646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7775-09-9</w:t>
            </w:r>
          </w:p>
        </w:tc>
        <w:tc>
          <w:tcPr>
            <w:tcW w:w="3117" w:type="dxa"/>
            <w:vAlign w:val="center"/>
          </w:tcPr>
          <w:p w14:paraId="04E53498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14:paraId="681F53AE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  <w:tr w:rsidR="001C56B3" w:rsidRPr="00810AB1" w14:paraId="316390ED" w14:textId="77777777" w:rsidTr="00B046C4">
        <w:tc>
          <w:tcPr>
            <w:tcW w:w="3117" w:type="dxa"/>
          </w:tcPr>
          <w:p w14:paraId="0DBE82B5" w14:textId="77777777" w:rsidR="001C56B3" w:rsidRPr="00810AB1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Chloristan</w:t>
            </w:r>
            <w:proofErr w:type="spellEnd"/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sodný</w:t>
            </w:r>
          </w:p>
          <w:p w14:paraId="60A91745" w14:textId="77777777" w:rsidR="001C56B3" w:rsidRPr="0075694D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4D">
              <w:rPr>
                <w:rFonts w:ascii="Times New Roman" w:eastAsia="Calibri" w:hAnsi="Times New Roman" w:cs="Times New Roman"/>
                <w:sz w:val="24"/>
                <w:szCs w:val="24"/>
              </w:rPr>
              <w:t>7601-89-0</w:t>
            </w:r>
          </w:p>
        </w:tc>
        <w:tc>
          <w:tcPr>
            <w:tcW w:w="3117" w:type="dxa"/>
            <w:vAlign w:val="center"/>
          </w:tcPr>
          <w:p w14:paraId="51EE90C6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14:paraId="4834EC8C" w14:textId="77777777" w:rsidR="001C56B3" w:rsidRPr="00810AB1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B1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</w:tbl>
    <w:p w14:paraId="53BB944F" w14:textId="77777777" w:rsidR="001C56B3" w:rsidRPr="00810AB1" w:rsidRDefault="001C56B3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358E16" w14:textId="77777777" w:rsidR="0039396F" w:rsidRDefault="0039396F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98D7B4" w14:textId="77777777" w:rsidR="0039396F" w:rsidRDefault="0039396F" w:rsidP="00116A92"/>
    <w:sectPr w:rsidR="0039396F" w:rsidSect="004E095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D8BF6" w14:textId="77777777" w:rsidR="00F347F4" w:rsidRDefault="00F347F4" w:rsidP="00CD234E">
      <w:pPr>
        <w:spacing w:after="0" w:line="240" w:lineRule="auto"/>
      </w:pPr>
      <w:r>
        <w:separator/>
      </w:r>
    </w:p>
  </w:endnote>
  <w:endnote w:type="continuationSeparator" w:id="0">
    <w:p w14:paraId="6EA84B41" w14:textId="77777777" w:rsidR="00F347F4" w:rsidRDefault="00F347F4" w:rsidP="00CD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436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9A96BA" w14:textId="22E786A5" w:rsidR="004E095A" w:rsidRPr="004E095A" w:rsidRDefault="004E095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09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09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09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754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E09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954EDC" w14:textId="77777777" w:rsidR="004E095A" w:rsidRDefault="004E09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AF15" w14:textId="77777777" w:rsidR="00F347F4" w:rsidRDefault="00F347F4" w:rsidP="00CD234E">
      <w:pPr>
        <w:spacing w:after="0" w:line="240" w:lineRule="auto"/>
      </w:pPr>
      <w:r>
        <w:separator/>
      </w:r>
    </w:p>
  </w:footnote>
  <w:footnote w:type="continuationSeparator" w:id="0">
    <w:p w14:paraId="6F43E1B9" w14:textId="77777777" w:rsidR="00F347F4" w:rsidRDefault="00F347F4" w:rsidP="00CD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F2F"/>
    <w:multiLevelType w:val="hybridMultilevel"/>
    <w:tmpl w:val="B3263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5F54"/>
    <w:multiLevelType w:val="hybridMultilevel"/>
    <w:tmpl w:val="0BB45E9E"/>
    <w:lvl w:ilvl="0" w:tplc="1B4454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B22"/>
    <w:multiLevelType w:val="hybridMultilevel"/>
    <w:tmpl w:val="1CFA2C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6C6E"/>
    <w:multiLevelType w:val="hybridMultilevel"/>
    <w:tmpl w:val="4D52A45E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8C31A0"/>
    <w:multiLevelType w:val="hybridMultilevel"/>
    <w:tmpl w:val="B2F88B24"/>
    <w:lvl w:ilvl="0" w:tplc="360A7898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15E762D3"/>
    <w:multiLevelType w:val="hybridMultilevel"/>
    <w:tmpl w:val="40F0895A"/>
    <w:lvl w:ilvl="0" w:tplc="124A2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2664"/>
    <w:multiLevelType w:val="hybridMultilevel"/>
    <w:tmpl w:val="B284F9AE"/>
    <w:lvl w:ilvl="0" w:tplc="1E063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62C7"/>
    <w:multiLevelType w:val="hybridMultilevel"/>
    <w:tmpl w:val="800E2E5A"/>
    <w:lvl w:ilvl="0" w:tplc="94703854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8E53EF"/>
    <w:multiLevelType w:val="hybridMultilevel"/>
    <w:tmpl w:val="37402542"/>
    <w:lvl w:ilvl="0" w:tplc="134CB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86D1E"/>
    <w:multiLevelType w:val="hybridMultilevel"/>
    <w:tmpl w:val="647423B4"/>
    <w:lvl w:ilvl="0" w:tplc="8ED28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52BC"/>
    <w:multiLevelType w:val="hybridMultilevel"/>
    <w:tmpl w:val="46024860"/>
    <w:lvl w:ilvl="0" w:tplc="146821B8">
      <w:start w:val="1"/>
      <w:numFmt w:val="decimal"/>
      <w:lvlText w:val="%1."/>
      <w:lvlJc w:val="left"/>
      <w:pPr>
        <w:ind w:left="1077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1" w15:restartNumberingAfterBreak="0">
    <w:nsid w:val="47A2656B"/>
    <w:multiLevelType w:val="hybridMultilevel"/>
    <w:tmpl w:val="1F067B38"/>
    <w:lvl w:ilvl="0" w:tplc="802452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440314"/>
    <w:multiLevelType w:val="hybridMultilevel"/>
    <w:tmpl w:val="9C087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6360"/>
    <w:multiLevelType w:val="hybridMultilevel"/>
    <w:tmpl w:val="4ADC39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CD42FD"/>
    <w:multiLevelType w:val="hybridMultilevel"/>
    <w:tmpl w:val="1EA8809C"/>
    <w:lvl w:ilvl="0" w:tplc="135609DC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7042BA"/>
    <w:multiLevelType w:val="hybridMultilevel"/>
    <w:tmpl w:val="30EC4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C71"/>
    <w:multiLevelType w:val="hybridMultilevel"/>
    <w:tmpl w:val="11C29F6A"/>
    <w:lvl w:ilvl="0" w:tplc="EAB81D22">
      <w:start w:val="19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41434"/>
    <w:multiLevelType w:val="hybridMultilevel"/>
    <w:tmpl w:val="98EC167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E864E3"/>
    <w:multiLevelType w:val="hybridMultilevel"/>
    <w:tmpl w:val="CC3E0D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93770"/>
    <w:multiLevelType w:val="hybridMultilevel"/>
    <w:tmpl w:val="F91AEE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42F81"/>
    <w:multiLevelType w:val="hybridMultilevel"/>
    <w:tmpl w:val="2AE05502"/>
    <w:lvl w:ilvl="0" w:tplc="BE44DD4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B509C"/>
    <w:multiLevelType w:val="hybridMultilevel"/>
    <w:tmpl w:val="E0EAF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8904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8"/>
  </w:num>
  <w:num w:numId="12">
    <w:abstractNumId w:val="13"/>
  </w:num>
  <w:num w:numId="13">
    <w:abstractNumId w:val="19"/>
  </w:num>
  <w:num w:numId="14">
    <w:abstractNumId w:val="1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6"/>
  </w:num>
  <w:num w:numId="20">
    <w:abstractNumId w:val="0"/>
  </w:num>
  <w:num w:numId="21">
    <w:abstractNumId w:val="21"/>
  </w:num>
  <w:num w:numId="22">
    <w:abstractNumId w:val="15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2"/>
    <w:rsid w:val="000472F4"/>
    <w:rsid w:val="00066022"/>
    <w:rsid w:val="00080B78"/>
    <w:rsid w:val="000A13D1"/>
    <w:rsid w:val="000C231D"/>
    <w:rsid w:val="000E001C"/>
    <w:rsid w:val="000F2DC3"/>
    <w:rsid w:val="000F43EA"/>
    <w:rsid w:val="000F5038"/>
    <w:rsid w:val="000F7AC4"/>
    <w:rsid w:val="00100AE7"/>
    <w:rsid w:val="00116A92"/>
    <w:rsid w:val="00141F22"/>
    <w:rsid w:val="00156347"/>
    <w:rsid w:val="00164BA0"/>
    <w:rsid w:val="001761C6"/>
    <w:rsid w:val="001B6151"/>
    <w:rsid w:val="001C56B3"/>
    <w:rsid w:val="001C6F34"/>
    <w:rsid w:val="001D0988"/>
    <w:rsid w:val="001F1A0C"/>
    <w:rsid w:val="00201746"/>
    <w:rsid w:val="002025A6"/>
    <w:rsid w:val="00202E22"/>
    <w:rsid w:val="002500AB"/>
    <w:rsid w:val="00273783"/>
    <w:rsid w:val="002824CF"/>
    <w:rsid w:val="002B6727"/>
    <w:rsid w:val="002F654A"/>
    <w:rsid w:val="00304314"/>
    <w:rsid w:val="00312859"/>
    <w:rsid w:val="003131E5"/>
    <w:rsid w:val="00314B4D"/>
    <w:rsid w:val="0032568D"/>
    <w:rsid w:val="00353E90"/>
    <w:rsid w:val="00362A8E"/>
    <w:rsid w:val="00365BE7"/>
    <w:rsid w:val="003753D0"/>
    <w:rsid w:val="003816A2"/>
    <w:rsid w:val="0039396F"/>
    <w:rsid w:val="003A6D83"/>
    <w:rsid w:val="003B7898"/>
    <w:rsid w:val="003C6B24"/>
    <w:rsid w:val="003D2A80"/>
    <w:rsid w:val="003D6CE2"/>
    <w:rsid w:val="003E36ED"/>
    <w:rsid w:val="003E4ECC"/>
    <w:rsid w:val="003F0793"/>
    <w:rsid w:val="003F175D"/>
    <w:rsid w:val="003F7915"/>
    <w:rsid w:val="0041353F"/>
    <w:rsid w:val="00423921"/>
    <w:rsid w:val="00434A78"/>
    <w:rsid w:val="00447282"/>
    <w:rsid w:val="0046001A"/>
    <w:rsid w:val="00477A81"/>
    <w:rsid w:val="00490190"/>
    <w:rsid w:val="004931CD"/>
    <w:rsid w:val="004965C7"/>
    <w:rsid w:val="004D5DB2"/>
    <w:rsid w:val="004E095A"/>
    <w:rsid w:val="004E501D"/>
    <w:rsid w:val="004F6040"/>
    <w:rsid w:val="00501332"/>
    <w:rsid w:val="00504DC8"/>
    <w:rsid w:val="00511182"/>
    <w:rsid w:val="00531ADD"/>
    <w:rsid w:val="00543F0A"/>
    <w:rsid w:val="00556C8C"/>
    <w:rsid w:val="0057069E"/>
    <w:rsid w:val="005727CD"/>
    <w:rsid w:val="00626633"/>
    <w:rsid w:val="0062681D"/>
    <w:rsid w:val="00641D3B"/>
    <w:rsid w:val="00660837"/>
    <w:rsid w:val="00664A22"/>
    <w:rsid w:val="006678DD"/>
    <w:rsid w:val="00667970"/>
    <w:rsid w:val="006706E2"/>
    <w:rsid w:val="00672FC8"/>
    <w:rsid w:val="006846F5"/>
    <w:rsid w:val="00693685"/>
    <w:rsid w:val="006B4960"/>
    <w:rsid w:val="006B5BB4"/>
    <w:rsid w:val="006D62B8"/>
    <w:rsid w:val="006F2F21"/>
    <w:rsid w:val="007136C4"/>
    <w:rsid w:val="007227EE"/>
    <w:rsid w:val="00724ABB"/>
    <w:rsid w:val="00727D56"/>
    <w:rsid w:val="0074119A"/>
    <w:rsid w:val="0074455D"/>
    <w:rsid w:val="00746711"/>
    <w:rsid w:val="0075694D"/>
    <w:rsid w:val="007602B8"/>
    <w:rsid w:val="007778A7"/>
    <w:rsid w:val="007959B1"/>
    <w:rsid w:val="0079757F"/>
    <w:rsid w:val="007A2C97"/>
    <w:rsid w:val="007A4A3F"/>
    <w:rsid w:val="007B4B0C"/>
    <w:rsid w:val="007D208A"/>
    <w:rsid w:val="007E0EB9"/>
    <w:rsid w:val="00810AB1"/>
    <w:rsid w:val="0082519E"/>
    <w:rsid w:val="008348B6"/>
    <w:rsid w:val="008356F0"/>
    <w:rsid w:val="00837696"/>
    <w:rsid w:val="00837B4B"/>
    <w:rsid w:val="00846E74"/>
    <w:rsid w:val="00892FAE"/>
    <w:rsid w:val="008964BD"/>
    <w:rsid w:val="008C002D"/>
    <w:rsid w:val="008C250D"/>
    <w:rsid w:val="008C2E84"/>
    <w:rsid w:val="008C313F"/>
    <w:rsid w:val="008E2B1D"/>
    <w:rsid w:val="008E6783"/>
    <w:rsid w:val="008F65C9"/>
    <w:rsid w:val="009007CE"/>
    <w:rsid w:val="00912E9C"/>
    <w:rsid w:val="00922A2D"/>
    <w:rsid w:val="009309F8"/>
    <w:rsid w:val="00951C71"/>
    <w:rsid w:val="00961D59"/>
    <w:rsid w:val="00972537"/>
    <w:rsid w:val="009B50DD"/>
    <w:rsid w:val="009C7A74"/>
    <w:rsid w:val="009D4DED"/>
    <w:rsid w:val="009F5FBD"/>
    <w:rsid w:val="00A01613"/>
    <w:rsid w:val="00A031C7"/>
    <w:rsid w:val="00A1169D"/>
    <w:rsid w:val="00A14A25"/>
    <w:rsid w:val="00A33039"/>
    <w:rsid w:val="00A44A33"/>
    <w:rsid w:val="00A532CD"/>
    <w:rsid w:val="00A67F60"/>
    <w:rsid w:val="00A73BF7"/>
    <w:rsid w:val="00A96D48"/>
    <w:rsid w:val="00AA1DF0"/>
    <w:rsid w:val="00AA2921"/>
    <w:rsid w:val="00AA5DD3"/>
    <w:rsid w:val="00AB1485"/>
    <w:rsid w:val="00AB1C40"/>
    <w:rsid w:val="00AB6946"/>
    <w:rsid w:val="00AD3C58"/>
    <w:rsid w:val="00AE6859"/>
    <w:rsid w:val="00AF4566"/>
    <w:rsid w:val="00B042B7"/>
    <w:rsid w:val="00B046C4"/>
    <w:rsid w:val="00B23FBA"/>
    <w:rsid w:val="00B47EC2"/>
    <w:rsid w:val="00B768A5"/>
    <w:rsid w:val="00B832DF"/>
    <w:rsid w:val="00BA2A44"/>
    <w:rsid w:val="00BA515C"/>
    <w:rsid w:val="00BB097F"/>
    <w:rsid w:val="00BB2C34"/>
    <w:rsid w:val="00BB3915"/>
    <w:rsid w:val="00BB3C7C"/>
    <w:rsid w:val="00BB5688"/>
    <w:rsid w:val="00BC2735"/>
    <w:rsid w:val="00C0045A"/>
    <w:rsid w:val="00C05E1F"/>
    <w:rsid w:val="00C06970"/>
    <w:rsid w:val="00C1255A"/>
    <w:rsid w:val="00C22763"/>
    <w:rsid w:val="00C2683F"/>
    <w:rsid w:val="00C4735F"/>
    <w:rsid w:val="00C51269"/>
    <w:rsid w:val="00C530A3"/>
    <w:rsid w:val="00C65FCE"/>
    <w:rsid w:val="00CD234E"/>
    <w:rsid w:val="00CD42D2"/>
    <w:rsid w:val="00CF2CDB"/>
    <w:rsid w:val="00D17B4E"/>
    <w:rsid w:val="00D217E4"/>
    <w:rsid w:val="00D46FE2"/>
    <w:rsid w:val="00D50A96"/>
    <w:rsid w:val="00D54AAC"/>
    <w:rsid w:val="00D844B5"/>
    <w:rsid w:val="00D90D18"/>
    <w:rsid w:val="00DB7845"/>
    <w:rsid w:val="00DB7E2B"/>
    <w:rsid w:val="00DC0262"/>
    <w:rsid w:val="00DE00C0"/>
    <w:rsid w:val="00DE3550"/>
    <w:rsid w:val="00DE38DF"/>
    <w:rsid w:val="00E163F2"/>
    <w:rsid w:val="00E42949"/>
    <w:rsid w:val="00E52826"/>
    <w:rsid w:val="00E56D3C"/>
    <w:rsid w:val="00E662A0"/>
    <w:rsid w:val="00EA044D"/>
    <w:rsid w:val="00EA4D5F"/>
    <w:rsid w:val="00EA62CB"/>
    <w:rsid w:val="00EA7FE8"/>
    <w:rsid w:val="00EB1488"/>
    <w:rsid w:val="00EB7DAE"/>
    <w:rsid w:val="00EC200E"/>
    <w:rsid w:val="00ED0935"/>
    <w:rsid w:val="00ED23CE"/>
    <w:rsid w:val="00F03EE5"/>
    <w:rsid w:val="00F1751B"/>
    <w:rsid w:val="00F21A7F"/>
    <w:rsid w:val="00F24BDD"/>
    <w:rsid w:val="00F33AFB"/>
    <w:rsid w:val="00F33B7E"/>
    <w:rsid w:val="00F347F4"/>
    <w:rsid w:val="00F40A10"/>
    <w:rsid w:val="00F63F90"/>
    <w:rsid w:val="00F875EB"/>
    <w:rsid w:val="00FA20A8"/>
    <w:rsid w:val="00FA5493"/>
    <w:rsid w:val="00FB543A"/>
    <w:rsid w:val="00FC3D47"/>
    <w:rsid w:val="00FD1C11"/>
    <w:rsid w:val="00FD5586"/>
    <w:rsid w:val="00FE0668"/>
    <w:rsid w:val="00FE56DF"/>
    <w:rsid w:val="00FE7A8E"/>
    <w:rsid w:val="00FF20DB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86CE"/>
  <w15:docId w15:val="{E8D0EE41-AD7E-424E-ACBE-4822D19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A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85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23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23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234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17B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7B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7B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7B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7B4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B4E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1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C200E"/>
    <w:pPr>
      <w:spacing w:after="0" w:line="240" w:lineRule="auto"/>
    </w:pPr>
    <w:rPr>
      <w:rFonts w:ascii="Calibri" w:eastAsia="Times New Roman" w:hAnsi="Calibri" w:cs="Times New Roman"/>
    </w:rPr>
  </w:style>
  <w:style w:type="paragraph" w:styleId="Revzia">
    <w:name w:val="Revision"/>
    <w:hidden/>
    <w:uiPriority w:val="99"/>
    <w:semiHidden/>
    <w:rsid w:val="00202E22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961D59"/>
    <w:pPr>
      <w:spacing w:after="0" w:line="240" w:lineRule="auto"/>
      <w:jc w:val="both"/>
    </w:pPr>
    <w:rPr>
      <w:rFonts w:ascii="Arial Narrow" w:eastAsia="Calibri" w:hAnsi="Arial Narrow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61D59"/>
    <w:rPr>
      <w:rFonts w:ascii="Arial Narrow" w:eastAsia="Calibri" w:hAnsi="Arial Narrow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095A"/>
  </w:style>
  <w:style w:type="paragraph" w:styleId="Pta">
    <w:name w:val="footer"/>
    <w:basedOn w:val="Normlny"/>
    <w:link w:val="PtaChar"/>
    <w:uiPriority w:val="99"/>
    <w:unhideWhenUsed/>
    <w:rsid w:val="004E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809B-B631-4149-9C68-58AAA962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Švorcová, Veronika</cp:lastModifiedBy>
  <cp:revision>3</cp:revision>
  <cp:lastPrinted>2022-03-18T08:29:00Z</cp:lastPrinted>
  <dcterms:created xsi:type="dcterms:W3CDTF">2022-03-18T08:29:00Z</dcterms:created>
  <dcterms:modified xsi:type="dcterms:W3CDTF">2022-03-18T13:56:00Z</dcterms:modified>
</cp:coreProperties>
</file>