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B52C" w14:textId="77777777" w:rsidR="00C37254" w:rsidRDefault="00C37254" w:rsidP="00663292">
      <w:pPr>
        <w:jc w:val="center"/>
        <w:rPr>
          <w:rFonts w:cs="Arial"/>
          <w:b/>
          <w:bCs/>
        </w:rPr>
      </w:pPr>
    </w:p>
    <w:p w14:paraId="07CBD681" w14:textId="243CF3E1" w:rsidR="00BD4C06" w:rsidRDefault="00BD4C06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5164C625" w14:textId="78E42FB3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6506D764" w14:textId="1B0F347F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315DBF02" w14:textId="387C7021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18E66F8B" w14:textId="1C7BAD3A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4FB14BC8" w14:textId="29CB40CC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7581AAAC" w14:textId="71484B92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7D8825EF" w14:textId="06F83A11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7BD84583" w14:textId="6B7F5A6F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0FBD4B63" w14:textId="6A168B63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7DEE4F18" w14:textId="21F3ED1A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25DBC64E" w14:textId="63E838BF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5ED5D1F9" w14:textId="77777777" w:rsidR="003178B7" w:rsidRDefault="003178B7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6AE3F791" w14:textId="78A3DC9D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41537E07" w14:textId="1E0F1C18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24528097" w14:textId="146B806F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7B2AD173" w14:textId="18F02CCB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50F32E1A" w14:textId="3AA6DB9B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2E43A399" w14:textId="77777777" w:rsidR="00C37254" w:rsidRDefault="00C37254" w:rsidP="00BD4C06">
      <w:pPr>
        <w:pStyle w:val="Standard"/>
        <w:keepNext/>
        <w:keepLines/>
        <w:contextualSpacing/>
        <w:jc w:val="center"/>
        <w:outlineLvl w:val="0"/>
        <w:rPr>
          <w:rFonts w:cs="Times New Roman"/>
          <w:b/>
          <w:bCs/>
          <w:szCs w:val="28"/>
          <w:lang w:eastAsia="sk-SK"/>
        </w:rPr>
      </w:pPr>
    </w:p>
    <w:p w14:paraId="33B5EAA6" w14:textId="75B0B726" w:rsidR="009162F1" w:rsidRDefault="009162F1" w:rsidP="00BD4C06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  <w:r>
        <w:rPr>
          <w:rFonts w:eastAsia="Times New Roman" w:cs="Times New Roman"/>
          <w:bCs/>
          <w:szCs w:val="28"/>
          <w:lang w:eastAsia="sk-SK"/>
        </w:rPr>
        <w:t xml:space="preserve">  z</w:t>
      </w:r>
      <w:r w:rsidR="00AC45A1">
        <w:rPr>
          <w:rFonts w:eastAsia="Times New Roman" w:cs="Times New Roman"/>
          <w:bCs/>
          <w:szCs w:val="28"/>
          <w:lang w:eastAsia="sk-SK"/>
        </w:rPr>
        <w:t>o 16. marca</w:t>
      </w:r>
      <w:r>
        <w:rPr>
          <w:rFonts w:eastAsia="Times New Roman" w:cs="Times New Roman"/>
          <w:bCs/>
          <w:szCs w:val="28"/>
          <w:lang w:eastAsia="sk-SK"/>
        </w:rPr>
        <w:t xml:space="preserve"> 202</w:t>
      </w:r>
      <w:r w:rsidR="00BD4C06">
        <w:rPr>
          <w:rFonts w:eastAsia="Times New Roman" w:cs="Times New Roman"/>
          <w:bCs/>
          <w:szCs w:val="28"/>
          <w:lang w:eastAsia="sk-SK"/>
        </w:rPr>
        <w:t>2</w:t>
      </w:r>
      <w:r>
        <w:rPr>
          <w:rFonts w:eastAsia="Times New Roman" w:cs="Times New Roman"/>
          <w:bCs/>
          <w:szCs w:val="28"/>
          <w:lang w:eastAsia="sk-SK"/>
        </w:rPr>
        <w:t>,</w:t>
      </w:r>
    </w:p>
    <w:p w14:paraId="4A70CA2B" w14:textId="1A0F5FB4" w:rsidR="009162F1" w:rsidRDefault="00514BF5" w:rsidP="00BD4C06">
      <w:pPr>
        <w:pStyle w:val="Standard"/>
        <w:keepNext/>
        <w:contextualSpacing/>
        <w:jc w:val="center"/>
        <w:rPr>
          <w:b/>
          <w:bCs/>
        </w:rPr>
      </w:pPr>
      <w:r w:rsidRPr="00251919">
        <w:rPr>
          <w:b/>
          <w:bCs/>
        </w:rPr>
        <w:t xml:space="preserve">ktorým sa mení a dopĺňa zákon č. 82/2005 Z. z. o nelegálnej práci a nelegálnom zamestnávaní a o zmene a doplnení niektorých zákonov </w:t>
      </w:r>
      <w:r w:rsidRPr="00090966">
        <w:rPr>
          <w:b/>
          <w:bCs/>
        </w:rPr>
        <w:t>v znení neskorších predpisov a</w:t>
      </w:r>
      <w:r w:rsidR="00CA71A2">
        <w:rPr>
          <w:b/>
          <w:bCs/>
        </w:rPr>
        <w:t> </w:t>
      </w:r>
      <w:r w:rsidRPr="00090966">
        <w:rPr>
          <w:b/>
          <w:bCs/>
        </w:rPr>
        <w:t xml:space="preserve">ktorým sa </w:t>
      </w:r>
      <w:r w:rsidR="00BD4C06">
        <w:rPr>
          <w:rFonts w:eastAsia="Times New Roman" w:cs="Times New Roman"/>
          <w:b/>
          <w:szCs w:val="24"/>
          <w:lang w:eastAsia="sk-SK"/>
        </w:rPr>
        <w:t xml:space="preserve">mení a dopĺňa zákon č. 5/2004 Z. z. </w:t>
      </w:r>
      <w:r w:rsidR="00BD4C06" w:rsidRPr="00FA725D">
        <w:rPr>
          <w:rFonts w:eastAsia="Times New Roman" w:cs="Times New Roman"/>
          <w:b/>
          <w:szCs w:val="24"/>
          <w:lang w:eastAsia="sk-SK"/>
        </w:rPr>
        <w:t>o službách zamestnanosti a o zmene a</w:t>
      </w:r>
      <w:r w:rsidR="00CA71A2">
        <w:rPr>
          <w:rFonts w:eastAsia="Times New Roman" w:cs="Times New Roman"/>
          <w:b/>
          <w:szCs w:val="24"/>
          <w:lang w:eastAsia="sk-SK"/>
        </w:rPr>
        <w:t> </w:t>
      </w:r>
      <w:r w:rsidR="00BD4C06" w:rsidRPr="00FA725D">
        <w:rPr>
          <w:rFonts w:eastAsia="Times New Roman" w:cs="Times New Roman"/>
          <w:b/>
          <w:szCs w:val="24"/>
          <w:lang w:eastAsia="sk-SK"/>
        </w:rPr>
        <w:t>doplnení niektorých zákonov v</w:t>
      </w:r>
      <w:r w:rsidR="00BD4C06">
        <w:rPr>
          <w:rFonts w:eastAsia="Times New Roman" w:cs="Times New Roman"/>
          <w:b/>
          <w:szCs w:val="24"/>
          <w:lang w:eastAsia="sk-SK"/>
        </w:rPr>
        <w:t> </w:t>
      </w:r>
      <w:r w:rsidR="00BD4C06" w:rsidRPr="00FA725D">
        <w:rPr>
          <w:rFonts w:eastAsia="Times New Roman" w:cs="Times New Roman"/>
          <w:b/>
          <w:szCs w:val="24"/>
          <w:lang w:eastAsia="sk-SK"/>
        </w:rPr>
        <w:t>znení</w:t>
      </w:r>
      <w:r w:rsidR="00BD4C06">
        <w:rPr>
          <w:rFonts w:eastAsia="Times New Roman" w:cs="Times New Roman"/>
          <w:b/>
          <w:szCs w:val="24"/>
          <w:lang w:eastAsia="sk-SK"/>
        </w:rPr>
        <w:t xml:space="preserve"> neskorších predpisov</w:t>
      </w:r>
    </w:p>
    <w:p w14:paraId="61379FB2" w14:textId="130C2E1F" w:rsidR="00514BF5" w:rsidRDefault="00514BF5" w:rsidP="00BD4C06">
      <w:pPr>
        <w:pStyle w:val="Standard"/>
        <w:keepNext/>
        <w:contextualSpacing/>
        <w:rPr>
          <w:rFonts w:eastAsia="Times New Roman" w:cs="Times New Roman"/>
          <w:szCs w:val="24"/>
          <w:lang w:eastAsia="sk-SK"/>
        </w:rPr>
      </w:pPr>
    </w:p>
    <w:p w14:paraId="55520C7D" w14:textId="77777777" w:rsidR="00BD4C06" w:rsidRDefault="00BD4C06" w:rsidP="00BD4C06">
      <w:pPr>
        <w:pStyle w:val="Standard"/>
        <w:keepNext/>
        <w:contextualSpacing/>
        <w:rPr>
          <w:rFonts w:eastAsia="Times New Roman" w:cs="Times New Roman"/>
          <w:szCs w:val="24"/>
          <w:lang w:eastAsia="sk-SK"/>
        </w:rPr>
      </w:pPr>
    </w:p>
    <w:p w14:paraId="6408ACA2" w14:textId="3B5F36F7" w:rsidR="009162F1" w:rsidRDefault="009162F1" w:rsidP="00BD4C06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14:paraId="4ECC6B89" w14:textId="74D0CE0F" w:rsidR="00BD4C06" w:rsidRDefault="00BD4C06" w:rsidP="00BD4C06">
      <w:pPr>
        <w:pStyle w:val="Standard"/>
        <w:keepNext/>
        <w:contextualSpacing/>
        <w:jc w:val="center"/>
        <w:rPr>
          <w:rFonts w:eastAsia="Times New Roman" w:cs="Times New Roman"/>
          <w:szCs w:val="24"/>
          <w:lang w:eastAsia="sk-SK"/>
        </w:rPr>
      </w:pPr>
    </w:p>
    <w:p w14:paraId="4797F824" w14:textId="393E3C03" w:rsidR="009162F1" w:rsidRDefault="009162F1" w:rsidP="00BD4C06">
      <w:pPr>
        <w:pStyle w:val="Standard"/>
        <w:widowControl w:val="0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>
        <w:rPr>
          <w:rFonts w:eastAsia="Times New Roman" w:cs="Times New Roman"/>
          <w:b/>
          <w:bCs/>
          <w:szCs w:val="28"/>
          <w:lang w:eastAsia="sk-SK"/>
        </w:rPr>
        <w:t>Čl. I</w:t>
      </w:r>
    </w:p>
    <w:p w14:paraId="0778F6F4" w14:textId="77777777" w:rsidR="00BD4C06" w:rsidRDefault="00BD4C06" w:rsidP="00BD4C06">
      <w:pPr>
        <w:pStyle w:val="Standard"/>
        <w:widowControl w:val="0"/>
        <w:tabs>
          <w:tab w:val="left" w:leader="dot" w:pos="9143"/>
        </w:tabs>
        <w:ind w:left="388"/>
        <w:contextualSpacing/>
        <w:jc w:val="both"/>
        <w:rPr>
          <w:rFonts w:eastAsia="TeX Gyre Bonum" w:cs="Times New Roman"/>
          <w:szCs w:val="24"/>
        </w:rPr>
      </w:pPr>
    </w:p>
    <w:p w14:paraId="2C176B13" w14:textId="6EE450DF" w:rsidR="009162F1" w:rsidRPr="00331AAF" w:rsidRDefault="009162F1" w:rsidP="00694BA6">
      <w:pPr>
        <w:pStyle w:val="Standard"/>
        <w:widowControl w:val="0"/>
        <w:tabs>
          <w:tab w:val="left" w:leader="dot" w:pos="9143"/>
        </w:tabs>
        <w:ind w:firstLine="357"/>
        <w:contextualSpacing/>
        <w:jc w:val="both"/>
      </w:pPr>
      <w:r>
        <w:rPr>
          <w:rFonts w:eastAsia="TeX Gyre Bonum" w:cs="Times New Roman"/>
          <w:szCs w:val="24"/>
        </w:rPr>
        <w:t>Zákon č. 82/2005 Z. z. o nelegálnej práci a nelegálnom zamestnávaní a o zmene a doplnení niektorých zákonov v znení zákona č. 125/2006 Z. z., zákona č. 52/2010 Z. z., zákona č.</w:t>
      </w:r>
      <w:r w:rsidR="00CA71A2">
        <w:rPr>
          <w:rFonts w:eastAsia="TeX Gyre Bonum" w:cs="Times New Roman"/>
          <w:szCs w:val="24"/>
        </w:rPr>
        <w:t> </w:t>
      </w:r>
      <w:r>
        <w:rPr>
          <w:rFonts w:eastAsia="TeX Gyre Bonum" w:cs="Times New Roman"/>
          <w:szCs w:val="24"/>
        </w:rPr>
        <w:t xml:space="preserve">223/2011 Z. z., zákona č. 308/2013 Z. z., zákona č. 495/2013 Z. z., zákona č. 351/2015 Z. z., zákona č. 294/2017 Z. z., zákona č. 320/2019 Z. z. a zákona č. 76/2021 Z. z. </w:t>
      </w:r>
      <w:r w:rsidR="00331AAF">
        <w:rPr>
          <w:rFonts w:eastAsia="TeX Gyre Bonum" w:cs="Times New Roman"/>
          <w:szCs w:val="24"/>
        </w:rPr>
        <w:t>sa mení a dopĺňa takto:</w:t>
      </w:r>
    </w:p>
    <w:p w14:paraId="19738442" w14:textId="4A0DA87D" w:rsidR="009162F1" w:rsidRDefault="009162F1" w:rsidP="00BD4C06">
      <w:pPr>
        <w:pStyle w:val="Standard"/>
        <w:widowControl w:val="0"/>
        <w:tabs>
          <w:tab w:val="left" w:leader="dot" w:pos="9143"/>
        </w:tabs>
        <w:ind w:left="388"/>
        <w:contextualSpacing/>
        <w:jc w:val="both"/>
        <w:rPr>
          <w:rFonts w:eastAsia="TeX Gyre Bonum" w:cs="Times New Roman"/>
          <w:szCs w:val="24"/>
          <w:shd w:val="clear" w:color="auto" w:fill="FFFF00"/>
        </w:rPr>
      </w:pPr>
    </w:p>
    <w:p w14:paraId="3EDBD26B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>V § 1 sa slová „kontrolného orgánu“ nahrádzajú slovami „inšpektorátu práce“.</w:t>
      </w:r>
    </w:p>
    <w:p w14:paraId="016080CA" w14:textId="77777777" w:rsidR="00BD4C06" w:rsidRDefault="00BD4C06" w:rsidP="00615D3E">
      <w:pPr>
        <w:pStyle w:val="Standard"/>
        <w:widowControl w:val="0"/>
        <w:tabs>
          <w:tab w:val="left" w:leader="dot" w:pos="9143"/>
        </w:tabs>
        <w:contextualSpacing/>
        <w:jc w:val="both"/>
        <w:rPr>
          <w:rFonts w:eastAsia="TeX Gyre Bonum" w:cs="Times New Roman"/>
          <w:szCs w:val="24"/>
          <w:shd w:val="clear" w:color="auto" w:fill="FFFF00"/>
        </w:rPr>
      </w:pPr>
    </w:p>
    <w:p w14:paraId="7FA58EF8" w14:textId="24B994B9" w:rsidR="009162F1" w:rsidRDefault="009162F1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</w:pPr>
      <w:r>
        <w:rPr>
          <w:rFonts w:ascii="Times New Roman" w:eastAsia="TeX Gyre Bonum" w:hAnsi="Times New Roman"/>
          <w:sz w:val="24"/>
          <w:szCs w:val="24"/>
        </w:rPr>
        <w:t>§ 2a znie:</w:t>
      </w:r>
    </w:p>
    <w:p w14:paraId="0D6ACCBD" w14:textId="152BD6B3" w:rsidR="009162F1" w:rsidRDefault="009162F1" w:rsidP="004278D5">
      <w:pPr>
        <w:pStyle w:val="Odsekzoznamu"/>
        <w:widowControl w:val="0"/>
        <w:spacing w:after="0" w:line="240" w:lineRule="auto"/>
        <w:ind w:left="357"/>
        <w:contextualSpacing/>
        <w:jc w:val="center"/>
      </w:pPr>
      <w:r>
        <w:rPr>
          <w:rFonts w:ascii="Times New Roman" w:eastAsia="TeX Gyre Bonum" w:hAnsi="Times New Roman"/>
          <w:sz w:val="24"/>
          <w:szCs w:val="24"/>
        </w:rPr>
        <w:t>„</w:t>
      </w:r>
      <w:r>
        <w:rPr>
          <w:rFonts w:ascii="Times New Roman" w:eastAsia="TeX Gyre Bonum" w:hAnsi="Times New Roman"/>
          <w:b/>
          <w:bCs/>
          <w:sz w:val="24"/>
          <w:szCs w:val="24"/>
        </w:rPr>
        <w:t>§ 2a</w:t>
      </w:r>
    </w:p>
    <w:p w14:paraId="161472B8" w14:textId="77777777" w:rsidR="00BD4C06" w:rsidRP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contextualSpacing/>
        <w:jc w:val="both"/>
        <w:rPr>
          <w:rFonts w:ascii="Times New Roman" w:eastAsia="TeX Gyre Bonum" w:hAnsi="Times New Roman"/>
          <w:sz w:val="24"/>
          <w:szCs w:val="24"/>
        </w:rPr>
      </w:pPr>
    </w:p>
    <w:p w14:paraId="553D1FE3" w14:textId="0615755B" w:rsidR="009162F1" w:rsidRPr="00BD4C06" w:rsidRDefault="009162F1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 w:firstLine="357"/>
        <w:contextualSpacing/>
        <w:jc w:val="both"/>
        <w:rPr>
          <w:rFonts w:ascii="Times New Roman" w:eastAsia="TeX Gyre Bonum" w:hAnsi="Times New Roman"/>
          <w:sz w:val="24"/>
          <w:szCs w:val="24"/>
        </w:rPr>
      </w:pPr>
      <w:r w:rsidRPr="00BD4C06">
        <w:rPr>
          <w:rFonts w:ascii="Times New Roman" w:eastAsia="TeX Gyre Bonum" w:hAnsi="Times New Roman"/>
          <w:sz w:val="24"/>
          <w:szCs w:val="24"/>
        </w:rPr>
        <w:t>(1) Nelegálna práca nie je práca, ktorú</w:t>
      </w:r>
      <w:r w:rsidR="00814F43" w:rsidRPr="00BD4C06">
        <w:rPr>
          <w:rFonts w:ascii="Times New Roman" w:eastAsia="TeX Gyre Bonum" w:hAnsi="Times New Roman"/>
          <w:sz w:val="24"/>
          <w:szCs w:val="24"/>
        </w:rPr>
        <w:t xml:space="preserve"> pre </w:t>
      </w:r>
      <w:r w:rsidR="00303361" w:rsidRPr="00BD4C06">
        <w:rPr>
          <w:rFonts w:ascii="Times New Roman" w:eastAsia="TeX Gyre Bonum" w:hAnsi="Times New Roman"/>
          <w:sz w:val="24"/>
          <w:szCs w:val="24"/>
        </w:rPr>
        <w:t>fyzickú osobu, ktorá je podnikateľom,</w:t>
      </w:r>
      <w:hyperlink r:id="rId8" w:anchor="poznamky.poznamka-1" w:tooltip="Odkaz na predpis alebo ustanovenie" w:history="1">
        <w:r w:rsidR="00303361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1</w:t>
        </w:r>
        <w:r w:rsidR="00303361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alebo pre právnickú osobu, ktorá je spoločnosťou s ručením obmedzeným a ktorá má najviac dvoch spoločníkov, ktorí sú príbuznými v priamom rade, súrodencami alebo manželmi, vykonáva príbuzný v priamom rade, súrodenec alebo manžel tejto fyzickej osoby alebo </w:t>
      </w:r>
      <w:r w:rsidR="00BD4C06" w:rsidRPr="00676AB8">
        <w:rPr>
          <w:rFonts w:ascii="Times New Roman" w:eastAsia="TeX Gyre Bonum" w:hAnsi="Times New Roman"/>
          <w:sz w:val="24"/>
          <w:szCs w:val="24"/>
        </w:rPr>
        <w:t>niektorého z týchto spoločníkov</w:t>
      </w:r>
      <w:r w:rsidR="00303361" w:rsidRPr="00BD4C06">
        <w:rPr>
          <w:rFonts w:ascii="Times New Roman" w:eastAsia="TeX Gyre Bonum" w:hAnsi="Times New Roman"/>
          <w:sz w:val="24"/>
          <w:szCs w:val="24"/>
        </w:rPr>
        <w:t>, ak tento príbuzný v priamom rade, súrodenec alebo manžel je dôchodkovo poistený</w:t>
      </w:r>
      <w:r w:rsidRPr="00BD4C06">
        <w:rPr>
          <w:rFonts w:ascii="Times New Roman" w:eastAsia="TeX Gyre Bonum" w:hAnsi="Times New Roman"/>
          <w:sz w:val="24"/>
          <w:szCs w:val="24"/>
        </w:rPr>
        <w:t>,</w:t>
      </w:r>
      <w:hyperlink r:id="rId9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</w:hyperlink>
      <w:hyperlink r:id="rId10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Pr="00BD4C06">
        <w:rPr>
          <w:rFonts w:ascii="Times New Roman" w:eastAsia="TeX Gyre Bonum" w:hAnsi="Times New Roman"/>
          <w:sz w:val="24"/>
          <w:szCs w:val="24"/>
        </w:rPr>
        <w:t xml:space="preserve"> je poberateľom dôchodku podľa osobitných predpisov</w:t>
      </w:r>
      <w:hyperlink r:id="rId11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</w:hyperlink>
      <w:hyperlink r:id="rId12" w:anchor="poznamky.poznamka-8a" w:history="1">
        <w:r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Pr="00BD4C06">
        <w:rPr>
          <w:rFonts w:ascii="Times New Roman" w:eastAsia="TeX Gyre Bonum" w:hAnsi="Times New Roman"/>
          <w:sz w:val="24"/>
          <w:szCs w:val="24"/>
        </w:rPr>
        <w:t xml:space="preserve"> alebo je žiakom alebo študentom do 26 rokov veku.</w:t>
      </w:r>
    </w:p>
    <w:p w14:paraId="29F26487" w14:textId="77777777" w:rsidR="00BD4C06" w:rsidRP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contextualSpacing/>
        <w:jc w:val="both"/>
        <w:rPr>
          <w:rFonts w:ascii="Times New Roman" w:eastAsia="TeX Gyre Bonum" w:hAnsi="Times New Roman"/>
          <w:sz w:val="24"/>
          <w:szCs w:val="24"/>
        </w:rPr>
      </w:pPr>
    </w:p>
    <w:p w14:paraId="24FD2E45" w14:textId="4D396615" w:rsidR="009162F1" w:rsidRPr="00BD4C06" w:rsidRDefault="009162F1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 w:firstLine="357"/>
        <w:contextualSpacing/>
        <w:jc w:val="both"/>
        <w:rPr>
          <w:rFonts w:ascii="Times New Roman" w:eastAsia="TeX Gyre Bonum" w:hAnsi="Times New Roman"/>
          <w:sz w:val="24"/>
          <w:szCs w:val="24"/>
        </w:rPr>
      </w:pPr>
      <w:r w:rsidRPr="00BD4C06">
        <w:rPr>
          <w:rFonts w:ascii="Times New Roman" w:eastAsia="TeX Gyre Bonum" w:hAnsi="Times New Roman"/>
          <w:sz w:val="24"/>
          <w:szCs w:val="24"/>
        </w:rPr>
        <w:t xml:space="preserve">(2) </w:t>
      </w:r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Nelegálne zamestnávanie nie je, ak </w:t>
      </w:r>
      <w:r w:rsidR="00814F43" w:rsidRPr="00BD4C06">
        <w:rPr>
          <w:rFonts w:ascii="Times New Roman" w:eastAsia="TeX Gyre Bonum" w:hAnsi="Times New Roman"/>
          <w:sz w:val="24"/>
          <w:szCs w:val="24"/>
        </w:rPr>
        <w:t>pre fyzickú osobu, ktorá je podnikateľom,</w:t>
      </w:r>
      <w:hyperlink r:id="rId13" w:anchor="poznamky.poznamka-1" w:tooltip="Odkaz na predpis alebo ustanovenie" w:history="1">
        <w:r w:rsidR="00814F43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1</w:t>
        </w:r>
        <w:r w:rsidR="00814F43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814F43" w:rsidRPr="00BD4C06">
        <w:rPr>
          <w:rFonts w:ascii="Times New Roman" w:eastAsia="TeX Gyre Bonum" w:hAnsi="Times New Roman"/>
          <w:sz w:val="24"/>
          <w:szCs w:val="24"/>
        </w:rPr>
        <w:t xml:space="preserve"> alebo pre právnickú osobu, ktorá je spoločnosťou s ručením obmedzeným a ktorá má najviac dvoch spoločníkov, ktorí sú príbuznými v priamom rade, súrodencami alebo manželmi, vykonáva</w:t>
      </w:r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prácu </w:t>
      </w:r>
      <w:r w:rsidR="00814F43" w:rsidRPr="00BD4C06">
        <w:rPr>
          <w:rFonts w:ascii="Times New Roman" w:eastAsia="TeX Gyre Bonum" w:hAnsi="Times New Roman"/>
          <w:sz w:val="24"/>
          <w:szCs w:val="24"/>
        </w:rPr>
        <w:t xml:space="preserve">príbuzný v priamom rade, súrodenec alebo manžel tejto fyzickej osoby alebo </w:t>
      </w:r>
      <w:r w:rsidR="00BD4C06" w:rsidRPr="00676AB8">
        <w:rPr>
          <w:rFonts w:ascii="Times New Roman" w:eastAsia="TeX Gyre Bonum" w:hAnsi="Times New Roman"/>
          <w:sz w:val="24"/>
          <w:szCs w:val="24"/>
        </w:rPr>
        <w:t>niektorého z týchto spoločníkov</w:t>
      </w:r>
      <w:r w:rsidR="00303361" w:rsidRPr="00BD4C06">
        <w:rPr>
          <w:rFonts w:ascii="Times New Roman" w:eastAsia="TeX Gyre Bonum" w:hAnsi="Times New Roman"/>
          <w:sz w:val="24"/>
          <w:szCs w:val="24"/>
        </w:rPr>
        <w:t>, ak tento príbuzný v priamom rade, súrodenec alebo manžel je dôchodkovo poistený,</w:t>
      </w:r>
      <w:hyperlink r:id="rId14" w:anchor="poznamky.poznamka-8a" w:tooltip="Odkaz na predpis alebo ustanovenie" w:history="1">
        <w:r w:rsidR="00303361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  <w:r w:rsidR="00303361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je poberateľom dôchodku podľa osobitných predpisov</w:t>
      </w:r>
      <w:hyperlink r:id="rId15" w:anchor="poznamky.poznamka-8a" w:tooltip="Odkaz na predpis alebo ustanovenie" w:history="1">
        <w:r w:rsidR="00303361" w:rsidRPr="00BD4C06">
          <w:rPr>
            <w:rFonts w:ascii="Times New Roman" w:eastAsia="TeX Gyre Bonum" w:hAnsi="Times New Roman"/>
            <w:sz w:val="24"/>
            <w:szCs w:val="24"/>
            <w:vertAlign w:val="superscript"/>
          </w:rPr>
          <w:t>8a</w:t>
        </w:r>
        <w:r w:rsidR="00303361" w:rsidRPr="00BD4C06">
          <w:rPr>
            <w:rFonts w:ascii="Times New Roman" w:eastAsia="TeX Gyre Bonum" w:hAnsi="Times New Roman"/>
            <w:sz w:val="24"/>
            <w:szCs w:val="24"/>
          </w:rPr>
          <w:t>)</w:t>
        </w:r>
      </w:hyperlink>
      <w:r w:rsidR="00303361" w:rsidRPr="00BD4C06">
        <w:rPr>
          <w:rFonts w:ascii="Times New Roman" w:eastAsia="TeX Gyre Bonum" w:hAnsi="Times New Roman"/>
          <w:sz w:val="24"/>
          <w:szCs w:val="24"/>
        </w:rPr>
        <w:t xml:space="preserve"> alebo je žiakom alebo študentom do 26 rokov veku.</w:t>
      </w:r>
      <w:r w:rsidRPr="00BD4C06">
        <w:rPr>
          <w:rFonts w:ascii="Times New Roman" w:eastAsia="TeX Gyre Bonum" w:hAnsi="Times New Roman"/>
          <w:sz w:val="24"/>
          <w:szCs w:val="24"/>
        </w:rPr>
        <w:t>“.</w:t>
      </w:r>
    </w:p>
    <w:p w14:paraId="46D46C37" w14:textId="1BA2E098" w:rsidR="009162F1" w:rsidRDefault="009162F1" w:rsidP="00BD4C06">
      <w:pPr>
        <w:tabs>
          <w:tab w:val="left" w:pos="1646"/>
          <w:tab w:val="left" w:leader="dot" w:pos="9503"/>
        </w:tabs>
        <w:contextualSpacing/>
        <w:jc w:val="both"/>
        <w:rPr>
          <w:rFonts w:eastAsia="TeX Gyre Bonum"/>
          <w:szCs w:val="24"/>
        </w:rPr>
      </w:pPr>
    </w:p>
    <w:p w14:paraId="50D277D0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 xml:space="preserve">V § 4 sa slová „kontrolnému orgánu podľa </w:t>
      </w:r>
      <w:r w:rsidRPr="00676AB8">
        <w:rPr>
          <w:rFonts w:ascii="Times New Roman" w:eastAsia="TeX Gyre Bonum" w:hAnsi="Times New Roman"/>
          <w:bCs/>
          <w:sz w:val="24"/>
          <w:szCs w:val="24"/>
        </w:rPr>
        <w:t>§ 5 ods. 1“ nahrádzajú slovami „inšpektorátu práce“.</w:t>
      </w:r>
    </w:p>
    <w:p w14:paraId="354B34B7" w14:textId="77777777" w:rsidR="00BD4C06" w:rsidRPr="00676AB8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21321544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>V § 5 odsek 1 znie:</w:t>
      </w:r>
    </w:p>
    <w:p w14:paraId="1966A1CE" w14:textId="77777777" w:rsidR="00BD4C06" w:rsidRPr="00676AB8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t>„(1) Kontrolu nelegálnej práce a nelegálneho zamestnávania vykonáva inšpektorát práce.“.</w:t>
      </w:r>
    </w:p>
    <w:p w14:paraId="115A15FC" w14:textId="77777777" w:rsidR="00BD4C06" w:rsidRPr="00676AB8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480A1639" w14:textId="77777777" w:rsidR="00BD4C06" w:rsidRPr="00676AB8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676AB8">
        <w:rPr>
          <w:rFonts w:ascii="Times New Roman" w:eastAsia="TeX Gyre Bonum" w:hAnsi="Times New Roman"/>
          <w:sz w:val="24"/>
          <w:szCs w:val="24"/>
        </w:rPr>
        <w:lastRenderedPageBreak/>
        <w:t>V § 5 ods. 2 sa vypúšťa druhá veta a v tretej vete sa slová „kontrolným orgánom“ nahrádzajú slovami „inšpektorátom práce“.</w:t>
      </w:r>
    </w:p>
    <w:p w14:paraId="460372F5" w14:textId="77777777" w:rsidR="00BD4C06" w:rsidRPr="002728E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0D5DEA36" w14:textId="77777777" w:rsidR="00BD4C06" w:rsidRPr="002728E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2728ED">
        <w:rPr>
          <w:rFonts w:ascii="Times New Roman" w:eastAsia="TeX Gyre Bonum" w:hAnsi="Times New Roman"/>
          <w:sz w:val="24"/>
          <w:szCs w:val="24"/>
        </w:rPr>
        <w:t>V poznámke pod čiarou k odkazu 10a sa vypúšťa citácia „</w:t>
      </w:r>
      <w:r w:rsidRPr="002728ED">
        <w:rPr>
          <w:rFonts w:ascii="Times New Roman" w:eastAsia="TeX Gyre Bonum" w:hAnsi="Times New Roman"/>
          <w:iCs/>
          <w:sz w:val="24"/>
          <w:szCs w:val="24"/>
        </w:rPr>
        <w:t>§ 12 písm. ad)</w:t>
      </w:r>
      <w:r w:rsidRPr="002728ED">
        <w:rPr>
          <w:rFonts w:ascii="Times New Roman" w:eastAsia="TeX Gyre Bonum" w:hAnsi="Times New Roman"/>
          <w:sz w:val="24"/>
          <w:szCs w:val="24"/>
        </w:rPr>
        <w:t xml:space="preserve"> a </w:t>
      </w:r>
      <w:r w:rsidRPr="002728ED">
        <w:rPr>
          <w:rFonts w:ascii="Times New Roman" w:eastAsia="TeX Gyre Bonum" w:hAnsi="Times New Roman"/>
          <w:iCs/>
          <w:sz w:val="24"/>
          <w:szCs w:val="24"/>
        </w:rPr>
        <w:t>§ 13 ods. 1 písm. e) piaty bod zákona č. 5/2004 Z. z.</w:t>
      </w:r>
      <w:r w:rsidRPr="002728ED">
        <w:rPr>
          <w:rFonts w:ascii="Times New Roman" w:eastAsia="TeX Gyre Bonum" w:hAnsi="Times New Roman"/>
          <w:sz w:val="24"/>
          <w:szCs w:val="24"/>
        </w:rPr>
        <w:t xml:space="preserve"> v znení zákona č. 223/2011 Z. z.“.</w:t>
      </w:r>
    </w:p>
    <w:p w14:paraId="66EEDED9" w14:textId="77777777" w:rsidR="00BD4C06" w:rsidRPr="002728E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74E824BD" w14:textId="77777777" w:rsidR="00BD4C06" w:rsidRPr="00FA725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FA725D">
        <w:rPr>
          <w:rFonts w:ascii="Times New Roman" w:eastAsia="TeX Gyre Bonum" w:hAnsi="Times New Roman"/>
          <w:sz w:val="24"/>
          <w:szCs w:val="24"/>
        </w:rPr>
        <w:t>V § 5 ods. 3 až 5 sa slová „kontrolnému orgánu“ nahrádzajú slovami „inšpektorátu práce“.</w:t>
      </w:r>
    </w:p>
    <w:p w14:paraId="08D654CF" w14:textId="77777777" w:rsidR="00BD4C06" w:rsidRPr="00FA725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21803D47" w14:textId="77777777" w:rsidR="00BD4C06" w:rsidRPr="00FA725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FA725D">
        <w:rPr>
          <w:rFonts w:ascii="Times New Roman" w:eastAsia="TeX Gyre Bonum" w:hAnsi="Times New Roman"/>
          <w:sz w:val="24"/>
          <w:szCs w:val="24"/>
        </w:rPr>
        <w:t>V § 5a ods. 1 a</w:t>
      </w:r>
      <w:r>
        <w:rPr>
          <w:rFonts w:ascii="Times New Roman" w:eastAsia="TeX Gyre Bonum" w:hAnsi="Times New Roman"/>
          <w:sz w:val="24"/>
          <w:szCs w:val="24"/>
        </w:rPr>
        <w:t> </w:t>
      </w:r>
      <w:r w:rsidRPr="00FA725D">
        <w:rPr>
          <w:rFonts w:ascii="Times New Roman" w:eastAsia="TeX Gyre Bonum" w:hAnsi="Times New Roman"/>
          <w:sz w:val="24"/>
          <w:szCs w:val="24"/>
        </w:rPr>
        <w:t>2</w:t>
      </w:r>
      <w:r>
        <w:rPr>
          <w:rFonts w:ascii="Times New Roman" w:eastAsia="TeX Gyre Bonum" w:hAnsi="Times New Roman"/>
          <w:sz w:val="24"/>
          <w:szCs w:val="24"/>
        </w:rPr>
        <w:t>, § 7b ods. 8 a § 7c ods. 1</w:t>
      </w:r>
      <w:r w:rsidRPr="00FA725D">
        <w:rPr>
          <w:rFonts w:ascii="Times New Roman" w:eastAsia="TeX Gyre Bonum" w:hAnsi="Times New Roman"/>
          <w:sz w:val="24"/>
          <w:szCs w:val="24"/>
        </w:rPr>
        <w:t xml:space="preserve"> sa slová „Kontrolný orgán“ nahrádzajú slovami „Inšpektorát práce“.</w:t>
      </w:r>
    </w:p>
    <w:p w14:paraId="4FBB897C" w14:textId="77777777" w:rsidR="00BD4C06" w:rsidRPr="00FA725D" w:rsidRDefault="00BD4C06" w:rsidP="00BD4C06">
      <w:pPr>
        <w:tabs>
          <w:tab w:val="left" w:pos="1646"/>
          <w:tab w:val="left" w:leader="dot" w:pos="9503"/>
        </w:tabs>
        <w:jc w:val="both"/>
        <w:rPr>
          <w:rFonts w:eastAsia="TeX Gyre Bonum" w:cs="Times New Roman"/>
          <w:szCs w:val="24"/>
        </w:rPr>
      </w:pPr>
    </w:p>
    <w:p w14:paraId="689638D4" w14:textId="77777777" w:rsidR="00BD4C06" w:rsidRPr="00FA725D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FA725D">
        <w:rPr>
          <w:rFonts w:ascii="Times New Roman" w:eastAsia="TeX Gyre Bonum" w:hAnsi="Times New Roman"/>
          <w:sz w:val="24"/>
          <w:szCs w:val="24"/>
        </w:rPr>
        <w:t>V § 5a ods. 3 sa slová „Kontrolné orgány poskytujú“ nahrádzajú slovami „Inšpektorát práce poskytuje“.</w:t>
      </w:r>
    </w:p>
    <w:p w14:paraId="11F4E5A2" w14:textId="77777777" w:rsidR="00CA63A7" w:rsidRDefault="00CA63A7" w:rsidP="00CA63A7">
      <w:pPr>
        <w:tabs>
          <w:tab w:val="left" w:pos="1618"/>
          <w:tab w:val="left" w:leader="dot" w:pos="9475"/>
        </w:tabs>
        <w:contextualSpacing/>
        <w:jc w:val="both"/>
        <w:rPr>
          <w:rFonts w:eastAsia="TeX Gyre Bonum"/>
          <w:szCs w:val="24"/>
        </w:rPr>
      </w:pPr>
    </w:p>
    <w:p w14:paraId="7B1A2C39" w14:textId="1B68327A" w:rsidR="00CA63A7" w:rsidRPr="002728ED" w:rsidRDefault="00CA63A7" w:rsidP="00CA63A7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2728ED">
        <w:rPr>
          <w:rFonts w:ascii="Times New Roman" w:eastAsia="TeX Gyre Bonum" w:hAnsi="Times New Roman"/>
          <w:sz w:val="24"/>
          <w:szCs w:val="24"/>
        </w:rPr>
        <w:t>V poznámke pod čiarou k odkazu 13 s</w:t>
      </w:r>
      <w:r>
        <w:rPr>
          <w:rFonts w:ascii="Times New Roman" w:eastAsia="TeX Gyre Bonum" w:hAnsi="Times New Roman"/>
          <w:sz w:val="24"/>
          <w:szCs w:val="24"/>
        </w:rPr>
        <w:t>a</w:t>
      </w:r>
      <w:r w:rsidRPr="002728ED">
        <w:rPr>
          <w:rFonts w:ascii="Times New Roman" w:eastAsia="TeX Gyre Bonum" w:hAnsi="Times New Roman"/>
          <w:sz w:val="24"/>
          <w:szCs w:val="24"/>
        </w:rPr>
        <w:t> vypúšťa citácia „§ 68a ods. 1 písm. b) zákona č.</w:t>
      </w:r>
      <w:r w:rsidR="00CA71A2">
        <w:rPr>
          <w:rFonts w:ascii="Times New Roman" w:eastAsia="TeX Gyre Bonum" w:hAnsi="Times New Roman"/>
          <w:sz w:val="24"/>
          <w:szCs w:val="24"/>
        </w:rPr>
        <w:t> </w:t>
      </w:r>
      <w:r w:rsidRPr="002728ED">
        <w:rPr>
          <w:rFonts w:ascii="Times New Roman" w:eastAsia="TeX Gyre Bonum" w:hAnsi="Times New Roman"/>
          <w:sz w:val="24"/>
          <w:szCs w:val="24"/>
        </w:rPr>
        <w:t>5/2004 Z. z. v znení neskorších predpisov,“.</w:t>
      </w:r>
    </w:p>
    <w:p w14:paraId="32B24A68" w14:textId="5AC8D364" w:rsidR="006A4C3E" w:rsidRDefault="006A4C3E" w:rsidP="00BD4C06">
      <w:pPr>
        <w:tabs>
          <w:tab w:val="left" w:pos="1618"/>
          <w:tab w:val="left" w:leader="dot" w:pos="9475"/>
        </w:tabs>
        <w:contextualSpacing/>
        <w:jc w:val="both"/>
        <w:rPr>
          <w:rFonts w:eastAsia="TeX Gyre Bonum"/>
          <w:szCs w:val="24"/>
        </w:rPr>
      </w:pPr>
    </w:p>
    <w:p w14:paraId="19AEA63A" w14:textId="3E9F63A0" w:rsidR="00BD4C06" w:rsidRPr="009B7ACF" w:rsidRDefault="00CA63A7" w:rsidP="00BD4C06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9B7ACF">
        <w:rPr>
          <w:rFonts w:ascii="Times New Roman" w:eastAsia="TeX Gyre Bonum" w:hAnsi="Times New Roman"/>
          <w:sz w:val="24"/>
          <w:szCs w:val="24"/>
        </w:rPr>
        <w:t>V § 7 ods. 3 sa slová „prejednávajú Ústredie práce, sociálnych vecí a rodiny, úrad práce, sociálnych vecí a rodiny a“ nahrádzajú slovom „prejednáva“.</w:t>
      </w:r>
    </w:p>
    <w:p w14:paraId="5C2BB5FE" w14:textId="77777777" w:rsidR="00BD4C06" w:rsidRPr="002728ED" w:rsidRDefault="00BD4C06" w:rsidP="00BD4C06">
      <w:pPr>
        <w:tabs>
          <w:tab w:val="left" w:pos="1618"/>
          <w:tab w:val="left" w:leader="dot" w:pos="9475"/>
        </w:tabs>
        <w:jc w:val="both"/>
        <w:rPr>
          <w:rFonts w:eastAsia="TeX Gyre Bonum" w:cs="Times New Roman"/>
          <w:szCs w:val="24"/>
        </w:rPr>
      </w:pPr>
    </w:p>
    <w:p w14:paraId="13F1B096" w14:textId="77777777" w:rsidR="00BD4C06" w:rsidRDefault="00BD4C06" w:rsidP="00BD4C06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V § 7b sa vypúšťa odsek 10.</w:t>
      </w:r>
    </w:p>
    <w:p w14:paraId="3A101FC4" w14:textId="77777777" w:rsid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748"/>
        <w:jc w:val="both"/>
        <w:rPr>
          <w:rFonts w:ascii="Times New Roman" w:eastAsia="TeX Gyre Bonum" w:hAnsi="Times New Roman"/>
          <w:sz w:val="24"/>
          <w:szCs w:val="24"/>
        </w:rPr>
      </w:pPr>
    </w:p>
    <w:p w14:paraId="179F81AA" w14:textId="77777777" w:rsidR="00BD4C06" w:rsidRDefault="00BD4C06" w:rsidP="00BD4C06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Doterajší odsek 11 sa označuje ako odsek 10.</w:t>
      </w:r>
    </w:p>
    <w:p w14:paraId="76A4270F" w14:textId="74FB18C8" w:rsidR="00BD4C06" w:rsidRDefault="00BD4C06" w:rsidP="00BD4C06">
      <w:pPr>
        <w:tabs>
          <w:tab w:val="left" w:pos="1618"/>
          <w:tab w:val="left" w:leader="dot" w:pos="9475"/>
        </w:tabs>
        <w:contextualSpacing/>
        <w:jc w:val="both"/>
        <w:rPr>
          <w:rFonts w:eastAsia="TeX Gyre Bonum"/>
          <w:szCs w:val="24"/>
        </w:rPr>
      </w:pPr>
    </w:p>
    <w:p w14:paraId="715CE416" w14:textId="77777777" w:rsidR="00615D3E" w:rsidRPr="007B2823" w:rsidRDefault="00615D3E" w:rsidP="00615D3E">
      <w:pPr>
        <w:pStyle w:val="Odsekzoznamu"/>
        <w:numPr>
          <w:ilvl w:val="0"/>
          <w:numId w:val="16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7B2823">
        <w:rPr>
          <w:rFonts w:ascii="Times New Roman" w:eastAsia="TeX Gyre Bonum" w:hAnsi="Times New Roman"/>
          <w:sz w:val="24"/>
          <w:szCs w:val="24"/>
        </w:rPr>
        <w:t>Za § 7ca sa vkladá § 7cb, ktorý vrátane nadpisu znie:</w:t>
      </w:r>
    </w:p>
    <w:p w14:paraId="13A719E7" w14:textId="77777777" w:rsidR="00615D3E" w:rsidRPr="007B2823" w:rsidRDefault="00615D3E" w:rsidP="00615D3E">
      <w:pPr>
        <w:tabs>
          <w:tab w:val="left" w:pos="1618"/>
          <w:tab w:val="left" w:leader="dot" w:pos="9475"/>
        </w:tabs>
        <w:jc w:val="both"/>
        <w:rPr>
          <w:rFonts w:eastAsia="TeX Gyre Bonum" w:cs="Times New Roman"/>
          <w:szCs w:val="24"/>
        </w:rPr>
      </w:pPr>
    </w:p>
    <w:p w14:paraId="0C997AC7" w14:textId="77777777" w:rsidR="00615D3E" w:rsidRPr="00615D3E" w:rsidRDefault="00615D3E" w:rsidP="00615D3E">
      <w:pPr>
        <w:tabs>
          <w:tab w:val="left" w:pos="1618"/>
          <w:tab w:val="left" w:leader="dot" w:pos="9475"/>
        </w:tabs>
        <w:ind w:left="357"/>
        <w:jc w:val="center"/>
        <w:rPr>
          <w:rFonts w:eastAsia="TeX Gyre Bonum"/>
          <w:b/>
          <w:szCs w:val="24"/>
        </w:rPr>
      </w:pPr>
      <w:r w:rsidRPr="00615D3E">
        <w:rPr>
          <w:rFonts w:eastAsia="TeX Gyre Bonum"/>
          <w:b/>
          <w:szCs w:val="24"/>
        </w:rPr>
        <w:t>„§ 7cb</w:t>
      </w:r>
    </w:p>
    <w:p w14:paraId="7707DF2F" w14:textId="2EC3EF65" w:rsidR="00615D3E" w:rsidRPr="00615D3E" w:rsidRDefault="00615D3E" w:rsidP="00615D3E">
      <w:pPr>
        <w:tabs>
          <w:tab w:val="left" w:pos="1618"/>
          <w:tab w:val="left" w:leader="dot" w:pos="9475"/>
        </w:tabs>
        <w:ind w:left="357"/>
        <w:jc w:val="center"/>
        <w:rPr>
          <w:rFonts w:eastAsia="TeX Gyre Bonum"/>
          <w:b/>
          <w:szCs w:val="24"/>
        </w:rPr>
      </w:pPr>
      <w:r w:rsidRPr="00615D3E">
        <w:rPr>
          <w:rFonts w:eastAsia="TeX Gyre Bonum"/>
          <w:b/>
          <w:szCs w:val="24"/>
        </w:rPr>
        <w:t>Prechodné ustanovenia k úpravám účinným od 1. januára 2023</w:t>
      </w:r>
    </w:p>
    <w:p w14:paraId="040A0570" w14:textId="6EE02E27" w:rsidR="00615D3E" w:rsidRDefault="00615D3E" w:rsidP="00615D3E">
      <w:pPr>
        <w:tabs>
          <w:tab w:val="left" w:pos="1618"/>
          <w:tab w:val="left" w:leader="dot" w:pos="9475"/>
        </w:tabs>
        <w:jc w:val="both"/>
        <w:rPr>
          <w:rFonts w:eastAsia="TeX Gyre Bonum"/>
          <w:szCs w:val="24"/>
        </w:rPr>
      </w:pPr>
    </w:p>
    <w:p w14:paraId="04CF9771" w14:textId="720A1CC3" w:rsidR="009F7661" w:rsidRDefault="00615D3E" w:rsidP="00030773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 xml:space="preserve">(1) Kontrolu nelegálnej práce a nelegálneho zamestnávania </w:t>
      </w:r>
      <w:r>
        <w:rPr>
          <w:rFonts w:cs="Times New Roman"/>
          <w:szCs w:val="24"/>
        </w:rPr>
        <w:t>a</w:t>
      </w:r>
      <w:r w:rsidR="0075254C">
        <w:rPr>
          <w:rFonts w:cs="Times New Roman"/>
          <w:szCs w:val="24"/>
        </w:rPr>
        <w:t xml:space="preserve"> kontrolu </w:t>
      </w:r>
      <w:r>
        <w:rPr>
          <w:rFonts w:cs="Times New Roman"/>
          <w:szCs w:val="24"/>
        </w:rPr>
        <w:t xml:space="preserve">zákazu </w:t>
      </w:r>
      <w:r w:rsidR="006A52BF">
        <w:rPr>
          <w:rFonts w:cs="Times New Roman"/>
          <w:szCs w:val="24"/>
        </w:rPr>
        <w:t xml:space="preserve">prijať prácu alebo službu </w:t>
      </w:r>
      <w:r>
        <w:rPr>
          <w:rFonts w:cs="Times New Roman"/>
          <w:szCs w:val="24"/>
        </w:rPr>
        <w:t>podľa §</w:t>
      </w:r>
      <w:r w:rsidR="00C4237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7b ods. 5 </w:t>
      </w:r>
      <w:r w:rsidRPr="006A4C3E">
        <w:rPr>
          <w:rFonts w:cs="Times New Roman"/>
          <w:szCs w:val="24"/>
        </w:rPr>
        <w:t xml:space="preserve">začatú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stredím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alebo úradom</w:t>
      </w:r>
      <w:r w:rsidR="0075254C">
        <w:rPr>
          <w:rFonts w:cs="Times New Roman"/>
          <w:szCs w:val="24"/>
        </w:rPr>
        <w:t xml:space="preserve"> práce, sociálnych vecí a rodiny</w:t>
      </w:r>
      <w:r w:rsidRPr="006A4C3E">
        <w:rPr>
          <w:rFonts w:cs="Times New Roman"/>
          <w:szCs w:val="24"/>
        </w:rPr>
        <w:t xml:space="preserve"> pred 1. januárom 2023, ktorá nebola skončená, dokončí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stredie </w:t>
      </w:r>
      <w:r w:rsidR="0075254C">
        <w:rPr>
          <w:rFonts w:cs="Times New Roman"/>
          <w:szCs w:val="24"/>
        </w:rPr>
        <w:t xml:space="preserve">práce, sociálnych vecí </w:t>
      </w:r>
      <w:r w:rsidR="0075254C">
        <w:rPr>
          <w:rFonts w:cs="Times New Roman"/>
          <w:szCs w:val="24"/>
        </w:rPr>
        <w:lastRenderedPageBreak/>
        <w:t xml:space="preserve">a rodiny </w:t>
      </w:r>
      <w:r w:rsidRPr="006A4C3E">
        <w:rPr>
          <w:rFonts w:cs="Times New Roman"/>
          <w:szCs w:val="24"/>
        </w:rPr>
        <w:t xml:space="preserve">alebo úrad </w:t>
      </w:r>
      <w:r w:rsidR="0075254C">
        <w:rPr>
          <w:rFonts w:cs="Times New Roman"/>
          <w:szCs w:val="24"/>
        </w:rPr>
        <w:t xml:space="preserve">práce, sociálnych vecí a rodiny </w:t>
      </w:r>
      <w:r w:rsidR="00404A5C">
        <w:rPr>
          <w:rFonts w:cs="Times New Roman"/>
          <w:szCs w:val="24"/>
        </w:rPr>
        <w:t xml:space="preserve">podľa predpisov účinných </w:t>
      </w:r>
      <w:r w:rsidRPr="006A4C3E">
        <w:rPr>
          <w:rFonts w:cs="Times New Roman"/>
          <w:szCs w:val="24"/>
        </w:rPr>
        <w:t>do 31. decembra 2022.</w:t>
      </w:r>
      <w:r w:rsidR="00E80A1A">
        <w:rPr>
          <w:rFonts w:cs="Times New Roman"/>
          <w:szCs w:val="24"/>
        </w:rPr>
        <w:t xml:space="preserve"> </w:t>
      </w:r>
    </w:p>
    <w:p w14:paraId="6608BC40" w14:textId="77777777" w:rsidR="009F7661" w:rsidRDefault="009F7661" w:rsidP="00030773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3980AEB7" w14:textId="18793CCD" w:rsidR="00030773" w:rsidRDefault="00030773" w:rsidP="00030773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9F7661">
        <w:rPr>
          <w:rFonts w:cs="Times New Roman"/>
          <w:szCs w:val="24"/>
        </w:rPr>
        <w:t>2</w:t>
      </w:r>
      <w:r w:rsidRPr="006A4C3E">
        <w:rPr>
          <w:rFonts w:cs="Times New Roman"/>
          <w:szCs w:val="24"/>
        </w:rPr>
        <w:t>) Pokutu za nelegáln</w:t>
      </w:r>
      <w:r>
        <w:rPr>
          <w:rFonts w:cs="Times New Roman"/>
          <w:szCs w:val="24"/>
        </w:rPr>
        <w:t>u</w:t>
      </w:r>
      <w:r w:rsidRPr="006A4C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prácu a pokutu za porušenie zákazu </w:t>
      </w:r>
      <w:r w:rsidR="005826F4">
        <w:rPr>
          <w:rFonts w:cs="Times New Roman"/>
          <w:szCs w:val="24"/>
        </w:rPr>
        <w:t xml:space="preserve">prijať prácu alebo službu </w:t>
      </w:r>
      <w:r>
        <w:rPr>
          <w:rFonts w:cs="Times New Roman"/>
          <w:szCs w:val="24"/>
        </w:rPr>
        <w:t xml:space="preserve">podľa § 7b ods. 5 </w:t>
      </w:r>
      <w:r w:rsidRPr="006A4C3E">
        <w:rPr>
          <w:rFonts w:cs="Times New Roman"/>
          <w:szCs w:val="24"/>
        </w:rPr>
        <w:t xml:space="preserve">na základe výsledkov kontroly podľa odseku 1 uloží </w:t>
      </w:r>
      <w:r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stredie </w:t>
      </w:r>
      <w:r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 </w:t>
      </w:r>
      <w:r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podľa predpisov účinných do 31. decembra 2022.</w:t>
      </w:r>
    </w:p>
    <w:p w14:paraId="22D7C6EA" w14:textId="77777777" w:rsidR="00615D3E" w:rsidRPr="006A4C3E" w:rsidRDefault="00615D3E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473D8FF3" w14:textId="27E17CDA" w:rsidR="00C4237F" w:rsidRDefault="00615D3E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6D6CCE">
        <w:rPr>
          <w:rFonts w:cs="Times New Roman"/>
          <w:szCs w:val="24"/>
        </w:rPr>
        <w:t>3</w:t>
      </w:r>
      <w:r w:rsidRPr="006A4C3E">
        <w:rPr>
          <w:rFonts w:cs="Times New Roman"/>
          <w:szCs w:val="24"/>
        </w:rPr>
        <w:t>) Konanie o uloženie pokuty za nelegáln</w:t>
      </w:r>
      <w:r>
        <w:rPr>
          <w:rFonts w:cs="Times New Roman"/>
          <w:szCs w:val="24"/>
        </w:rPr>
        <w:t xml:space="preserve">u prácu a </w:t>
      </w:r>
      <w:r w:rsidR="00C4237F">
        <w:rPr>
          <w:rFonts w:cs="Times New Roman"/>
          <w:szCs w:val="24"/>
        </w:rPr>
        <w:t xml:space="preserve">konanie o uloženie </w:t>
      </w:r>
      <w:r w:rsidR="0075254C">
        <w:rPr>
          <w:rFonts w:cs="Times New Roman"/>
          <w:szCs w:val="24"/>
        </w:rPr>
        <w:t xml:space="preserve">pokuty </w:t>
      </w:r>
      <w:r>
        <w:rPr>
          <w:rFonts w:cs="Times New Roman"/>
          <w:szCs w:val="24"/>
        </w:rPr>
        <w:t>za</w:t>
      </w:r>
      <w:r w:rsidR="00CA71A2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porušenie zákazu </w:t>
      </w:r>
      <w:r w:rsidR="00644CBF">
        <w:rPr>
          <w:rFonts w:cs="Times New Roman"/>
          <w:szCs w:val="24"/>
        </w:rPr>
        <w:t xml:space="preserve">prijať prácu alebo službu </w:t>
      </w:r>
      <w:r>
        <w:rPr>
          <w:rFonts w:cs="Times New Roman"/>
          <w:szCs w:val="24"/>
        </w:rPr>
        <w:t>podľa §</w:t>
      </w:r>
      <w:r w:rsidR="00C4237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7b ods. 5</w:t>
      </w:r>
      <w:r w:rsidRPr="006A4C3E">
        <w:rPr>
          <w:rFonts w:cs="Times New Roman"/>
          <w:szCs w:val="24"/>
        </w:rPr>
        <w:t xml:space="preserve"> začaté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stredím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úradom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pred 1. januárom 2023, ktoré nebolo právoplatne skončené,</w:t>
      </w:r>
      <w:r w:rsidR="006D6CCE">
        <w:rPr>
          <w:rFonts w:cs="Times New Roman"/>
          <w:szCs w:val="24"/>
        </w:rPr>
        <w:t xml:space="preserve"> </w:t>
      </w:r>
      <w:r w:rsidRPr="006A4C3E">
        <w:rPr>
          <w:rFonts w:cs="Times New Roman"/>
          <w:szCs w:val="24"/>
        </w:rPr>
        <w:t xml:space="preserve">dokončí </w:t>
      </w:r>
      <w:r w:rsidR="0075254C">
        <w:rPr>
          <w:rFonts w:cs="Times New Roman"/>
          <w:szCs w:val="24"/>
        </w:rPr>
        <w:t>Ú</w:t>
      </w:r>
      <w:r w:rsidRPr="006A4C3E">
        <w:rPr>
          <w:rFonts w:cs="Times New Roman"/>
          <w:szCs w:val="24"/>
        </w:rPr>
        <w:t xml:space="preserve">stredie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 xml:space="preserve">alebo úrad </w:t>
      </w:r>
      <w:r w:rsidR="0075254C">
        <w:rPr>
          <w:rFonts w:cs="Times New Roman"/>
          <w:szCs w:val="24"/>
        </w:rPr>
        <w:t xml:space="preserve">práce, sociálnych vecí a rodiny </w:t>
      </w:r>
      <w:r w:rsidRPr="006A4C3E">
        <w:rPr>
          <w:rFonts w:cs="Times New Roman"/>
          <w:szCs w:val="24"/>
        </w:rPr>
        <w:t>podľa predpisov účinných do 31. decembra 2022.</w:t>
      </w:r>
    </w:p>
    <w:p w14:paraId="75F067CB" w14:textId="435B4B7B" w:rsidR="00615D3E" w:rsidRDefault="00615D3E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2EC5B04B" w14:textId="6892A654" w:rsidR="000F78D1" w:rsidRDefault="000F78D1" w:rsidP="000F78D1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(4) Na účely odsekov 1 až 3 sa porušenie zákazu nelegálnej práce a porušenie zákazu nelegálneho zamestnávania posudzuje podľa § 2a v znení účinnom od 1. januára 2023.</w:t>
      </w:r>
    </w:p>
    <w:p w14:paraId="7108FACB" w14:textId="77777777" w:rsidR="000F78D1" w:rsidRDefault="000F78D1" w:rsidP="000F78D1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04ED1E4E" w14:textId="1CA943A1" w:rsidR="0009705A" w:rsidRPr="0009705A" w:rsidRDefault="002F7AC5" w:rsidP="0009705A">
      <w:pPr>
        <w:shd w:val="clear" w:color="auto" w:fill="FFFFFF"/>
        <w:suppressAutoHyphens w:val="0"/>
        <w:ind w:left="357" w:firstLine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0F78D1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) </w:t>
      </w:r>
      <w:r w:rsidR="00885D5D">
        <w:rPr>
          <w:rFonts w:cs="Times New Roman"/>
          <w:szCs w:val="24"/>
        </w:rPr>
        <w:t xml:space="preserve">V  konaní  </w:t>
      </w:r>
      <w:r w:rsidR="000D3462">
        <w:rPr>
          <w:rFonts w:cs="Times New Roman"/>
          <w:szCs w:val="24"/>
        </w:rPr>
        <w:t xml:space="preserve">pred </w:t>
      </w:r>
      <w:r w:rsidR="00885D5D">
        <w:rPr>
          <w:rFonts w:cs="Times New Roman"/>
          <w:szCs w:val="24"/>
        </w:rPr>
        <w:t>správn</w:t>
      </w:r>
      <w:r w:rsidR="000D3462">
        <w:rPr>
          <w:rFonts w:cs="Times New Roman"/>
          <w:szCs w:val="24"/>
        </w:rPr>
        <w:t>ym</w:t>
      </w:r>
      <w:r w:rsidR="00885D5D">
        <w:rPr>
          <w:rFonts w:cs="Times New Roman"/>
          <w:szCs w:val="24"/>
        </w:rPr>
        <w:t xml:space="preserve"> súd</w:t>
      </w:r>
      <w:r w:rsidR="000D3462">
        <w:rPr>
          <w:rFonts w:cs="Times New Roman"/>
          <w:szCs w:val="24"/>
        </w:rPr>
        <w:t>om</w:t>
      </w:r>
      <w:r w:rsidR="00885D5D">
        <w:rPr>
          <w:rFonts w:cs="Times New Roman"/>
          <w:szCs w:val="24"/>
        </w:rPr>
        <w:t xml:space="preserve"> </w:t>
      </w:r>
      <w:r w:rsidR="0009705A">
        <w:rPr>
          <w:rFonts w:cs="Times New Roman"/>
          <w:szCs w:val="24"/>
        </w:rPr>
        <w:t xml:space="preserve">vo veci </w:t>
      </w:r>
      <w:r w:rsidR="000D3462">
        <w:rPr>
          <w:rFonts w:cs="Times New Roman"/>
          <w:szCs w:val="24"/>
        </w:rPr>
        <w:t>preskúmania zákonnosti rozhodnutia o</w:t>
      </w:r>
      <w:r w:rsidR="00CA71A2">
        <w:rPr>
          <w:rFonts w:cs="Times New Roman"/>
          <w:szCs w:val="24"/>
        </w:rPr>
        <w:t> </w:t>
      </w:r>
      <w:r w:rsidR="0009705A">
        <w:rPr>
          <w:rFonts w:cs="Times New Roman"/>
          <w:szCs w:val="24"/>
        </w:rPr>
        <w:t>uložen</w:t>
      </w:r>
      <w:r w:rsidR="000D3462">
        <w:rPr>
          <w:rFonts w:cs="Times New Roman"/>
          <w:szCs w:val="24"/>
        </w:rPr>
        <w:t>í</w:t>
      </w:r>
      <w:r w:rsidR="0009705A" w:rsidRPr="006A4C3E">
        <w:rPr>
          <w:rFonts w:cs="Times New Roman"/>
          <w:szCs w:val="24"/>
        </w:rPr>
        <w:t xml:space="preserve"> pokuty za nelegáln</w:t>
      </w:r>
      <w:r w:rsidR="0009705A">
        <w:rPr>
          <w:rFonts w:cs="Times New Roman"/>
          <w:szCs w:val="24"/>
        </w:rPr>
        <w:t xml:space="preserve">u prácu alebo </w:t>
      </w:r>
      <w:r w:rsidR="0075254C">
        <w:rPr>
          <w:rFonts w:cs="Times New Roman"/>
          <w:szCs w:val="24"/>
        </w:rPr>
        <w:t xml:space="preserve">pokuty </w:t>
      </w:r>
      <w:r w:rsidR="0009705A">
        <w:rPr>
          <w:rFonts w:cs="Times New Roman"/>
          <w:szCs w:val="24"/>
        </w:rPr>
        <w:t xml:space="preserve">za porušenie zákazu </w:t>
      </w:r>
      <w:r w:rsidR="00644CBF">
        <w:rPr>
          <w:rFonts w:cs="Times New Roman"/>
          <w:szCs w:val="24"/>
        </w:rPr>
        <w:t xml:space="preserve">prijať prácu alebo službu </w:t>
      </w:r>
      <w:r w:rsidR="0009705A">
        <w:rPr>
          <w:rFonts w:cs="Times New Roman"/>
          <w:szCs w:val="24"/>
        </w:rPr>
        <w:t>podľa § 7b ods. 5</w:t>
      </w:r>
      <w:r w:rsidR="0009705A" w:rsidRPr="006A4C3E">
        <w:rPr>
          <w:rFonts w:cs="Times New Roman"/>
          <w:szCs w:val="24"/>
        </w:rPr>
        <w:t xml:space="preserve"> </w:t>
      </w:r>
      <w:r w:rsidR="00885D5D">
        <w:rPr>
          <w:rFonts w:cs="Times New Roman"/>
          <w:szCs w:val="24"/>
        </w:rPr>
        <w:t>začatom pred 1. januárom 2023 zostáva Ústredie práce, sociálnych vecí a rodiny účastníkom konania. Ak súd v konaní</w:t>
      </w:r>
      <w:r w:rsidR="0009705A">
        <w:rPr>
          <w:rFonts w:cs="Times New Roman"/>
          <w:szCs w:val="24"/>
        </w:rPr>
        <w:t xml:space="preserve"> podľa prvej vety</w:t>
      </w:r>
      <w:r w:rsidR="00885D5D">
        <w:rPr>
          <w:rFonts w:cs="Times New Roman"/>
          <w:szCs w:val="24"/>
        </w:rPr>
        <w:t xml:space="preserve"> zruší napadnuté rozhodnutie a vec vráti správnemu orgánu na </w:t>
      </w:r>
      <w:r w:rsidR="0009705A">
        <w:rPr>
          <w:rFonts w:cs="Times New Roman"/>
          <w:szCs w:val="24"/>
        </w:rPr>
        <w:t xml:space="preserve">nové </w:t>
      </w:r>
      <w:r w:rsidR="0009705A" w:rsidRPr="0009705A">
        <w:rPr>
          <w:rFonts w:cs="Times New Roman"/>
          <w:szCs w:val="24"/>
        </w:rPr>
        <w:t>prejednanie a rozhodnutie</w:t>
      </w:r>
      <w:r w:rsidR="00885D5D" w:rsidRPr="0009705A">
        <w:rPr>
          <w:rFonts w:cs="Times New Roman"/>
          <w:szCs w:val="24"/>
        </w:rPr>
        <w:t>, v</w:t>
      </w:r>
      <w:r w:rsidR="0009705A" w:rsidRPr="0009705A">
        <w:rPr>
          <w:rFonts w:cs="Times New Roman"/>
          <w:szCs w:val="24"/>
        </w:rPr>
        <w:t> </w:t>
      </w:r>
      <w:r w:rsidR="00885D5D" w:rsidRPr="0009705A">
        <w:rPr>
          <w:rFonts w:cs="Times New Roman"/>
          <w:szCs w:val="24"/>
        </w:rPr>
        <w:t>n</w:t>
      </w:r>
      <w:r w:rsidR="0009705A" w:rsidRPr="0009705A">
        <w:rPr>
          <w:rFonts w:cs="Times New Roman"/>
          <w:szCs w:val="24"/>
        </w:rPr>
        <w:t xml:space="preserve">ovom konaní rozhodne </w:t>
      </w:r>
    </w:p>
    <w:p w14:paraId="59E30360" w14:textId="5EE716FE" w:rsidR="0009705A" w:rsidRPr="0009705A" w:rsidRDefault="0009705A" w:rsidP="0009705A">
      <w:pPr>
        <w:pStyle w:val="Odsekzoznamu"/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prvom stupni inšpektorát práce miestne príslušný podľa sídla úradu práce, sociálnych vecí a rodiny, ktorý v pôvodnom konaní rozhodoval v prvom stupni</w:t>
      </w:r>
      <w:r>
        <w:rPr>
          <w:rFonts w:ascii="Times New Roman" w:hAnsi="Times New Roman"/>
          <w:sz w:val="24"/>
          <w:szCs w:val="24"/>
        </w:rPr>
        <w:t>,</w:t>
      </w:r>
    </w:p>
    <w:p w14:paraId="6ECDFE4D" w14:textId="52D3F50F" w:rsidR="0009705A" w:rsidRPr="0009705A" w:rsidRDefault="0009705A" w:rsidP="0009705A">
      <w:pPr>
        <w:pStyle w:val="Odsekzoznamu"/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druhom stupni Národný inšpektorát práce.</w:t>
      </w:r>
    </w:p>
    <w:p w14:paraId="10EC6DA8" w14:textId="7C945B9D" w:rsidR="002F7AC5" w:rsidRDefault="002F7AC5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1699E29E" w14:textId="176F309B" w:rsidR="002F7AC5" w:rsidRDefault="00F10762" w:rsidP="002F7AC5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(6)</w:t>
      </w:r>
      <w:r w:rsidR="002F7AC5">
        <w:rPr>
          <w:rFonts w:cs="Times New Roman"/>
          <w:szCs w:val="24"/>
        </w:rPr>
        <w:t xml:space="preserve"> </w:t>
      </w:r>
      <w:r w:rsidR="002F7AC5" w:rsidRPr="002F7AC5">
        <w:rPr>
          <w:rFonts w:cs="Times New Roman"/>
          <w:szCs w:val="24"/>
        </w:rPr>
        <w:t>Ústredie práce, sociálnych vecí a rodiny a</w:t>
      </w:r>
      <w:r w:rsidR="002F7AC5">
        <w:rPr>
          <w:rFonts w:cs="Times New Roman"/>
          <w:szCs w:val="24"/>
        </w:rPr>
        <w:t xml:space="preserve"> </w:t>
      </w:r>
      <w:r w:rsidR="002F7AC5" w:rsidRPr="002F7AC5">
        <w:rPr>
          <w:rFonts w:cs="Times New Roman"/>
          <w:szCs w:val="24"/>
        </w:rPr>
        <w:t>úrad práce, sociálnych vecí a</w:t>
      </w:r>
      <w:r w:rsidR="002F7AC5">
        <w:rPr>
          <w:rFonts w:cs="Times New Roman"/>
          <w:szCs w:val="24"/>
        </w:rPr>
        <w:t> </w:t>
      </w:r>
      <w:r w:rsidR="002F7AC5" w:rsidRPr="002F7AC5">
        <w:rPr>
          <w:rFonts w:cs="Times New Roman"/>
          <w:szCs w:val="24"/>
        </w:rPr>
        <w:t>rodiny</w:t>
      </w:r>
      <w:r w:rsidR="002F7AC5">
        <w:rPr>
          <w:rFonts w:cs="Times New Roman"/>
          <w:szCs w:val="24"/>
        </w:rPr>
        <w:t xml:space="preserve"> poskytnú </w:t>
      </w:r>
      <w:r w:rsidR="002F7AC5" w:rsidRPr="002F7AC5">
        <w:rPr>
          <w:rFonts w:cs="Times New Roman"/>
          <w:szCs w:val="24"/>
        </w:rPr>
        <w:t>Národnému inšpektorátu práce</w:t>
      </w:r>
      <w:r w:rsidR="002F7AC5">
        <w:rPr>
          <w:rFonts w:cs="Times New Roman"/>
          <w:szCs w:val="24"/>
        </w:rPr>
        <w:t xml:space="preserve"> informáci</w:t>
      </w:r>
      <w:r w:rsidR="00885D5D">
        <w:rPr>
          <w:rFonts w:cs="Times New Roman"/>
          <w:szCs w:val="24"/>
        </w:rPr>
        <w:t>e podľa § 5a ods. 3 aj za rok 2022</w:t>
      </w:r>
      <w:r w:rsidR="002F7AC5">
        <w:rPr>
          <w:rFonts w:cs="Times New Roman"/>
          <w:szCs w:val="24"/>
        </w:rPr>
        <w:t>.</w:t>
      </w:r>
      <w:r w:rsidR="0009705A">
        <w:rPr>
          <w:rFonts w:cs="Times New Roman"/>
          <w:szCs w:val="24"/>
        </w:rPr>
        <w:t>“.</w:t>
      </w:r>
    </w:p>
    <w:p w14:paraId="628B85D4" w14:textId="296A3EAE" w:rsidR="002F7AC5" w:rsidRDefault="002F7AC5" w:rsidP="00615D3E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74BE531B" w14:textId="77777777" w:rsidR="006A4C3E" w:rsidRPr="006A4C3E" w:rsidRDefault="006A4C3E" w:rsidP="00BD4C06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  <w:r w:rsidRPr="006A4C3E">
        <w:rPr>
          <w:rFonts w:cs="Times New Roman"/>
          <w:b/>
          <w:color w:val="000000" w:themeColor="text1"/>
          <w:szCs w:val="24"/>
        </w:rPr>
        <w:t>Čl. II</w:t>
      </w:r>
    </w:p>
    <w:p w14:paraId="448728F8" w14:textId="77777777" w:rsidR="006A4C3E" w:rsidRPr="006A4C3E" w:rsidRDefault="006A4C3E" w:rsidP="00BD4C06">
      <w:pPr>
        <w:contextualSpacing/>
        <w:jc w:val="center"/>
        <w:rPr>
          <w:rFonts w:cs="Times New Roman"/>
          <w:b/>
          <w:color w:val="000000" w:themeColor="text1"/>
          <w:szCs w:val="24"/>
        </w:rPr>
      </w:pPr>
    </w:p>
    <w:p w14:paraId="103B9D2B" w14:textId="1FA87145" w:rsidR="006A4C3E" w:rsidRPr="006A4C3E" w:rsidRDefault="006A4C3E" w:rsidP="00694BA6">
      <w:pPr>
        <w:pStyle w:val="Standard"/>
        <w:widowControl w:val="0"/>
        <w:tabs>
          <w:tab w:val="left" w:leader="dot" w:pos="9143"/>
        </w:tabs>
        <w:ind w:firstLine="357"/>
        <w:contextualSpacing/>
        <w:jc w:val="both"/>
        <w:rPr>
          <w:rFonts w:cs="Times New Roman"/>
          <w:color w:val="000000" w:themeColor="text1"/>
          <w:szCs w:val="24"/>
        </w:rPr>
      </w:pPr>
      <w:r w:rsidRPr="006A4C3E">
        <w:rPr>
          <w:rFonts w:cs="Times New Roman"/>
          <w:color w:val="000000" w:themeColor="text1"/>
          <w:szCs w:val="24"/>
        </w:rPr>
        <w:t>Zákon č. 5/2004 Z. z. o službách zamestnanosti a o zmene a doplnení niektorých zákonov v znení zákona č. 191/2004 Z. z., zákona č. 365/2004 Z. z., zákona č. 585/2004 Z. 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 xml:space="preserve">614/2004 Z. z., zákona č. </w:t>
      </w:r>
      <w:r w:rsidRPr="006A4C3E">
        <w:rPr>
          <w:rFonts w:cs="Times New Roman"/>
          <w:color w:val="000000" w:themeColor="text1"/>
          <w:szCs w:val="24"/>
        </w:rPr>
        <w:lastRenderedPageBreak/>
        <w:t>1/2005 Z. z., zákona č. 82/2005 Z. z., zákona č. 528/2005 Z. z., zákona č. 573/2005 Z. z., zákona č. 310/2006 Z. z., zákona č. 693/2006 Z. 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561/2007 Z. z., zákona č. 139/2008 Z. z., zákona č. 233/2008 Z. z., zákona č. 263/2008 Z. z., zákona č. 460/2008 Z. z., zákona č. 562/2008 Z. z., zákona č. 49/2009 Z. z., zákona č. 108/2009 Z. z., zákona č. 266/2009 Z. z., zákona č. 463/2009 Z. z., zákona č. 594/2009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52/2010 Z. z., zákona č. 136/2010 Z. z., zákona č. 373/2010 Z. z., zákona č. 120/2011 Z. z., zákona č. 223/2011 Z. z., zákona č. 231/2011 Z. z., zákona č. 257/2011 Z. z., zákona č. 468/2011 Z. z., zákona č. 324/2012 Z. z., zákona č. 96/2013 Z. z., zákona č. 308/2013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352/2013 Z. z., zákona č. 436/2013 Z. z., zákona č. 495/2013 Z. z., zákona č. 310/2014 Z. z., zákona č. 311/2014 Z. z., zákona č. 14/2015 Z. z., zákona č. 336/2015 Z. z., zákona č. 353/2015 Z. z., zákona č. 378/2015 Z. z., zákona č. 389/2015 Z. z., zákona č. 91/2016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310/2016 Z. z., zákona č. 81/2017 Z. z., zákona č. 82/2017 Z. z., zákona č. 57/2018 Z. z., zákona č. 63/2018 Z. z., zákona č. 64/2018 Z. z., zákona č. 108/2018 Z. z., zákona č. 112/2018 Z. z., zákona č. 177/2018 Z. z., zákona č. 317/2018 Z. z., zákona č. 376/2018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35/2019 Z. z., zákona č. 83/2019 Z. z., zákona č. 221/2019 Z. z., zákona č. 223/2019 Z. z., zákona č. 225/2019 Z. z., zákona č. 374/2019 Z. z., zákona č. 63/2020 Z. z., zákona č. 66/2020 Z. z., zákona č. 95/2020 Z. z., zákona č. 127/2020 Z. z., zákona č. 198/2020 Z. z., zákona č.</w:t>
      </w:r>
      <w:r w:rsidR="00CA71A2">
        <w:rPr>
          <w:rFonts w:cs="Times New Roman"/>
          <w:color w:val="000000" w:themeColor="text1"/>
          <w:szCs w:val="24"/>
        </w:rPr>
        <w:t> </w:t>
      </w:r>
      <w:r w:rsidRPr="006A4C3E">
        <w:rPr>
          <w:rFonts w:cs="Times New Roman"/>
          <w:color w:val="000000" w:themeColor="text1"/>
          <w:szCs w:val="24"/>
        </w:rPr>
        <w:t>264/2020 Z. z., zákona č. 9/2021 Z. z., zákona č. 76/2021 Z. z., zákona č. 215/2021 Z. z.</w:t>
      </w:r>
      <w:r w:rsidR="00262475">
        <w:rPr>
          <w:rFonts w:cs="Times New Roman"/>
          <w:color w:val="000000" w:themeColor="text1"/>
          <w:szCs w:val="24"/>
        </w:rPr>
        <w:t>,</w:t>
      </w:r>
      <w:r w:rsidRPr="006A4C3E">
        <w:rPr>
          <w:rFonts w:cs="Times New Roman"/>
          <w:color w:val="000000" w:themeColor="text1"/>
          <w:szCs w:val="24"/>
        </w:rPr>
        <w:t xml:space="preserve"> zákona č. 310/2021 Z. z. </w:t>
      </w:r>
      <w:r w:rsidR="00262475">
        <w:rPr>
          <w:rFonts w:cs="Times New Roman"/>
          <w:color w:val="000000" w:themeColor="text1"/>
          <w:szCs w:val="24"/>
        </w:rPr>
        <w:t xml:space="preserve">a zákona č. 480/2021 Z. z. </w:t>
      </w:r>
      <w:r w:rsidRPr="006A4C3E">
        <w:rPr>
          <w:rFonts w:cs="Times New Roman"/>
          <w:color w:val="000000" w:themeColor="text1"/>
          <w:szCs w:val="24"/>
        </w:rPr>
        <w:t>sa mení a dopĺňa takto:</w:t>
      </w:r>
    </w:p>
    <w:p w14:paraId="5A0943C0" w14:textId="77777777" w:rsidR="006A4C3E" w:rsidRPr="006A4C3E" w:rsidRDefault="006A4C3E" w:rsidP="00BD4C06">
      <w:pPr>
        <w:contextualSpacing/>
        <w:jc w:val="both"/>
        <w:rPr>
          <w:rFonts w:cs="Times New Roman"/>
          <w:color w:val="000000" w:themeColor="text1"/>
          <w:szCs w:val="24"/>
          <w:lang w:eastAsia="sk-SK"/>
        </w:rPr>
      </w:pPr>
    </w:p>
    <w:p w14:paraId="30790161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 poznámke pod čiarou k odkazu 17 sa vypúšťa citácia „Zákon č. </w:t>
      </w:r>
      <w:r w:rsidRPr="006A4C3E">
        <w:rPr>
          <w:rFonts w:ascii="Times New Roman" w:hAnsi="Times New Roman"/>
          <w:iCs/>
          <w:color w:val="000000" w:themeColor="text1"/>
          <w:sz w:val="24"/>
          <w:szCs w:val="24"/>
          <w:lang w:eastAsia="sk-SK"/>
        </w:rPr>
        <w:t>82/2005 Z. z.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 nelegálnej práci a nelegálnom zamestnávaní a o zmene a doplnení niektorých zákonov v znení neskorších predpisov.“.</w:t>
      </w:r>
    </w:p>
    <w:p w14:paraId="2D36BDE8" w14:textId="77777777" w:rsidR="006A4C3E" w:rsidRPr="006A4C3E" w:rsidRDefault="006A4C3E" w:rsidP="00BD4C06">
      <w:pPr>
        <w:contextualSpacing/>
        <w:jc w:val="both"/>
        <w:rPr>
          <w:rFonts w:cs="Times New Roman"/>
          <w:color w:val="000000" w:themeColor="text1"/>
          <w:szCs w:val="24"/>
          <w:lang w:eastAsia="sk-SK"/>
        </w:rPr>
      </w:pPr>
    </w:p>
    <w:p w14:paraId="282034B1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12 písmeno p) znie:</w:t>
      </w:r>
    </w:p>
    <w:p w14:paraId="769221BF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„p) kontrolovať dodržiavanie tohto zákona okrem § 53e a dodržiavanie všeobecne záväzných právnych predpisov vydaných na jeho základe,“.</w:t>
      </w:r>
    </w:p>
    <w:p w14:paraId="5F25861C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D96C567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18a sa vypúšťa.</w:t>
      </w:r>
    </w:p>
    <w:p w14:paraId="5C1FC31A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98CAF9C" w14:textId="6B664C02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12 sa vypúšťajú písmená ad)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af)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ah)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</w:p>
    <w:p w14:paraId="3539D47B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699403D" w14:textId="34DDA193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Doterajšie písmená ae)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ag)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ai)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 aj) sa označujú ako písmená ad) až a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g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).</w:t>
      </w:r>
    </w:p>
    <w:p w14:paraId="40421790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28EBA0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>Poznámka pod čiarou k odkazu 18b sa vypúšťa.</w:t>
      </w:r>
    </w:p>
    <w:p w14:paraId="788308F6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5FBB994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 ods. 1 písm. e) sa vypúšťa piaty bod.</w:t>
      </w:r>
    </w:p>
    <w:p w14:paraId="350B587B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F4E27E0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 ods. 1 písm. j) sa vypúšťajú slová „a osobitného predpisu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18a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445C70E6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9640E0F" w14:textId="358C6489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 ods. 1 sa vypúšťajú písmená k)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l)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aj)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</w:p>
    <w:p w14:paraId="7E7C1B81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7A381DB2" w14:textId="1DC82639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Doterajšie písmená m) až a</w:t>
      </w:r>
      <w:r w:rsidR="008A5A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i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sa označujú ako písmená k) až </w:t>
      </w:r>
      <w:r w:rsidR="00DA0845"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</w:t>
      </w:r>
      <w:r w:rsidR="00DA084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g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).</w:t>
      </w:r>
    </w:p>
    <w:p w14:paraId="55D81CF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EDD025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Poznámky pod čiarou k odkazom 19 a 19a sa vypúšťajú.</w:t>
      </w:r>
    </w:p>
    <w:p w14:paraId="5FAF4A59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2C41F82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 § 13 ods. 1 písmeno t) znie: </w:t>
      </w:r>
    </w:p>
    <w:p w14:paraId="18F99CA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„t) kontrolovať dodržiavanie tohto zákona okrem § 53e a dodržiavanie všeobecne záväzných právnych predpisov vydaných na jeho základe,“.</w:t>
      </w:r>
    </w:p>
    <w:p w14:paraId="3AFAEDF6" w14:textId="77777777" w:rsidR="006A4C3E" w:rsidRPr="006A4C3E" w:rsidRDefault="006A4C3E" w:rsidP="00BD4C06">
      <w:pPr>
        <w:shd w:val="clear" w:color="auto" w:fill="FFFFFF"/>
        <w:suppressAutoHyphens w:val="0"/>
        <w:contextualSpacing/>
        <w:jc w:val="both"/>
        <w:rPr>
          <w:rFonts w:cs="Times New Roman"/>
          <w:color w:val="000000" w:themeColor="text1"/>
          <w:szCs w:val="24"/>
          <w:lang w:eastAsia="sk-SK"/>
        </w:rPr>
      </w:pPr>
    </w:p>
    <w:p w14:paraId="4787BA8D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18 ods. 1 písm. a) sa slová „písm. aa)“ nahrádzajú slovami „písm. y)“.</w:t>
      </w:r>
    </w:p>
    <w:p w14:paraId="3D0C984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73B9D16" w14:textId="37FB105F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21 ods. 4, § 21b ods. 7 a § 23a ods. 1 písm. u)  sa slová „písm. ai)“ nahrádzajú slovami „písm. a</w:t>
      </w:r>
      <w:r w:rsidR="00B5213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35062A09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8877B54" w14:textId="2067FD4B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36 ods. 2 písm. a) sa</w:t>
      </w:r>
      <w:r w:rsidR="00EB54D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nad slovom „práce“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odkaz „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18a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 nahrádza odkazom „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42a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10931A1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765D80C8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42a znie:</w:t>
      </w:r>
    </w:p>
    <w:p w14:paraId="7C2265F9" w14:textId="3D63A39C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42a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Zákon č. </w:t>
      </w:r>
      <w:r w:rsidRPr="006A4C3E">
        <w:rPr>
          <w:rFonts w:ascii="Times New Roman" w:hAnsi="Times New Roman"/>
          <w:iCs/>
          <w:color w:val="000000" w:themeColor="text1"/>
          <w:sz w:val="24"/>
          <w:szCs w:val="24"/>
          <w:lang w:eastAsia="sk-SK"/>
        </w:rPr>
        <w:t>82/2005 Z. z.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 nelegálnej práci a nelegálnom zamestnávaní a o zmene a</w:t>
      </w:r>
      <w:r w:rsidR="00DC7FE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doplnení niektorých zákonov v znení neskorších predpisov.“.</w:t>
      </w:r>
    </w:p>
    <w:p w14:paraId="4EAF0242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AF6811C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 poznámke pod čiarou k odkazu 62 sa vypúšťa citácia „Zákon č. </w:t>
      </w:r>
      <w:r w:rsidRPr="006A4C3E">
        <w:rPr>
          <w:rFonts w:ascii="Times New Roman" w:hAnsi="Times New Roman"/>
          <w:iCs/>
          <w:color w:val="000000" w:themeColor="text1"/>
          <w:sz w:val="24"/>
          <w:szCs w:val="24"/>
          <w:lang w:eastAsia="sk-SK"/>
        </w:rPr>
        <w:t>82/2005 Z. z.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znení neskorších predpisov.“.</w:t>
      </w:r>
    </w:p>
    <w:p w14:paraId="4DC3CE90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BD83769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68 ods. 3 sa vypúšťajú slová „a osobitného predpisu</w:t>
      </w:r>
      <w:r w:rsidRPr="006A4C3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18a</w:t>
      </w:r>
      <w:r w:rsidRPr="006A4C3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14:paraId="60D2B3D3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E498916" w14:textId="35027871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lastRenderedPageBreak/>
        <w:t>V § 68 sa vypúšťa</w:t>
      </w:r>
      <w:r w:rsidR="008A5AED">
        <w:rPr>
          <w:rFonts w:ascii="Times New Roman" w:hAnsi="Times New Roman"/>
          <w:sz w:val="24"/>
          <w:szCs w:val="24"/>
        </w:rPr>
        <w:t>jú</w:t>
      </w:r>
      <w:r w:rsidRPr="006A4C3E">
        <w:rPr>
          <w:rFonts w:ascii="Times New Roman" w:hAnsi="Times New Roman"/>
          <w:sz w:val="24"/>
          <w:szCs w:val="24"/>
        </w:rPr>
        <w:t xml:space="preserve"> odsek</w:t>
      </w:r>
      <w:r w:rsidR="008A5AED">
        <w:rPr>
          <w:rFonts w:ascii="Times New Roman" w:hAnsi="Times New Roman"/>
          <w:sz w:val="24"/>
          <w:szCs w:val="24"/>
        </w:rPr>
        <w:t>y</w:t>
      </w:r>
      <w:r w:rsidRPr="006A4C3E">
        <w:rPr>
          <w:rFonts w:ascii="Times New Roman" w:hAnsi="Times New Roman"/>
          <w:sz w:val="24"/>
          <w:szCs w:val="24"/>
        </w:rPr>
        <w:t xml:space="preserve"> </w:t>
      </w:r>
      <w:r w:rsidR="008A5AED">
        <w:rPr>
          <w:rFonts w:ascii="Times New Roman" w:hAnsi="Times New Roman"/>
          <w:sz w:val="24"/>
          <w:szCs w:val="24"/>
        </w:rPr>
        <w:t xml:space="preserve">5 a </w:t>
      </w:r>
      <w:r w:rsidRPr="006A4C3E">
        <w:rPr>
          <w:rFonts w:ascii="Times New Roman" w:hAnsi="Times New Roman"/>
          <w:sz w:val="24"/>
          <w:szCs w:val="24"/>
        </w:rPr>
        <w:t>7.</w:t>
      </w:r>
    </w:p>
    <w:p w14:paraId="361CC5E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E09ED0" w14:textId="35AFD3D8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Doterajšie odseky </w:t>
      </w:r>
      <w:r w:rsidR="008A5AED">
        <w:rPr>
          <w:rFonts w:ascii="Times New Roman" w:hAnsi="Times New Roman"/>
          <w:sz w:val="24"/>
          <w:szCs w:val="24"/>
        </w:rPr>
        <w:t xml:space="preserve">6, </w:t>
      </w:r>
      <w:r w:rsidRPr="006A4C3E">
        <w:rPr>
          <w:rFonts w:ascii="Times New Roman" w:hAnsi="Times New Roman"/>
          <w:sz w:val="24"/>
          <w:szCs w:val="24"/>
        </w:rPr>
        <w:t xml:space="preserve">8 a 9 sa označujú ako odseky </w:t>
      </w:r>
      <w:r w:rsidR="008A5AED">
        <w:rPr>
          <w:rFonts w:ascii="Times New Roman" w:hAnsi="Times New Roman"/>
          <w:sz w:val="24"/>
          <w:szCs w:val="24"/>
        </w:rPr>
        <w:t xml:space="preserve">5 až </w:t>
      </w:r>
      <w:r w:rsidRPr="006A4C3E">
        <w:rPr>
          <w:rFonts w:ascii="Times New Roman" w:hAnsi="Times New Roman"/>
          <w:sz w:val="24"/>
          <w:szCs w:val="24"/>
        </w:rPr>
        <w:t>7.</w:t>
      </w:r>
    </w:p>
    <w:p w14:paraId="2C394304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CCC5CC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V 68a ods. 1 sa vypúšťa písmeno b). </w:t>
      </w:r>
    </w:p>
    <w:p w14:paraId="69CCF8A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6CEF51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Doterajšie písmená c) a d) sa označujú ako písmená b) a c).</w:t>
      </w:r>
    </w:p>
    <w:p w14:paraId="2925FAE7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1728CA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V § 68a odsek 2 znie: </w:t>
      </w:r>
    </w:p>
    <w:p w14:paraId="6084A20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57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„(2) Ústredie a úrad pri ukladaní pokuty podľa odseku 1 prihliadajú na závažnosť zistených nedostatkov, závažnosť ich následkov a opakované zistenie toho istého nedostatku.“.</w:t>
      </w:r>
    </w:p>
    <w:p w14:paraId="5B49B04D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D632C" w14:textId="77777777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V § 68a sa vypúšťa odsek 4.</w:t>
      </w:r>
    </w:p>
    <w:p w14:paraId="77D269B8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2EB6C5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Doterajší odsek 5 sa označuje ako odsek 4.</w:t>
      </w:r>
    </w:p>
    <w:p w14:paraId="41269861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B0A1E6" w14:textId="355EDC50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>V § 70 ods. 1 sa slová „ae), af) a aj)“ nahrádzajú slovami „a</w:t>
      </w:r>
      <w:r w:rsidR="00E959F6">
        <w:rPr>
          <w:rFonts w:ascii="Times New Roman" w:hAnsi="Times New Roman"/>
          <w:sz w:val="24"/>
          <w:szCs w:val="24"/>
        </w:rPr>
        <w:t>d</w:t>
      </w:r>
      <w:r w:rsidRPr="006A4C3E">
        <w:rPr>
          <w:rFonts w:ascii="Times New Roman" w:hAnsi="Times New Roman"/>
          <w:sz w:val="24"/>
          <w:szCs w:val="24"/>
        </w:rPr>
        <w:t>) a a</w:t>
      </w:r>
      <w:r w:rsidR="00B5213D">
        <w:rPr>
          <w:rFonts w:ascii="Times New Roman" w:hAnsi="Times New Roman"/>
          <w:sz w:val="24"/>
          <w:szCs w:val="24"/>
        </w:rPr>
        <w:t>g</w:t>
      </w:r>
      <w:r w:rsidRPr="006A4C3E">
        <w:rPr>
          <w:rFonts w:ascii="Times New Roman" w:hAnsi="Times New Roman"/>
          <w:sz w:val="24"/>
          <w:szCs w:val="24"/>
        </w:rPr>
        <w:t>)“.</w:t>
      </w:r>
    </w:p>
    <w:p w14:paraId="133FB42C" w14:textId="77777777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EFB7A2" w14:textId="63BE2043" w:rsidR="006A4C3E" w:rsidRPr="006A4C3E" w:rsidRDefault="006A4C3E" w:rsidP="00BD4C06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sz w:val="24"/>
          <w:szCs w:val="24"/>
        </w:rPr>
        <w:t xml:space="preserve">Za </w:t>
      </w:r>
      <w:r w:rsidR="0076733F">
        <w:rPr>
          <w:rFonts w:ascii="Times New Roman" w:hAnsi="Times New Roman"/>
          <w:sz w:val="24"/>
          <w:szCs w:val="24"/>
        </w:rPr>
        <w:t>§ 72at</w:t>
      </w:r>
      <w:r w:rsidRPr="006A4C3E">
        <w:rPr>
          <w:rFonts w:ascii="Times New Roman" w:hAnsi="Times New Roman"/>
          <w:sz w:val="24"/>
          <w:szCs w:val="24"/>
        </w:rPr>
        <w:t xml:space="preserve"> sa vkladá </w:t>
      </w:r>
      <w:r w:rsidR="0076733F">
        <w:rPr>
          <w:rFonts w:ascii="Times New Roman" w:hAnsi="Times New Roman"/>
          <w:sz w:val="24"/>
          <w:szCs w:val="24"/>
        </w:rPr>
        <w:t>§ 72au</w:t>
      </w:r>
      <w:r w:rsidRPr="006A4C3E">
        <w:rPr>
          <w:rFonts w:ascii="Times New Roman" w:hAnsi="Times New Roman"/>
          <w:sz w:val="24"/>
          <w:szCs w:val="24"/>
        </w:rPr>
        <w:t>, ktorý vrátane nadpisu znie:</w:t>
      </w:r>
    </w:p>
    <w:p w14:paraId="694B57C1" w14:textId="77777777" w:rsidR="00301FFC" w:rsidRPr="006A4C3E" w:rsidRDefault="00301FFC" w:rsidP="00BD4C06">
      <w:pPr>
        <w:pStyle w:val="Odsekzoznamu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6470F2" w14:textId="0FE88D40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C3E">
        <w:rPr>
          <w:rFonts w:ascii="Times New Roman" w:hAnsi="Times New Roman"/>
          <w:b/>
          <w:sz w:val="24"/>
          <w:szCs w:val="24"/>
        </w:rPr>
        <w:t>„</w:t>
      </w:r>
      <w:r w:rsidR="0076733F">
        <w:rPr>
          <w:rFonts w:ascii="Times New Roman" w:hAnsi="Times New Roman"/>
          <w:b/>
          <w:sz w:val="24"/>
          <w:szCs w:val="24"/>
        </w:rPr>
        <w:t>§ 72au</w:t>
      </w:r>
    </w:p>
    <w:p w14:paraId="09E87D30" w14:textId="04A8FB6A" w:rsidR="006A4C3E" w:rsidRPr="006A4C3E" w:rsidRDefault="006A4C3E" w:rsidP="00BD4C06">
      <w:pPr>
        <w:pStyle w:val="Odsekzoznamu"/>
        <w:shd w:val="clear" w:color="auto" w:fill="FFFFFF"/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6A4C3E">
        <w:rPr>
          <w:rFonts w:ascii="Times New Roman" w:hAnsi="Times New Roman"/>
          <w:b/>
          <w:sz w:val="24"/>
          <w:szCs w:val="24"/>
        </w:rPr>
        <w:t>Prechodné ustanovenia k úpravám účinným od 1. januára 2023</w:t>
      </w:r>
    </w:p>
    <w:p w14:paraId="239B6D53" w14:textId="77777777" w:rsidR="00615D3E" w:rsidRDefault="00615D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18267F02" w14:textId="1ABA2729" w:rsidR="00C925AE" w:rsidRDefault="006A4C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D27235">
        <w:rPr>
          <w:rFonts w:cs="Times New Roman"/>
          <w:szCs w:val="24"/>
        </w:rPr>
        <w:t>1</w:t>
      </w:r>
      <w:r w:rsidRPr="006A4C3E">
        <w:rPr>
          <w:rFonts w:cs="Times New Roman"/>
          <w:szCs w:val="24"/>
        </w:rPr>
        <w:t xml:space="preserve">) Konanie o uloženie pokuty za nelegálne zamestnávanie </w:t>
      </w:r>
      <w:r w:rsidR="00D27235">
        <w:rPr>
          <w:rFonts w:cs="Times New Roman"/>
          <w:szCs w:val="24"/>
        </w:rPr>
        <w:t xml:space="preserve">a konanie </w:t>
      </w:r>
      <w:r w:rsidR="00D27235" w:rsidRPr="00D27235">
        <w:rPr>
          <w:rFonts w:cs="Times New Roman"/>
          <w:szCs w:val="24"/>
        </w:rPr>
        <w:t>o uložení dodatočnej platby podľa osobitného predpisu</w:t>
      </w:r>
      <w:r w:rsidR="00D27235" w:rsidRPr="00EC1A99">
        <w:rPr>
          <w:rFonts w:cs="Times New Roman"/>
          <w:szCs w:val="24"/>
          <w:vertAlign w:val="superscript"/>
        </w:rPr>
        <w:t xml:space="preserve"> </w:t>
      </w:r>
      <w:r w:rsidRPr="006A4C3E">
        <w:rPr>
          <w:rFonts w:cs="Times New Roman"/>
          <w:szCs w:val="24"/>
        </w:rPr>
        <w:t>začaté ústredím alebo úradom pred 1.</w:t>
      </w:r>
      <w:r w:rsidR="003C476D">
        <w:rPr>
          <w:rFonts w:cs="Times New Roman"/>
          <w:szCs w:val="24"/>
        </w:rPr>
        <w:t> </w:t>
      </w:r>
      <w:r w:rsidRPr="006A4C3E">
        <w:rPr>
          <w:rFonts w:cs="Times New Roman"/>
          <w:szCs w:val="24"/>
        </w:rPr>
        <w:t>januárom 2023, ktoré nebolo právoplatne skončené, dokončí ústredie alebo úrad podľa predpisov účinných do 31. decembra 2022.</w:t>
      </w:r>
      <w:r w:rsidR="00C30241">
        <w:rPr>
          <w:rFonts w:cs="Times New Roman"/>
          <w:szCs w:val="24"/>
        </w:rPr>
        <w:t xml:space="preserve"> </w:t>
      </w:r>
    </w:p>
    <w:p w14:paraId="2C8CAACE" w14:textId="77777777" w:rsidR="006A4FD8" w:rsidRDefault="006A4FD8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222DED9F" w14:textId="77E1CD44" w:rsidR="00D27235" w:rsidRDefault="006A4C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 w:rsidRPr="006A4C3E">
        <w:rPr>
          <w:rFonts w:cs="Times New Roman"/>
          <w:szCs w:val="24"/>
        </w:rPr>
        <w:t>(</w:t>
      </w:r>
      <w:r w:rsidR="00E959F6">
        <w:rPr>
          <w:rFonts w:cs="Times New Roman"/>
          <w:szCs w:val="24"/>
        </w:rPr>
        <w:t>2</w:t>
      </w:r>
      <w:r w:rsidRPr="006A4C3E">
        <w:rPr>
          <w:rFonts w:cs="Times New Roman"/>
          <w:szCs w:val="24"/>
        </w:rPr>
        <w:t xml:space="preserve">) Pokutu za nelegálne zamestnávanie na základe výsledkov kontroly </w:t>
      </w:r>
      <w:r w:rsidR="00D27235">
        <w:rPr>
          <w:rFonts w:cs="Times New Roman"/>
          <w:szCs w:val="24"/>
        </w:rPr>
        <w:t>nelegálnej práce a nelegálneho zamestnávania začatej pred 1. januárom 2023</w:t>
      </w:r>
      <w:r w:rsidRPr="006A4C3E">
        <w:rPr>
          <w:rFonts w:cs="Times New Roman"/>
          <w:szCs w:val="24"/>
        </w:rPr>
        <w:t xml:space="preserve"> uloží ústredie alebo úrad podľa predpisov účinných do 31. decembra 2022.</w:t>
      </w:r>
    </w:p>
    <w:p w14:paraId="2FEABCA9" w14:textId="5092B2FF" w:rsidR="00D27235" w:rsidRDefault="00D27235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50548AD3" w14:textId="640D7DBC" w:rsidR="000F78D1" w:rsidRDefault="000F78D1" w:rsidP="000F78D1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(3) Na účely odsekov 1 a </w:t>
      </w:r>
      <w:r w:rsidR="00C925A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sa porušenie zákazu nelegálneho zamestnávania posudzuje podľa </w:t>
      </w:r>
      <w:r w:rsidR="00C7173A">
        <w:rPr>
          <w:rFonts w:cs="Times New Roman"/>
          <w:szCs w:val="24"/>
        </w:rPr>
        <w:t xml:space="preserve">osobitného </w:t>
      </w:r>
      <w:r w:rsidR="00C7173A" w:rsidRPr="00D27235">
        <w:rPr>
          <w:rFonts w:cs="Times New Roman"/>
          <w:szCs w:val="24"/>
        </w:rPr>
        <w:t>predpisu</w:t>
      </w:r>
      <w:r w:rsidR="00C7173A">
        <w:rPr>
          <w:rFonts w:cs="Times New Roman"/>
          <w:szCs w:val="24"/>
          <w:vertAlign w:val="superscript"/>
        </w:rPr>
        <w:t>67</w:t>
      </w:r>
      <w:r w:rsidR="00C7173A" w:rsidRPr="00EC1A99">
        <w:rPr>
          <w:rFonts w:cs="Times New Roman"/>
          <w:szCs w:val="24"/>
        </w:rPr>
        <w:t>)</w:t>
      </w:r>
      <w:r w:rsidR="00C717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 znení účinnom od 1. januára 2023.</w:t>
      </w:r>
    </w:p>
    <w:p w14:paraId="26E9C45E" w14:textId="77777777" w:rsidR="000F78D1" w:rsidRDefault="000F78D1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7D09A1DE" w14:textId="3D86735D" w:rsidR="00D27235" w:rsidRPr="0009705A" w:rsidRDefault="00D27235" w:rsidP="00D27235">
      <w:pPr>
        <w:shd w:val="clear" w:color="auto" w:fill="FFFFFF"/>
        <w:suppressAutoHyphens w:val="0"/>
        <w:ind w:left="357" w:firstLine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C7173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) V  konaní  </w:t>
      </w:r>
      <w:r w:rsidR="00432B26">
        <w:rPr>
          <w:rFonts w:cs="Times New Roman"/>
          <w:szCs w:val="24"/>
        </w:rPr>
        <w:t xml:space="preserve">pred </w:t>
      </w:r>
      <w:r>
        <w:rPr>
          <w:rFonts w:cs="Times New Roman"/>
          <w:szCs w:val="24"/>
        </w:rPr>
        <w:t>správn</w:t>
      </w:r>
      <w:r w:rsidR="00432B26">
        <w:rPr>
          <w:rFonts w:cs="Times New Roman"/>
          <w:szCs w:val="24"/>
        </w:rPr>
        <w:t>ym</w:t>
      </w:r>
      <w:r>
        <w:rPr>
          <w:rFonts w:cs="Times New Roman"/>
          <w:szCs w:val="24"/>
        </w:rPr>
        <w:t xml:space="preserve"> súd</w:t>
      </w:r>
      <w:r w:rsidR="00432B26">
        <w:rPr>
          <w:rFonts w:cs="Times New Roman"/>
          <w:szCs w:val="24"/>
        </w:rPr>
        <w:t>om</w:t>
      </w:r>
      <w:r>
        <w:rPr>
          <w:rFonts w:cs="Times New Roman"/>
          <w:szCs w:val="24"/>
        </w:rPr>
        <w:t xml:space="preserve"> vo veci </w:t>
      </w:r>
      <w:r w:rsidR="00432B26">
        <w:rPr>
          <w:rFonts w:cs="Times New Roman"/>
          <w:szCs w:val="24"/>
        </w:rPr>
        <w:t>preskúmania zákonnosti rozhodnutia o</w:t>
      </w:r>
      <w:r w:rsidR="00DC7FE7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uložen</w:t>
      </w:r>
      <w:r w:rsidR="00432B26">
        <w:rPr>
          <w:rFonts w:cs="Times New Roman"/>
          <w:szCs w:val="24"/>
        </w:rPr>
        <w:t>í</w:t>
      </w:r>
      <w:r w:rsidRPr="006A4C3E">
        <w:rPr>
          <w:rFonts w:cs="Times New Roman"/>
          <w:szCs w:val="24"/>
        </w:rPr>
        <w:t xml:space="preserve"> pokuty za nelegáln</w:t>
      </w:r>
      <w:r>
        <w:rPr>
          <w:rFonts w:cs="Times New Roman"/>
          <w:szCs w:val="24"/>
        </w:rPr>
        <w:t xml:space="preserve">e zamestnávanie alebo vo veci </w:t>
      </w:r>
      <w:r w:rsidR="00432B26">
        <w:rPr>
          <w:rFonts w:cs="Times New Roman"/>
          <w:szCs w:val="24"/>
        </w:rPr>
        <w:t xml:space="preserve">preskúmania zákonnosti rozhodnutia o </w:t>
      </w:r>
      <w:r>
        <w:rPr>
          <w:rFonts w:cs="Times New Roman"/>
          <w:szCs w:val="24"/>
        </w:rPr>
        <w:t>uložen</w:t>
      </w:r>
      <w:r w:rsidR="00432B26">
        <w:rPr>
          <w:rFonts w:cs="Times New Roman"/>
          <w:szCs w:val="24"/>
        </w:rPr>
        <w:t>í</w:t>
      </w:r>
      <w:r>
        <w:rPr>
          <w:rFonts w:cs="Times New Roman"/>
          <w:szCs w:val="24"/>
        </w:rPr>
        <w:t xml:space="preserve"> dodatočnej platby podľa osobitného predpisu</w:t>
      </w:r>
      <w:r w:rsidRPr="006A4C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začatom pred 1.</w:t>
      </w:r>
      <w:r w:rsidR="00DC7FE7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januárom 2023 zostáva </w:t>
      </w:r>
      <w:r w:rsidR="005E5065">
        <w:rPr>
          <w:rFonts w:cs="Times New Roman"/>
          <w:szCs w:val="24"/>
        </w:rPr>
        <w:t>ú</w:t>
      </w:r>
      <w:r>
        <w:rPr>
          <w:rFonts w:cs="Times New Roman"/>
          <w:szCs w:val="24"/>
        </w:rPr>
        <w:t xml:space="preserve">stredie účastníkom konania. Ak súd v  konaní podľa prvej vety zruší napadnuté rozhodnutie a vec vráti správnemu orgánu na nové </w:t>
      </w:r>
      <w:r w:rsidRPr="0009705A">
        <w:rPr>
          <w:rFonts w:cs="Times New Roman"/>
          <w:szCs w:val="24"/>
        </w:rPr>
        <w:t>prejednanie a</w:t>
      </w:r>
      <w:r w:rsidR="00DC7FE7">
        <w:rPr>
          <w:rFonts w:cs="Times New Roman"/>
          <w:szCs w:val="24"/>
        </w:rPr>
        <w:t> </w:t>
      </w:r>
      <w:r w:rsidRPr="0009705A">
        <w:rPr>
          <w:rFonts w:cs="Times New Roman"/>
          <w:szCs w:val="24"/>
        </w:rPr>
        <w:t xml:space="preserve">rozhodnutie, v novom konaní rozhodne </w:t>
      </w:r>
    </w:p>
    <w:p w14:paraId="7593BAF4" w14:textId="2E406889" w:rsidR="00D27235" w:rsidRPr="0009705A" w:rsidRDefault="00D27235" w:rsidP="00D27235">
      <w:pPr>
        <w:pStyle w:val="Odsekzoznamu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prvom stupni inšpektorát práce miestne príslušný podľa sídla úradu, ktorý v pôvodnom konaní rozhodoval v prvom stupni</w:t>
      </w:r>
      <w:r>
        <w:rPr>
          <w:rFonts w:ascii="Times New Roman" w:hAnsi="Times New Roman"/>
          <w:sz w:val="24"/>
          <w:szCs w:val="24"/>
        </w:rPr>
        <w:t>,</w:t>
      </w:r>
    </w:p>
    <w:p w14:paraId="3F7825D7" w14:textId="1850AAC2" w:rsidR="00D27235" w:rsidRPr="0009705A" w:rsidRDefault="00D27235" w:rsidP="00D27235">
      <w:pPr>
        <w:pStyle w:val="Odsekzoznamu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05A">
        <w:rPr>
          <w:rFonts w:ascii="Times New Roman" w:hAnsi="Times New Roman"/>
          <w:sz w:val="24"/>
          <w:szCs w:val="24"/>
        </w:rPr>
        <w:t>v druhom stupni Národný inšpektorát práce.</w:t>
      </w:r>
      <w:r w:rsidR="00900564">
        <w:rPr>
          <w:rFonts w:ascii="Times New Roman" w:hAnsi="Times New Roman"/>
          <w:sz w:val="24"/>
          <w:szCs w:val="24"/>
        </w:rPr>
        <w:t>“.</w:t>
      </w:r>
    </w:p>
    <w:p w14:paraId="57A68B00" w14:textId="6CD9D5CA" w:rsidR="006A4C3E" w:rsidRDefault="006A4C3E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2BEA204E" w14:textId="6F28AF0B" w:rsidR="00BC5719" w:rsidRDefault="00BC5719" w:rsidP="00BC5719">
      <w:pPr>
        <w:shd w:val="clear" w:color="auto" w:fill="FFFFFF"/>
        <w:suppressAutoHyphens w:val="0"/>
        <w:ind w:firstLine="35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Poznámka pod čiarou k odkazu 67 znie:</w:t>
      </w:r>
    </w:p>
    <w:p w14:paraId="7BEB974C" w14:textId="1C9A10FB" w:rsidR="00BC5719" w:rsidRDefault="00BC5719" w:rsidP="00BC5719">
      <w:pPr>
        <w:shd w:val="clear" w:color="auto" w:fill="FFFFFF"/>
        <w:suppressAutoHyphens w:val="0"/>
        <w:ind w:firstLine="357"/>
        <w:contextualSpacing/>
        <w:jc w:val="both"/>
        <w:rPr>
          <w:rFonts w:cs="Times New Roman"/>
          <w:szCs w:val="24"/>
        </w:rPr>
      </w:pPr>
      <w:r w:rsidRPr="00BC5719">
        <w:rPr>
          <w:rFonts w:cs="Times New Roman"/>
          <w:szCs w:val="24"/>
        </w:rPr>
        <w:t>„</w:t>
      </w:r>
      <w:r w:rsidRPr="00BC5719">
        <w:rPr>
          <w:rFonts w:cs="Times New Roman"/>
          <w:szCs w:val="24"/>
          <w:vertAlign w:val="superscript"/>
        </w:rPr>
        <w:t>67</w:t>
      </w:r>
      <w:r w:rsidRPr="00BC5719">
        <w:rPr>
          <w:rFonts w:cs="Times New Roman"/>
          <w:szCs w:val="24"/>
        </w:rPr>
        <w:t xml:space="preserve">) § </w:t>
      </w:r>
      <w:r w:rsidR="00C7173A">
        <w:rPr>
          <w:rFonts w:cs="Times New Roman"/>
          <w:szCs w:val="24"/>
        </w:rPr>
        <w:t>2a ods. 2</w:t>
      </w:r>
      <w:r w:rsidRPr="00BC5719">
        <w:rPr>
          <w:rFonts w:cs="Times New Roman"/>
          <w:szCs w:val="24"/>
        </w:rPr>
        <w:t xml:space="preserve"> zákona č. 82/2005 Z. z. v znení </w:t>
      </w:r>
      <w:r w:rsidR="00403FC3">
        <w:rPr>
          <w:rFonts w:cs="Times New Roman"/>
          <w:szCs w:val="24"/>
        </w:rPr>
        <w:t>neskorších predpisov</w:t>
      </w:r>
      <w:r w:rsidRPr="00BC5719">
        <w:rPr>
          <w:rFonts w:cs="Times New Roman"/>
          <w:szCs w:val="24"/>
        </w:rPr>
        <w:t>.“.</w:t>
      </w:r>
    </w:p>
    <w:p w14:paraId="49EE2F4A" w14:textId="77777777" w:rsidR="00BC5719" w:rsidRPr="006A4C3E" w:rsidRDefault="00BC5719" w:rsidP="00BD4C06">
      <w:pPr>
        <w:shd w:val="clear" w:color="auto" w:fill="FFFFFF"/>
        <w:suppressAutoHyphens w:val="0"/>
        <w:ind w:left="357" w:firstLine="357"/>
        <w:contextualSpacing/>
        <w:jc w:val="both"/>
        <w:rPr>
          <w:rFonts w:cs="Times New Roman"/>
          <w:szCs w:val="24"/>
        </w:rPr>
      </w:pPr>
    </w:p>
    <w:p w14:paraId="5D7D52C8" w14:textId="1336B08C" w:rsidR="00D27235" w:rsidRPr="00D27235" w:rsidRDefault="00D27235" w:rsidP="00D27235">
      <w:pPr>
        <w:pStyle w:val="Odsekzoznamu"/>
        <w:numPr>
          <w:ilvl w:val="0"/>
          <w:numId w:val="9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27235">
        <w:rPr>
          <w:rFonts w:ascii="Times New Roman" w:hAnsi="Times New Roman"/>
          <w:sz w:val="24"/>
          <w:szCs w:val="24"/>
        </w:rPr>
        <w:t xml:space="preserve">Príloha č. 1a </w:t>
      </w:r>
      <w:r w:rsidR="008A5AED">
        <w:rPr>
          <w:rFonts w:ascii="Times New Roman" w:hAnsi="Times New Roman"/>
          <w:sz w:val="24"/>
          <w:szCs w:val="24"/>
        </w:rPr>
        <w:t>sa vypúšťa.</w:t>
      </w:r>
      <w:r w:rsidRPr="00D27235">
        <w:rPr>
          <w:rFonts w:ascii="Times New Roman" w:hAnsi="Times New Roman"/>
          <w:sz w:val="24"/>
          <w:szCs w:val="24"/>
        </w:rPr>
        <w:t xml:space="preserve"> </w:t>
      </w:r>
    </w:p>
    <w:p w14:paraId="32747E3C" w14:textId="3C5044CE" w:rsidR="00707121" w:rsidRDefault="00707121" w:rsidP="00707121">
      <w:pPr>
        <w:pStyle w:val="Odsekzoznamu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E6C6B66" w14:textId="77777777" w:rsidR="00C123D9" w:rsidRPr="00A02FA2" w:rsidRDefault="00C123D9" w:rsidP="00707121">
      <w:pPr>
        <w:pStyle w:val="Odsekzoznamu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0029E51" w14:textId="622C4DE1" w:rsidR="00777034" w:rsidRPr="00D21C87" w:rsidRDefault="00777034" w:rsidP="00BD4C06">
      <w:pPr>
        <w:contextualSpacing/>
        <w:jc w:val="center"/>
        <w:rPr>
          <w:b/>
          <w:color w:val="000000" w:themeColor="text1"/>
        </w:rPr>
      </w:pPr>
      <w:bookmarkStart w:id="0" w:name="_Hlk82452961"/>
      <w:r w:rsidRPr="00D21C87">
        <w:rPr>
          <w:b/>
          <w:color w:val="000000" w:themeColor="text1"/>
        </w:rPr>
        <w:t xml:space="preserve">Čl. </w:t>
      </w:r>
      <w:r>
        <w:rPr>
          <w:b/>
          <w:color w:val="000000" w:themeColor="text1"/>
        </w:rPr>
        <w:t>I</w:t>
      </w:r>
      <w:r w:rsidR="002F7AC5">
        <w:rPr>
          <w:b/>
          <w:color w:val="000000" w:themeColor="text1"/>
        </w:rPr>
        <w:t>II</w:t>
      </w:r>
    </w:p>
    <w:bookmarkEnd w:id="0"/>
    <w:p w14:paraId="200D6F0F" w14:textId="77777777" w:rsidR="003531F0" w:rsidRDefault="003531F0" w:rsidP="00BD4C06">
      <w:pPr>
        <w:pStyle w:val="Standard"/>
        <w:keepNext/>
        <w:ind w:left="426"/>
        <w:contextualSpacing/>
        <w:jc w:val="both"/>
        <w:rPr>
          <w:rFonts w:eastAsia="Times New Roman" w:cs="Times New Roman"/>
          <w:szCs w:val="24"/>
          <w:lang w:eastAsia="sk-SK"/>
        </w:rPr>
      </w:pPr>
    </w:p>
    <w:p w14:paraId="3D38D883" w14:textId="18B5E8D8" w:rsidR="009162F1" w:rsidRDefault="009162F1" w:rsidP="002F7AC5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Tento zákon nadobúda účinnosť </w:t>
      </w:r>
      <w:r w:rsidR="002F7AC5">
        <w:rPr>
          <w:rFonts w:eastAsia="Times New Roman" w:cs="Times New Roman"/>
          <w:szCs w:val="24"/>
          <w:lang w:eastAsia="sk-SK"/>
        </w:rPr>
        <w:t xml:space="preserve">1. januára </w:t>
      </w:r>
      <w:r>
        <w:rPr>
          <w:rFonts w:eastAsia="Times New Roman" w:cs="Times New Roman"/>
          <w:szCs w:val="24"/>
          <w:lang w:eastAsia="sk-SK"/>
        </w:rPr>
        <w:t>202</w:t>
      </w:r>
      <w:r w:rsidR="00D31543" w:rsidRPr="00D31543">
        <w:rPr>
          <w:rFonts w:eastAsia="Times New Roman" w:cs="Times New Roman"/>
          <w:szCs w:val="24"/>
          <w:lang w:eastAsia="sk-SK"/>
        </w:rPr>
        <w:t>3</w:t>
      </w:r>
      <w:r>
        <w:rPr>
          <w:rFonts w:eastAsia="Times New Roman" w:cs="Times New Roman"/>
          <w:szCs w:val="24"/>
          <w:lang w:eastAsia="sk-SK"/>
        </w:rPr>
        <w:t>.</w:t>
      </w:r>
    </w:p>
    <w:p w14:paraId="15B2541A" w14:textId="3B9FE74D" w:rsidR="00C123D9" w:rsidRDefault="00C123D9" w:rsidP="002F7AC5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</w:p>
    <w:p w14:paraId="00795A34" w14:textId="67200388" w:rsidR="00C123D9" w:rsidRDefault="00C123D9" w:rsidP="002F7AC5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</w:p>
    <w:p w14:paraId="52346534" w14:textId="229A431F" w:rsidR="00C123D9" w:rsidRDefault="00C123D9" w:rsidP="002F7AC5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</w:p>
    <w:p w14:paraId="130DC0E6" w14:textId="6BD09A4C" w:rsidR="00C123D9" w:rsidRDefault="00C123D9" w:rsidP="002F7AC5">
      <w:pPr>
        <w:pStyle w:val="Standard"/>
        <w:keepNext/>
        <w:ind w:left="357"/>
        <w:rPr>
          <w:rFonts w:eastAsia="Times New Roman" w:cs="Times New Roman"/>
          <w:szCs w:val="24"/>
          <w:lang w:eastAsia="sk-SK"/>
        </w:rPr>
      </w:pPr>
    </w:p>
    <w:p w14:paraId="62845795" w14:textId="2C6FB9E7" w:rsidR="00C123D9" w:rsidRDefault="00C123D9" w:rsidP="00C123D9">
      <w:pPr>
        <w:rPr>
          <w:rFonts w:ascii="Arial" w:hAnsi="Arial" w:cs="Arial"/>
          <w:color w:val="222222"/>
        </w:rPr>
      </w:pPr>
    </w:p>
    <w:p w14:paraId="0A20CDEB" w14:textId="77777777" w:rsidR="00C123D9" w:rsidRDefault="00C123D9" w:rsidP="00C123D9">
      <w:pPr>
        <w:rPr>
          <w:rFonts w:ascii="Arial" w:hAnsi="Arial" w:cs="Arial"/>
          <w:color w:val="222222"/>
        </w:rPr>
      </w:pPr>
    </w:p>
    <w:p w14:paraId="27885B3B" w14:textId="77777777" w:rsidR="00C123D9" w:rsidRDefault="00C123D9" w:rsidP="00C123D9">
      <w:pPr>
        <w:rPr>
          <w:rFonts w:ascii="Arial" w:hAnsi="Arial" w:cs="Arial"/>
          <w:color w:val="222222"/>
        </w:rPr>
      </w:pPr>
    </w:p>
    <w:p w14:paraId="3520BC61" w14:textId="77777777" w:rsidR="00C123D9" w:rsidRDefault="00C123D9" w:rsidP="00C123D9">
      <w:pPr>
        <w:rPr>
          <w:rFonts w:ascii="Arial" w:hAnsi="Arial" w:cs="Arial"/>
          <w:color w:val="222222"/>
        </w:rPr>
      </w:pPr>
    </w:p>
    <w:p w14:paraId="43E795D4" w14:textId="77777777" w:rsidR="00C123D9" w:rsidRDefault="00C123D9" w:rsidP="00C123D9">
      <w:pPr>
        <w:rPr>
          <w:rFonts w:ascii="Arial" w:hAnsi="Arial" w:cs="Arial"/>
          <w:color w:val="222222"/>
        </w:rPr>
      </w:pPr>
    </w:p>
    <w:p w14:paraId="266BAF86" w14:textId="77777777" w:rsidR="00C123D9" w:rsidRDefault="00C123D9" w:rsidP="00C123D9">
      <w:pPr>
        <w:rPr>
          <w:rFonts w:ascii="Arial" w:hAnsi="Arial" w:cs="Arial"/>
          <w:color w:val="222222"/>
        </w:rPr>
      </w:pPr>
    </w:p>
    <w:p w14:paraId="0C39626D" w14:textId="77777777" w:rsidR="00C123D9" w:rsidRDefault="00C123D9" w:rsidP="00C123D9">
      <w:pPr>
        <w:rPr>
          <w:rFonts w:ascii="Arial" w:hAnsi="Arial" w:cs="Arial"/>
          <w:color w:val="222222"/>
        </w:rPr>
      </w:pPr>
    </w:p>
    <w:p w14:paraId="0634377F" w14:textId="085DAF56" w:rsidR="00C123D9" w:rsidRDefault="00C123D9" w:rsidP="00C123D9">
      <w:pPr>
        <w:rPr>
          <w:rFonts w:eastAsia="Times New Roman" w:cs="Times New Roman"/>
          <w:szCs w:val="24"/>
        </w:rPr>
      </w:pPr>
      <w:bookmarkStart w:id="1" w:name="_GoBack"/>
      <w:bookmarkEnd w:id="1"/>
    </w:p>
    <w:p w14:paraId="1C41BA36" w14:textId="77777777" w:rsidR="00C123D9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20917080" w14:textId="77777777" w:rsidR="00C123D9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0695B1E6" w14:textId="77777777" w:rsidR="00C123D9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37D67E66" w14:textId="77777777" w:rsidR="00C123D9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3ABBF196" w14:textId="77777777" w:rsidR="00C123D9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572FDBDC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prezident</w:t>
      </w:r>
      <w:r>
        <w:rPr>
          <w:rFonts w:eastAsia="Times New Roman" w:cs="Times New Roman"/>
          <w:szCs w:val="24"/>
        </w:rPr>
        <w:t>ka</w:t>
      </w:r>
      <w:r w:rsidRPr="00E106F1">
        <w:rPr>
          <w:rFonts w:eastAsia="Times New Roman" w:cs="Times New Roman"/>
          <w:szCs w:val="24"/>
        </w:rPr>
        <w:t xml:space="preserve">  Slovenskej republiky</w:t>
      </w:r>
    </w:p>
    <w:p w14:paraId="621274FD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791F0797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36732B76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7B570E3A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55C9C865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3919B850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2AC0A4F0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3B8456CA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5F0267C9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Národnej rady Slovenskej republiky</w:t>
      </w:r>
    </w:p>
    <w:p w14:paraId="7A547324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14D22637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5D10C274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6700B800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219FCC5E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0A6FE900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024A56FB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78F79493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4D0BD0DA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</w:p>
    <w:p w14:paraId="595818EE" w14:textId="77777777" w:rsidR="00C123D9" w:rsidRPr="00E106F1" w:rsidRDefault="00C123D9" w:rsidP="00C123D9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vlády Slovenskej republiky</w:t>
      </w:r>
    </w:p>
    <w:p w14:paraId="23C14538" w14:textId="77777777" w:rsidR="00C123D9" w:rsidRPr="00E106F1" w:rsidRDefault="00C123D9" w:rsidP="00C123D9">
      <w:pPr>
        <w:ind w:firstLine="426"/>
        <w:jc w:val="both"/>
        <w:rPr>
          <w:rFonts w:eastAsia="Times New Roman" w:cs="Times New Roman"/>
          <w:szCs w:val="24"/>
        </w:rPr>
      </w:pPr>
    </w:p>
    <w:p w14:paraId="48893841" w14:textId="77777777" w:rsidR="00C123D9" w:rsidRPr="00E106F1" w:rsidRDefault="00C123D9" w:rsidP="00C123D9">
      <w:pPr>
        <w:ind w:firstLine="426"/>
        <w:jc w:val="both"/>
        <w:rPr>
          <w:rFonts w:eastAsia="Times New Roman" w:cs="Times New Roman"/>
          <w:szCs w:val="24"/>
        </w:rPr>
      </w:pPr>
    </w:p>
    <w:p w14:paraId="533FF752" w14:textId="77777777" w:rsidR="00C123D9" w:rsidRDefault="00C123D9" w:rsidP="00C123D9"/>
    <w:p w14:paraId="57FFD93B" w14:textId="77777777" w:rsidR="00C123D9" w:rsidRDefault="00C123D9" w:rsidP="00C123D9"/>
    <w:p w14:paraId="0D3DA17A" w14:textId="77777777" w:rsidR="00C123D9" w:rsidRPr="00271C4B" w:rsidRDefault="00C123D9" w:rsidP="00C123D9"/>
    <w:p w14:paraId="6AC66D25" w14:textId="77777777" w:rsidR="00C123D9" w:rsidRDefault="00C123D9" w:rsidP="00C123D9">
      <w:pPr>
        <w:rPr>
          <w:rFonts w:ascii="Arial" w:hAnsi="Arial" w:cs="Arial"/>
          <w:color w:val="222222"/>
        </w:rPr>
      </w:pPr>
    </w:p>
    <w:sectPr w:rsidR="00C123D9" w:rsidSect="00BD4C06">
      <w:footerReference w:type="default" r:id="rId16"/>
      <w:pgSz w:w="11906" w:h="16838"/>
      <w:pgMar w:top="1417" w:right="1417" w:bottom="1417" w:left="1417" w:header="708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FCE6" w14:textId="77777777" w:rsidR="009F7FD3" w:rsidRDefault="009F7FD3">
      <w:r>
        <w:separator/>
      </w:r>
    </w:p>
  </w:endnote>
  <w:endnote w:type="continuationSeparator" w:id="0">
    <w:p w14:paraId="6FC98404" w14:textId="77777777" w:rsidR="009F7FD3" w:rsidRDefault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 Gyre Bonum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07838"/>
      <w:docPartObj>
        <w:docPartGallery w:val="Page Numbers (Bottom of Page)"/>
        <w:docPartUnique/>
      </w:docPartObj>
    </w:sdtPr>
    <w:sdtEndPr/>
    <w:sdtContent>
      <w:p w14:paraId="7C877E8D" w14:textId="5E453C90" w:rsidR="00615D3E" w:rsidRDefault="00615D3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62">
          <w:rPr>
            <w:noProof/>
          </w:rPr>
          <w:t>6</w:t>
        </w:r>
        <w:r>
          <w:fldChar w:fldCharType="end"/>
        </w:r>
      </w:p>
    </w:sdtContent>
  </w:sdt>
  <w:p w14:paraId="7963C33C" w14:textId="081DDBD7" w:rsidR="004F421D" w:rsidRDefault="000D6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40E02" w14:textId="77777777" w:rsidR="009F7FD3" w:rsidRDefault="009F7FD3">
      <w:r>
        <w:separator/>
      </w:r>
    </w:p>
  </w:footnote>
  <w:footnote w:type="continuationSeparator" w:id="0">
    <w:p w14:paraId="252B7A7E" w14:textId="77777777" w:rsidR="009F7FD3" w:rsidRDefault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892"/>
    <w:multiLevelType w:val="hybridMultilevel"/>
    <w:tmpl w:val="033EACE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922B9D"/>
    <w:multiLevelType w:val="hybridMultilevel"/>
    <w:tmpl w:val="DBB07CDA"/>
    <w:lvl w:ilvl="0" w:tplc="A80414B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5BC4"/>
    <w:multiLevelType w:val="hybridMultilevel"/>
    <w:tmpl w:val="49BAD086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51A768B"/>
    <w:multiLevelType w:val="multilevel"/>
    <w:tmpl w:val="258CD434"/>
    <w:styleLink w:val="WWNum27"/>
    <w:lvl w:ilvl="0">
      <w:start w:val="1"/>
      <w:numFmt w:val="decimal"/>
      <w:lvlText w:val="%1."/>
      <w:lvlJc w:val="left"/>
      <w:pPr>
        <w:ind w:left="748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1.%2.%3."/>
      <w:lvlJc w:val="right"/>
      <w:pPr>
        <w:ind w:left="2188" w:hanging="180"/>
      </w:pPr>
    </w:lvl>
    <w:lvl w:ilvl="3">
      <w:start w:val="1"/>
      <w:numFmt w:val="decimal"/>
      <w:lvlText w:val="%1.%2.%3.%4."/>
      <w:lvlJc w:val="left"/>
      <w:pPr>
        <w:ind w:left="2908" w:hanging="360"/>
      </w:pPr>
    </w:lvl>
    <w:lvl w:ilvl="4">
      <w:start w:val="1"/>
      <w:numFmt w:val="lowerLetter"/>
      <w:lvlText w:val="%1.%2.%3.%4.%5."/>
      <w:lvlJc w:val="left"/>
      <w:pPr>
        <w:ind w:left="3628" w:hanging="360"/>
      </w:pPr>
    </w:lvl>
    <w:lvl w:ilvl="5">
      <w:start w:val="1"/>
      <w:numFmt w:val="lowerRoman"/>
      <w:lvlText w:val="%1.%2.%3.%4.%5.%6."/>
      <w:lvlJc w:val="right"/>
      <w:pPr>
        <w:ind w:left="4348" w:hanging="180"/>
      </w:pPr>
    </w:lvl>
    <w:lvl w:ilvl="6">
      <w:start w:val="1"/>
      <w:numFmt w:val="decimal"/>
      <w:lvlText w:val="%1.%2.%3.%4.%5.%6.%7."/>
      <w:lvlJc w:val="left"/>
      <w:pPr>
        <w:ind w:left="5068" w:hanging="360"/>
      </w:pPr>
    </w:lvl>
    <w:lvl w:ilvl="7">
      <w:start w:val="1"/>
      <w:numFmt w:val="lowerLetter"/>
      <w:lvlText w:val="%1.%2.%3.%4.%5.%6.%7.%8."/>
      <w:lvlJc w:val="left"/>
      <w:pPr>
        <w:ind w:left="5788" w:hanging="360"/>
      </w:pPr>
    </w:lvl>
    <w:lvl w:ilvl="8">
      <w:start w:val="1"/>
      <w:numFmt w:val="lowerRoman"/>
      <w:lvlText w:val="%1.%2.%3.%4.%5.%6.%7.%8.%9."/>
      <w:lvlJc w:val="right"/>
      <w:pPr>
        <w:ind w:left="6508" w:hanging="180"/>
      </w:pPr>
    </w:lvl>
  </w:abstractNum>
  <w:abstractNum w:abstractNumId="5" w15:restartNumberingAfterBreak="0">
    <w:nsid w:val="37712517"/>
    <w:multiLevelType w:val="multilevel"/>
    <w:tmpl w:val="4D76042C"/>
    <w:lvl w:ilvl="0">
      <w:start w:val="7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037A10"/>
    <w:multiLevelType w:val="hybridMultilevel"/>
    <w:tmpl w:val="1004BE48"/>
    <w:lvl w:ilvl="0" w:tplc="8AFA3112">
      <w:start w:val="1"/>
      <w:numFmt w:val="decimal"/>
      <w:lvlText w:val="(%1)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F876601"/>
    <w:multiLevelType w:val="hybridMultilevel"/>
    <w:tmpl w:val="FF4EE386"/>
    <w:lvl w:ilvl="0" w:tplc="903CF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52586"/>
    <w:multiLevelType w:val="multilevel"/>
    <w:tmpl w:val="74EA9814"/>
    <w:styleLink w:val="WWNum25"/>
    <w:lvl w:ilvl="0">
      <w:start w:val="1"/>
      <w:numFmt w:val="decimal"/>
      <w:lvlText w:val="%1."/>
      <w:lvlJc w:val="left"/>
      <w:pPr>
        <w:ind w:left="388" w:hanging="284"/>
      </w:pPr>
      <w:rPr>
        <w:rFonts w:eastAsia="TeX Gyre Bonum" w:cs="TeX Gyre Bonum"/>
        <w:w w:val="100"/>
        <w:sz w:val="24"/>
        <w:szCs w:val="24"/>
        <w:lang w:val="sk-SK" w:eastAsia="en-US" w:bidi="ar-SA"/>
      </w:rPr>
    </w:lvl>
    <w:lvl w:ilvl="1">
      <w:numFmt w:val="bullet"/>
      <w:lvlText w:val="•"/>
      <w:lvlJc w:val="left"/>
      <w:pPr>
        <w:ind w:left="1332" w:hanging="284"/>
      </w:pPr>
      <w:rPr>
        <w:lang w:val="sk-SK" w:eastAsia="en-US" w:bidi="ar-SA"/>
      </w:rPr>
    </w:lvl>
    <w:lvl w:ilvl="2">
      <w:numFmt w:val="bullet"/>
      <w:lvlText w:val="•"/>
      <w:lvlJc w:val="left"/>
      <w:pPr>
        <w:ind w:left="2284" w:hanging="284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237" w:hanging="284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189" w:hanging="284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42" w:hanging="284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94" w:hanging="284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7047" w:hanging="284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999" w:hanging="284"/>
      </w:pPr>
      <w:rPr>
        <w:lang w:val="sk-SK" w:eastAsia="en-US" w:bidi="ar-SA"/>
      </w:rPr>
    </w:lvl>
  </w:abstractNum>
  <w:abstractNum w:abstractNumId="9" w15:restartNumberingAfterBreak="0">
    <w:nsid w:val="51C13008"/>
    <w:multiLevelType w:val="multilevel"/>
    <w:tmpl w:val="B98C9F4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68E4E7C"/>
    <w:multiLevelType w:val="hybridMultilevel"/>
    <w:tmpl w:val="3FB6BB08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E6C72"/>
    <w:multiLevelType w:val="hybridMultilevel"/>
    <w:tmpl w:val="C3122EE4"/>
    <w:lvl w:ilvl="0" w:tplc="02DE59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FCB1D0B"/>
    <w:multiLevelType w:val="multilevel"/>
    <w:tmpl w:val="DF4E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6401D1"/>
    <w:multiLevelType w:val="hybridMultilevel"/>
    <w:tmpl w:val="A008F17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60027B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7C93479"/>
    <w:multiLevelType w:val="hybridMultilevel"/>
    <w:tmpl w:val="C1E4F532"/>
    <w:lvl w:ilvl="0" w:tplc="17708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748" w:hanging="360"/>
        </w:pPr>
        <w:rPr>
          <w:rFonts w:ascii="Times New Roman" w:hAnsi="Times New Roman" w:cs="Times New Roman" w:hint="default"/>
          <w:position w:val="0"/>
          <w:sz w:val="24"/>
          <w:szCs w:val="24"/>
          <w:vertAlign w:val="baseline"/>
        </w:rPr>
      </w:lvl>
    </w:lvlOverride>
  </w:num>
  <w:num w:numId="4">
    <w:abstractNumId w:val="9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14"/>
  </w:num>
  <w:num w:numId="18">
    <w:abstractNumId w:val="4"/>
  </w:num>
  <w:num w:numId="19">
    <w:abstractNumId w:val="2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EC"/>
    <w:rsid w:val="00013928"/>
    <w:rsid w:val="00030773"/>
    <w:rsid w:val="000376B6"/>
    <w:rsid w:val="000403B1"/>
    <w:rsid w:val="000417F1"/>
    <w:rsid w:val="0009015F"/>
    <w:rsid w:val="00091FBA"/>
    <w:rsid w:val="0009705A"/>
    <w:rsid w:val="000D3462"/>
    <w:rsid w:val="000D3BF1"/>
    <w:rsid w:val="000D6F62"/>
    <w:rsid w:val="000E4F5E"/>
    <w:rsid w:val="000E6B20"/>
    <w:rsid w:val="000F08C6"/>
    <w:rsid w:val="000F78D1"/>
    <w:rsid w:val="00120A95"/>
    <w:rsid w:val="00136EA3"/>
    <w:rsid w:val="00153DB6"/>
    <w:rsid w:val="00166C68"/>
    <w:rsid w:val="00173FD5"/>
    <w:rsid w:val="001933D7"/>
    <w:rsid w:val="00194D8E"/>
    <w:rsid w:val="001A35A3"/>
    <w:rsid w:val="001B2C15"/>
    <w:rsid w:val="001C0752"/>
    <w:rsid w:val="001C51E8"/>
    <w:rsid w:val="001D15F7"/>
    <w:rsid w:val="001E409C"/>
    <w:rsid w:val="00220BF4"/>
    <w:rsid w:val="002436C4"/>
    <w:rsid w:val="00262475"/>
    <w:rsid w:val="00277DD6"/>
    <w:rsid w:val="0029797B"/>
    <w:rsid w:val="002B3C09"/>
    <w:rsid w:val="002F7AC5"/>
    <w:rsid w:val="003013E2"/>
    <w:rsid w:val="00301FFC"/>
    <w:rsid w:val="00303361"/>
    <w:rsid w:val="003178B7"/>
    <w:rsid w:val="00321020"/>
    <w:rsid w:val="00331AAF"/>
    <w:rsid w:val="003332A2"/>
    <w:rsid w:val="0034785B"/>
    <w:rsid w:val="003506F7"/>
    <w:rsid w:val="003531F0"/>
    <w:rsid w:val="00371B23"/>
    <w:rsid w:val="003B09F4"/>
    <w:rsid w:val="003C476D"/>
    <w:rsid w:val="003D042B"/>
    <w:rsid w:val="003E0E02"/>
    <w:rsid w:val="003E23F3"/>
    <w:rsid w:val="003E3794"/>
    <w:rsid w:val="003E62ED"/>
    <w:rsid w:val="00401C74"/>
    <w:rsid w:val="00403ECF"/>
    <w:rsid w:val="00403FC3"/>
    <w:rsid w:val="00404A5C"/>
    <w:rsid w:val="004278D5"/>
    <w:rsid w:val="00432B26"/>
    <w:rsid w:val="0043489C"/>
    <w:rsid w:val="00450FBE"/>
    <w:rsid w:val="00454F0E"/>
    <w:rsid w:val="00471A29"/>
    <w:rsid w:val="004D4B3A"/>
    <w:rsid w:val="004D547A"/>
    <w:rsid w:val="004E4E7A"/>
    <w:rsid w:val="004F7BF7"/>
    <w:rsid w:val="00514BF5"/>
    <w:rsid w:val="00523F4F"/>
    <w:rsid w:val="00527654"/>
    <w:rsid w:val="00533E93"/>
    <w:rsid w:val="005478A8"/>
    <w:rsid w:val="0057201A"/>
    <w:rsid w:val="005826F4"/>
    <w:rsid w:val="00590B56"/>
    <w:rsid w:val="005B7A97"/>
    <w:rsid w:val="005E5065"/>
    <w:rsid w:val="005E7A7C"/>
    <w:rsid w:val="006007EB"/>
    <w:rsid w:val="00615D3E"/>
    <w:rsid w:val="00623365"/>
    <w:rsid w:val="00644CBF"/>
    <w:rsid w:val="0065700B"/>
    <w:rsid w:val="00663292"/>
    <w:rsid w:val="00680C71"/>
    <w:rsid w:val="00682C54"/>
    <w:rsid w:val="00685F27"/>
    <w:rsid w:val="006949E5"/>
    <w:rsid w:val="00694BA6"/>
    <w:rsid w:val="006A4C3E"/>
    <w:rsid w:val="006A4FD8"/>
    <w:rsid w:val="006A52BF"/>
    <w:rsid w:val="006B5D8F"/>
    <w:rsid w:val="006D6CCE"/>
    <w:rsid w:val="006E0E08"/>
    <w:rsid w:val="006F4009"/>
    <w:rsid w:val="00707121"/>
    <w:rsid w:val="00712ABC"/>
    <w:rsid w:val="007359FE"/>
    <w:rsid w:val="0075254C"/>
    <w:rsid w:val="0075412E"/>
    <w:rsid w:val="007616EC"/>
    <w:rsid w:val="0076733F"/>
    <w:rsid w:val="00777034"/>
    <w:rsid w:val="007822AD"/>
    <w:rsid w:val="00795C2B"/>
    <w:rsid w:val="007A3917"/>
    <w:rsid w:val="007B4ACF"/>
    <w:rsid w:val="007F2912"/>
    <w:rsid w:val="00814F43"/>
    <w:rsid w:val="00815EA0"/>
    <w:rsid w:val="0081654F"/>
    <w:rsid w:val="00821910"/>
    <w:rsid w:val="008313FD"/>
    <w:rsid w:val="008633B8"/>
    <w:rsid w:val="0087167B"/>
    <w:rsid w:val="008730C2"/>
    <w:rsid w:val="00876701"/>
    <w:rsid w:val="00883B14"/>
    <w:rsid w:val="00885D5D"/>
    <w:rsid w:val="008A5AED"/>
    <w:rsid w:val="008A7466"/>
    <w:rsid w:val="008D24D2"/>
    <w:rsid w:val="008D5E63"/>
    <w:rsid w:val="008E2B81"/>
    <w:rsid w:val="008E4544"/>
    <w:rsid w:val="008E52AE"/>
    <w:rsid w:val="008E7201"/>
    <w:rsid w:val="00900564"/>
    <w:rsid w:val="009162F1"/>
    <w:rsid w:val="00923A0A"/>
    <w:rsid w:val="009548E7"/>
    <w:rsid w:val="00985D5B"/>
    <w:rsid w:val="009A7805"/>
    <w:rsid w:val="009B15B3"/>
    <w:rsid w:val="009B7ACF"/>
    <w:rsid w:val="009E2FDA"/>
    <w:rsid w:val="009F459D"/>
    <w:rsid w:val="009F7661"/>
    <w:rsid w:val="009F7FD3"/>
    <w:rsid w:val="00A02FA2"/>
    <w:rsid w:val="00A05C04"/>
    <w:rsid w:val="00A25B38"/>
    <w:rsid w:val="00A63228"/>
    <w:rsid w:val="00A65328"/>
    <w:rsid w:val="00A83E51"/>
    <w:rsid w:val="00AC45A1"/>
    <w:rsid w:val="00AD6C3C"/>
    <w:rsid w:val="00AE1544"/>
    <w:rsid w:val="00AF001E"/>
    <w:rsid w:val="00B45B3D"/>
    <w:rsid w:val="00B5213D"/>
    <w:rsid w:val="00B60181"/>
    <w:rsid w:val="00B607E1"/>
    <w:rsid w:val="00B85898"/>
    <w:rsid w:val="00B8787A"/>
    <w:rsid w:val="00BB2099"/>
    <w:rsid w:val="00BC5719"/>
    <w:rsid w:val="00BD4C06"/>
    <w:rsid w:val="00BF1581"/>
    <w:rsid w:val="00BF639F"/>
    <w:rsid w:val="00BF7A17"/>
    <w:rsid w:val="00C123D9"/>
    <w:rsid w:val="00C30241"/>
    <w:rsid w:val="00C31BA6"/>
    <w:rsid w:val="00C34E80"/>
    <w:rsid w:val="00C37254"/>
    <w:rsid w:val="00C4181B"/>
    <w:rsid w:val="00C4237F"/>
    <w:rsid w:val="00C70535"/>
    <w:rsid w:val="00C7173A"/>
    <w:rsid w:val="00C7789A"/>
    <w:rsid w:val="00C87ECD"/>
    <w:rsid w:val="00C925AE"/>
    <w:rsid w:val="00CA16A1"/>
    <w:rsid w:val="00CA1FA8"/>
    <w:rsid w:val="00CA2B0B"/>
    <w:rsid w:val="00CA63A7"/>
    <w:rsid w:val="00CA71A2"/>
    <w:rsid w:val="00CC4BB7"/>
    <w:rsid w:val="00CD50AF"/>
    <w:rsid w:val="00CE184F"/>
    <w:rsid w:val="00CF24AD"/>
    <w:rsid w:val="00D16056"/>
    <w:rsid w:val="00D17FF6"/>
    <w:rsid w:val="00D27235"/>
    <w:rsid w:val="00D31543"/>
    <w:rsid w:val="00D447FC"/>
    <w:rsid w:val="00D47CAA"/>
    <w:rsid w:val="00D57E31"/>
    <w:rsid w:val="00D84ED3"/>
    <w:rsid w:val="00DA0845"/>
    <w:rsid w:val="00DC7FE7"/>
    <w:rsid w:val="00E27418"/>
    <w:rsid w:val="00E43F4D"/>
    <w:rsid w:val="00E75684"/>
    <w:rsid w:val="00E80A1A"/>
    <w:rsid w:val="00E91DC4"/>
    <w:rsid w:val="00E91ECF"/>
    <w:rsid w:val="00E959F6"/>
    <w:rsid w:val="00EB54D7"/>
    <w:rsid w:val="00EB66B6"/>
    <w:rsid w:val="00EC1A99"/>
    <w:rsid w:val="00EC7795"/>
    <w:rsid w:val="00ED623E"/>
    <w:rsid w:val="00F10762"/>
    <w:rsid w:val="00F11635"/>
    <w:rsid w:val="00F45628"/>
    <w:rsid w:val="00F66DB0"/>
    <w:rsid w:val="00F73C7A"/>
    <w:rsid w:val="00FB30FC"/>
    <w:rsid w:val="00FC3760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941E"/>
  <w15:chartTrackingRefBased/>
  <w15:docId w15:val="{0BCE6A33-EC00-44AC-BB55-AA058CC5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62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162F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paragraph" w:styleId="Odsekzoznamu">
    <w:name w:val="List Paragraph"/>
    <w:aliases w:val="body,Odsek zoznamu2,Odsek,Odsek zoznamu1"/>
    <w:basedOn w:val="Standard"/>
    <w:link w:val="OdsekzoznamuChar"/>
    <w:uiPriority w:val="34"/>
    <w:qFormat/>
    <w:rsid w:val="009162F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Standard"/>
    <w:link w:val="PtaChar"/>
    <w:uiPriority w:val="99"/>
    <w:rsid w:val="009162F1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62F1"/>
    <w:rPr>
      <w:rFonts w:ascii="Times New Roman" w:eastAsia="SimSun" w:hAnsi="Times New Roman" w:cs="Tahoma"/>
      <w:kern w:val="3"/>
      <w:sz w:val="24"/>
    </w:rPr>
  </w:style>
  <w:style w:type="numbering" w:customStyle="1" w:styleId="WWNum3">
    <w:name w:val="WWNum3"/>
    <w:basedOn w:val="Bezzoznamu"/>
    <w:rsid w:val="009162F1"/>
    <w:pPr>
      <w:numPr>
        <w:numId w:val="1"/>
      </w:numPr>
    </w:pPr>
  </w:style>
  <w:style w:type="numbering" w:customStyle="1" w:styleId="WWNum25">
    <w:name w:val="WWNum25"/>
    <w:basedOn w:val="Bezzoznamu"/>
    <w:rsid w:val="009162F1"/>
    <w:pPr>
      <w:numPr>
        <w:numId w:val="2"/>
      </w:numPr>
    </w:pPr>
  </w:style>
  <w:style w:type="numbering" w:customStyle="1" w:styleId="WWNum27">
    <w:name w:val="WWNum27"/>
    <w:basedOn w:val="Bezzoznamu"/>
    <w:rsid w:val="009162F1"/>
    <w:pPr>
      <w:numPr>
        <w:numId w:val="18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166C6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7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034"/>
    <w:rPr>
      <w:rFonts w:ascii="Segoe UI" w:eastAsia="SimSun" w:hAnsi="Segoe UI" w:cs="Segoe UI"/>
      <w:kern w:val="3"/>
      <w:sz w:val="18"/>
      <w:szCs w:val="18"/>
    </w:rPr>
  </w:style>
  <w:style w:type="character" w:customStyle="1" w:styleId="WW8Num1z1">
    <w:name w:val="WW8Num1z1"/>
    <w:qFormat/>
    <w:rsid w:val="00777034"/>
  </w:style>
  <w:style w:type="character" w:styleId="Odkaznakomentr">
    <w:name w:val="annotation reference"/>
    <w:basedOn w:val="Predvolenpsmoodseku"/>
    <w:uiPriority w:val="99"/>
    <w:qFormat/>
    <w:rsid w:val="00777034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qFormat/>
    <w:rsid w:val="00777034"/>
    <w:pPr>
      <w:widowControl/>
      <w:autoSpaceDN/>
      <w:textAlignment w:val="auto"/>
    </w:pPr>
    <w:rPr>
      <w:rFonts w:cs="Times New Roman"/>
      <w:color w:val="00000A"/>
      <w:kern w:val="0"/>
      <w:szCs w:val="24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7034"/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777034"/>
    <w:rPr>
      <w:rFonts w:ascii="Calibri" w:eastAsia="Times New Roman" w:hAnsi="Calibri" w:cs="Times New Roman"/>
      <w:kern w:val="3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EA3"/>
    <w:pPr>
      <w:widowControl w:val="0"/>
      <w:autoSpaceDN w:val="0"/>
      <w:textAlignment w:val="baseline"/>
    </w:pPr>
    <w:rPr>
      <w:rFonts w:cs="Tahoma"/>
      <w:b/>
      <w:bCs/>
      <w:color w:val="auto"/>
      <w:kern w:val="3"/>
      <w:sz w:val="20"/>
      <w:szCs w:val="2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6EA3"/>
    <w:rPr>
      <w:rFonts w:ascii="Times New Roman" w:eastAsia="SimSun" w:hAnsi="Times New Roman" w:cs="Tahoma"/>
      <w:b/>
      <w:bCs/>
      <w:color w:val="00000A"/>
      <w:kern w:val="3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15D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D3E"/>
    <w:rPr>
      <w:rFonts w:ascii="Times New Roman" w:eastAsia="SimSun" w:hAnsi="Times New Roman" w:cs="Tahoma"/>
      <w:kern w:val="3"/>
      <w:sz w:val="24"/>
    </w:rPr>
  </w:style>
  <w:style w:type="paragraph" w:customStyle="1" w:styleId="Default">
    <w:name w:val="Default"/>
    <w:rsid w:val="00FC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3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6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9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23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8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97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19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4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4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9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6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87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27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26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20210301" TargetMode="External"/><Relationship Id="rId13" Type="http://schemas.openxmlformats.org/officeDocument/2006/relationships/hyperlink" Target="https://www.slov-lex.sk/pravne-predpisy/SK/ZZ/2005/82/202103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5/82/202103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82/20210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5/82/20210301" TargetMode="External"/><Relationship Id="rId10" Type="http://schemas.openxmlformats.org/officeDocument/2006/relationships/hyperlink" Target="https://www.slov-lex.sk/pravne-predpisy/SK/ZZ/2005/82/20210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82/20210301" TargetMode="External"/><Relationship Id="rId14" Type="http://schemas.openxmlformats.org/officeDocument/2006/relationships/hyperlink" Target="https://www.slov-lex.sk/pravne-predpisy/SK/ZZ/2005/82/202103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3A0C-6AC6-44BB-81BC-078E4DA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Podmajerská, Alena</cp:lastModifiedBy>
  <cp:revision>2</cp:revision>
  <cp:lastPrinted>2022-03-16T10:40:00Z</cp:lastPrinted>
  <dcterms:created xsi:type="dcterms:W3CDTF">2022-03-16T10:42:00Z</dcterms:created>
  <dcterms:modified xsi:type="dcterms:W3CDTF">2022-03-16T10:42:00Z</dcterms:modified>
</cp:coreProperties>
</file>