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48C4D1" w14:textId="77777777" w:rsidR="00054C41" w:rsidRPr="00895898" w:rsidRDefault="00054C41" w:rsidP="00054C41">
      <w:pPr>
        <w:jc w:val="center"/>
        <w:rPr>
          <w:rFonts w:ascii="Times New Roman" w:eastAsia="Calibri" w:hAnsi="Times New Roman" w:cs="Times New Roman"/>
          <w:b/>
          <w:sz w:val="28"/>
          <w:szCs w:val="28"/>
        </w:rPr>
      </w:pPr>
      <w:r w:rsidRPr="00895898">
        <w:rPr>
          <w:rFonts w:ascii="Times New Roman" w:eastAsia="Calibri" w:hAnsi="Times New Roman" w:cs="Times New Roman"/>
          <w:b/>
          <w:sz w:val="28"/>
          <w:szCs w:val="28"/>
        </w:rPr>
        <w:t>Analýza vplyvov na podnikateľské prostredie</w:t>
      </w:r>
    </w:p>
    <w:p w14:paraId="37B35A25" w14:textId="77777777" w:rsidR="00054C41" w:rsidRPr="00895898" w:rsidRDefault="00054C41" w:rsidP="00054C41">
      <w:pPr>
        <w:jc w:val="both"/>
        <w:rPr>
          <w:rFonts w:ascii="Times New Roman" w:eastAsia="Calibri" w:hAnsi="Times New Roman" w:cs="Times New Roman"/>
          <w:b/>
          <w:sz w:val="24"/>
          <w:szCs w:val="24"/>
        </w:rPr>
      </w:pPr>
    </w:p>
    <w:p w14:paraId="76961D92" w14:textId="27144F6A" w:rsidR="00054C41" w:rsidRPr="00AD01AF" w:rsidRDefault="00054C41" w:rsidP="00054C41">
      <w:pPr>
        <w:jc w:val="both"/>
        <w:rPr>
          <w:rFonts w:ascii="Times New Roman" w:eastAsia="Calibri" w:hAnsi="Times New Roman" w:cs="Times New Roman"/>
          <w:sz w:val="24"/>
          <w:szCs w:val="24"/>
        </w:rPr>
      </w:pPr>
      <w:r w:rsidRPr="001F1B43">
        <w:rPr>
          <w:rFonts w:ascii="Times New Roman" w:eastAsia="Calibri" w:hAnsi="Times New Roman" w:cs="Times New Roman"/>
          <w:b/>
          <w:sz w:val="24"/>
          <w:szCs w:val="24"/>
        </w:rPr>
        <w:t>Názov materiálu:</w:t>
      </w:r>
      <w:r w:rsidR="00AD01AF">
        <w:rPr>
          <w:rFonts w:ascii="Times New Roman" w:eastAsia="Calibri" w:hAnsi="Times New Roman" w:cs="Times New Roman"/>
          <w:b/>
          <w:sz w:val="24"/>
          <w:szCs w:val="24"/>
        </w:rPr>
        <w:t xml:space="preserve"> </w:t>
      </w:r>
      <w:r w:rsidR="00AD01AF" w:rsidRPr="00AD01AF">
        <w:rPr>
          <w:rFonts w:ascii="Times New Roman" w:eastAsia="Calibri" w:hAnsi="Times New Roman" w:cs="Times New Roman"/>
          <w:sz w:val="24"/>
          <w:szCs w:val="24"/>
        </w:rPr>
        <w:t xml:space="preserve">Návrh zákona </w:t>
      </w:r>
      <w:r w:rsidR="002604A9" w:rsidRPr="002604A9">
        <w:rPr>
          <w:rFonts w:ascii="Times New Roman" w:eastAsia="Calibri" w:hAnsi="Times New Roman" w:cs="Times New Roman"/>
          <w:sz w:val="24"/>
          <w:szCs w:val="24"/>
        </w:rPr>
        <w:t>o zriadení správnych súdov a o zmene a doplnení niektorých zákonov</w:t>
      </w:r>
    </w:p>
    <w:p w14:paraId="77F96BF6" w14:textId="28D51C19"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Predkladateľ:</w:t>
      </w:r>
      <w:r w:rsidR="00AD01AF">
        <w:rPr>
          <w:rFonts w:ascii="Times New Roman" w:eastAsia="Calibri" w:hAnsi="Times New Roman" w:cs="Times New Roman"/>
          <w:b/>
          <w:sz w:val="24"/>
          <w:szCs w:val="24"/>
        </w:rPr>
        <w:t xml:space="preserve"> </w:t>
      </w:r>
      <w:r w:rsidR="00AD01AF" w:rsidRPr="00AD01AF">
        <w:rPr>
          <w:rFonts w:ascii="Times New Roman" w:eastAsia="Calibri" w:hAnsi="Times New Roman" w:cs="Times New Roman"/>
          <w:sz w:val="24"/>
          <w:szCs w:val="24"/>
        </w:rPr>
        <w:t>Ministerstvo spravodlivosti Slovenskej republiky</w:t>
      </w:r>
    </w:p>
    <w:p w14:paraId="36AFBB5F" w14:textId="77777777" w:rsidR="00054C41" w:rsidRPr="001F1B43" w:rsidRDefault="00054C41" w:rsidP="00054C41">
      <w:pPr>
        <w:jc w:val="both"/>
        <w:rPr>
          <w:rFonts w:ascii="Times New Roman" w:eastAsia="Calibri" w:hAnsi="Times New Roman" w:cs="Times New Roman"/>
          <w:b/>
          <w:sz w:val="24"/>
          <w:szCs w:val="24"/>
        </w:rPr>
      </w:pPr>
    </w:p>
    <w:p w14:paraId="0EB400DC" w14:textId="77777777"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3.1 Náklady regulácie</w:t>
      </w:r>
    </w:p>
    <w:p w14:paraId="2A91A721" w14:textId="7347FB75" w:rsidR="00054C41" w:rsidRPr="001F1B43" w:rsidRDefault="00054C41" w:rsidP="00C21399">
      <w:pPr>
        <w:tabs>
          <w:tab w:val="left" w:pos="8025"/>
        </w:tabs>
        <w:rPr>
          <w:rFonts w:ascii="Times New Roman" w:eastAsia="Calibri" w:hAnsi="Times New Roman" w:cs="Times New Roman"/>
          <w:bCs/>
          <w:i/>
          <w:iCs/>
          <w:sz w:val="24"/>
          <w:szCs w:val="24"/>
        </w:rPr>
      </w:pPr>
      <w:r w:rsidRPr="001F1B43">
        <w:rPr>
          <w:rFonts w:ascii="Times New Roman" w:eastAsia="Calibri" w:hAnsi="Times New Roman" w:cs="Times New Roman"/>
          <w:b/>
          <w:i/>
          <w:iCs/>
          <w:sz w:val="24"/>
          <w:szCs w:val="24"/>
        </w:rPr>
        <w:t xml:space="preserve">3.1.1 Súhrnná tabuľka nákladov regulácie </w:t>
      </w:r>
      <w:r w:rsidR="00C21399">
        <w:rPr>
          <w:rFonts w:ascii="Times New Roman" w:eastAsia="Calibri" w:hAnsi="Times New Roman" w:cs="Times New Roman"/>
          <w:b/>
          <w:i/>
          <w:iCs/>
          <w:sz w:val="24"/>
          <w:szCs w:val="24"/>
        </w:rPr>
        <w:tab/>
      </w:r>
    </w:p>
    <w:p w14:paraId="30C56119" w14:textId="77777777" w:rsidR="00054C41" w:rsidRPr="001F1B43" w:rsidRDefault="00054C41" w:rsidP="00054C41">
      <w:pPr>
        <w:spacing w:after="0"/>
        <w:jc w:val="both"/>
        <w:rPr>
          <w:rFonts w:ascii="Times New Roman" w:eastAsia="Calibri" w:hAnsi="Times New Roman" w:cs="Times New Roman"/>
          <w:b/>
          <w:sz w:val="24"/>
          <w:szCs w:val="24"/>
        </w:rPr>
      </w:pPr>
    </w:p>
    <w:p w14:paraId="332752F1" w14:textId="77777777" w:rsidR="00054C41" w:rsidRPr="00895898" w:rsidRDefault="00054C41" w:rsidP="00054C41">
      <w:pPr>
        <w:spacing w:after="0"/>
        <w:rPr>
          <w:rFonts w:ascii="Times New Roman" w:eastAsia="Calibri" w:hAnsi="Times New Roman" w:cs="Times New Roman"/>
          <w:i/>
        </w:rPr>
      </w:pPr>
    </w:p>
    <w:tbl>
      <w:tblPr>
        <w:tblStyle w:val="Mriekatabuky2"/>
        <w:tblW w:w="9067" w:type="dxa"/>
        <w:tblLook w:val="04A0" w:firstRow="1" w:lastRow="0" w:firstColumn="1" w:lastColumn="0" w:noHBand="0" w:noVBand="1"/>
      </w:tblPr>
      <w:tblGrid>
        <w:gridCol w:w="3681"/>
        <w:gridCol w:w="2693"/>
        <w:gridCol w:w="2693"/>
      </w:tblGrid>
      <w:tr w:rsidR="00054C41" w:rsidRPr="00895898" w14:paraId="200C7519" w14:textId="77777777" w:rsidTr="00142154">
        <w:tc>
          <w:tcPr>
            <w:tcW w:w="3681" w:type="dxa"/>
          </w:tcPr>
          <w:p w14:paraId="06A5A4C5" w14:textId="77777777" w:rsidR="00054C41" w:rsidRPr="00895898" w:rsidRDefault="00054C41" w:rsidP="00142154">
            <w:pPr>
              <w:rPr>
                <w:rFonts w:ascii="Times New Roman" w:eastAsia="Calibri" w:hAnsi="Times New Roman" w:cs="Times New Roman"/>
                <w:b/>
                <w:bCs/>
                <w:i/>
                <w:sz w:val="20"/>
              </w:rPr>
            </w:pPr>
            <w:r w:rsidRPr="00895898">
              <w:rPr>
                <w:rFonts w:ascii="Times New Roman" w:eastAsia="Calibri" w:hAnsi="Times New Roman" w:cs="Times New Roman"/>
                <w:b/>
                <w:bCs/>
                <w:i/>
                <w:sz w:val="20"/>
              </w:rPr>
              <w:t>TYP NÁKLADOV</w:t>
            </w:r>
          </w:p>
        </w:tc>
        <w:tc>
          <w:tcPr>
            <w:tcW w:w="2693" w:type="dxa"/>
            <w:shd w:val="clear" w:color="auto" w:fill="FFC000"/>
          </w:tcPr>
          <w:p w14:paraId="1BAEDC68" w14:textId="77777777" w:rsidR="00054C41" w:rsidRPr="00895898" w:rsidRDefault="00054C41" w:rsidP="00142154">
            <w:pPr>
              <w:jc w:val="center"/>
              <w:rPr>
                <w:rFonts w:ascii="Times New Roman" w:eastAsia="Calibri" w:hAnsi="Times New Roman" w:cs="Times New Roman"/>
                <w:i/>
                <w:sz w:val="20"/>
              </w:rPr>
            </w:pPr>
            <w:r w:rsidRPr="00895898">
              <w:rPr>
                <w:rFonts w:ascii="Times New Roman" w:eastAsia="Calibri" w:hAnsi="Times New Roman" w:cs="Times New Roman"/>
                <w:b/>
                <w:bCs/>
                <w:color w:val="000000"/>
                <w:sz w:val="20"/>
              </w:rPr>
              <w:t>Zvýšenie nákladov v € na PP</w:t>
            </w:r>
          </w:p>
        </w:tc>
        <w:tc>
          <w:tcPr>
            <w:tcW w:w="2693" w:type="dxa"/>
            <w:shd w:val="clear" w:color="auto" w:fill="92D050"/>
          </w:tcPr>
          <w:p w14:paraId="1E4A3629" w14:textId="77777777" w:rsidR="00054C41" w:rsidRPr="00895898" w:rsidRDefault="00054C41" w:rsidP="00142154">
            <w:pPr>
              <w:jc w:val="center"/>
              <w:rPr>
                <w:rFonts w:ascii="Times New Roman" w:eastAsia="Calibri" w:hAnsi="Times New Roman" w:cs="Times New Roman"/>
                <w:b/>
                <w:bCs/>
                <w:color w:val="000000"/>
                <w:sz w:val="20"/>
              </w:rPr>
            </w:pPr>
            <w:r w:rsidRPr="00895898">
              <w:rPr>
                <w:rFonts w:ascii="Times New Roman" w:eastAsia="Calibri" w:hAnsi="Times New Roman" w:cs="Times New Roman"/>
                <w:b/>
                <w:bCs/>
                <w:color w:val="000000"/>
                <w:sz w:val="20"/>
              </w:rPr>
              <w:t>Zníženie nákladov v € na PP</w:t>
            </w:r>
          </w:p>
        </w:tc>
      </w:tr>
      <w:tr w:rsidR="00054C41" w:rsidRPr="00895898" w14:paraId="40D2DDFC" w14:textId="77777777" w:rsidTr="00142154">
        <w:trPr>
          <w:trHeight w:val="227"/>
        </w:trPr>
        <w:tc>
          <w:tcPr>
            <w:tcW w:w="3681" w:type="dxa"/>
          </w:tcPr>
          <w:p w14:paraId="18F50E63" w14:textId="1EC43257" w:rsidR="00054C41" w:rsidRPr="00895898" w:rsidRDefault="00054C41" w:rsidP="00142154">
            <w:pPr>
              <w:rPr>
                <w:rFonts w:ascii="Times New Roman" w:eastAsia="Calibri" w:hAnsi="Times New Roman" w:cs="Times New Roman"/>
                <w:i/>
                <w:iCs/>
                <w:sz w:val="20"/>
              </w:rPr>
            </w:pPr>
            <w:r w:rsidRPr="00895898">
              <w:rPr>
                <w:rFonts w:ascii="Times New Roman" w:eastAsia="Calibri" w:hAnsi="Times New Roman" w:cs="Times New Roman"/>
                <w:i/>
                <w:iCs/>
                <w:color w:val="000000"/>
                <w:sz w:val="20"/>
              </w:rPr>
              <w:t>A. Dane, odvody, clá</w:t>
            </w:r>
            <w:r w:rsidR="00A000DA">
              <w:rPr>
                <w:rFonts w:ascii="Times New Roman" w:eastAsia="Calibri" w:hAnsi="Times New Roman" w:cs="Times New Roman"/>
                <w:i/>
                <w:iCs/>
                <w:color w:val="000000"/>
                <w:sz w:val="20"/>
              </w:rPr>
              <w:t xml:space="preserve"> a poplatk</w:t>
            </w:r>
            <w:r w:rsidR="00A000DA" w:rsidRPr="00A000DA">
              <w:rPr>
                <w:rFonts w:ascii="Times New Roman" w:eastAsia="Calibri" w:hAnsi="Times New Roman" w:cs="Times New Roman"/>
                <w:i/>
                <w:iCs/>
                <w:color w:val="000000"/>
                <w:sz w:val="20"/>
              </w:rPr>
              <w:t>y</w:t>
            </w:r>
            <w:r w:rsidR="00A000DA" w:rsidRPr="00A000DA">
              <w:rPr>
                <w:rFonts w:ascii="Times New Roman" w:hAnsi="Times New Roman" w:cs="Times New Roman"/>
                <w:sz w:val="24"/>
                <w:szCs w:val="24"/>
              </w:rPr>
              <w:t>,</w:t>
            </w:r>
            <w:r w:rsidR="00A000DA">
              <w:rPr>
                <w:rFonts w:ascii="Times New Roman" w:hAnsi="Times New Roman" w:cs="Times New Roman"/>
                <w:b/>
                <w:bCs/>
                <w:sz w:val="24"/>
                <w:szCs w:val="24"/>
              </w:rPr>
              <w:t xml:space="preserve"> </w:t>
            </w:r>
            <w:r w:rsidR="00A000DA" w:rsidRPr="00A000DA">
              <w:rPr>
                <w:rFonts w:ascii="Times New Roman" w:eastAsia="Calibri" w:hAnsi="Times New Roman" w:cs="Times New Roman"/>
                <w:i/>
                <w:iCs/>
                <w:color w:val="000000"/>
                <w:sz w:val="20"/>
              </w:rPr>
              <w:t xml:space="preserve">ktorých cieľom je znižovať negatívne </w:t>
            </w:r>
            <w:proofErr w:type="spellStart"/>
            <w:r w:rsidR="00A000DA" w:rsidRPr="00A000DA">
              <w:rPr>
                <w:rFonts w:ascii="Times New Roman" w:eastAsia="Calibri" w:hAnsi="Times New Roman" w:cs="Times New Roman"/>
                <w:i/>
                <w:iCs/>
                <w:color w:val="000000"/>
                <w:sz w:val="20"/>
              </w:rPr>
              <w:t>externality</w:t>
            </w:r>
            <w:proofErr w:type="spellEnd"/>
          </w:p>
        </w:tc>
        <w:tc>
          <w:tcPr>
            <w:tcW w:w="2693" w:type="dxa"/>
            <w:shd w:val="clear" w:color="auto" w:fill="FFC000"/>
          </w:tcPr>
          <w:p w14:paraId="0C359853" w14:textId="77777777" w:rsidR="00054C41" w:rsidRPr="00895898" w:rsidRDefault="00054C41" w:rsidP="00142154">
            <w:pPr>
              <w:jc w:val="center"/>
              <w:rPr>
                <w:rFonts w:ascii="Times New Roman" w:eastAsia="Calibri" w:hAnsi="Times New Roman" w:cs="Times New Roman"/>
                <w:i/>
                <w:sz w:val="20"/>
              </w:rPr>
            </w:pPr>
            <w:r w:rsidRPr="00895898">
              <w:rPr>
                <w:rFonts w:ascii="Times New Roman" w:eastAsia="Calibri" w:hAnsi="Times New Roman" w:cs="Times New Roman"/>
                <w:i/>
                <w:sz w:val="20"/>
              </w:rPr>
              <w:t>0</w:t>
            </w:r>
          </w:p>
        </w:tc>
        <w:tc>
          <w:tcPr>
            <w:tcW w:w="2693" w:type="dxa"/>
            <w:shd w:val="clear" w:color="auto" w:fill="92D050"/>
          </w:tcPr>
          <w:p w14:paraId="7F217001" w14:textId="77777777" w:rsidR="00054C41" w:rsidRPr="00895898" w:rsidRDefault="00054C41" w:rsidP="00142154">
            <w:pPr>
              <w:jc w:val="center"/>
              <w:rPr>
                <w:rFonts w:ascii="Times New Roman" w:eastAsia="Calibri" w:hAnsi="Times New Roman" w:cs="Times New Roman"/>
                <w:i/>
                <w:sz w:val="20"/>
              </w:rPr>
            </w:pPr>
            <w:r w:rsidRPr="00895898">
              <w:rPr>
                <w:rFonts w:ascii="Times New Roman" w:eastAsia="Calibri" w:hAnsi="Times New Roman" w:cs="Times New Roman"/>
                <w:i/>
                <w:sz w:val="20"/>
              </w:rPr>
              <w:t>0</w:t>
            </w:r>
          </w:p>
        </w:tc>
      </w:tr>
      <w:tr w:rsidR="00054C41" w:rsidRPr="00895898" w14:paraId="2A3B7BD5" w14:textId="77777777" w:rsidTr="00142154">
        <w:tc>
          <w:tcPr>
            <w:tcW w:w="3681" w:type="dxa"/>
          </w:tcPr>
          <w:p w14:paraId="749ADDB1" w14:textId="6814776F" w:rsidR="00054C41" w:rsidRPr="00895898" w:rsidRDefault="00054C41" w:rsidP="00142154">
            <w:pPr>
              <w:rPr>
                <w:rFonts w:ascii="Times New Roman" w:eastAsia="Calibri" w:hAnsi="Times New Roman" w:cs="Times New Roman"/>
                <w:i/>
                <w:sz w:val="20"/>
              </w:rPr>
            </w:pPr>
            <w:r w:rsidRPr="00895898">
              <w:rPr>
                <w:rFonts w:ascii="Times New Roman" w:eastAsia="Calibri" w:hAnsi="Times New Roman" w:cs="Times New Roman"/>
                <w:i/>
                <w:sz w:val="20"/>
              </w:rPr>
              <w:t xml:space="preserve">B. </w:t>
            </w:r>
            <w:r w:rsidR="00A000DA">
              <w:rPr>
                <w:rFonts w:ascii="Times New Roman" w:eastAsia="Calibri" w:hAnsi="Times New Roman" w:cs="Times New Roman"/>
                <w:i/>
                <w:sz w:val="20"/>
              </w:rPr>
              <w:t>Iné p</w:t>
            </w:r>
            <w:r w:rsidRPr="00895898">
              <w:rPr>
                <w:rFonts w:ascii="Times New Roman" w:eastAsia="Calibri" w:hAnsi="Times New Roman" w:cs="Times New Roman"/>
                <w:i/>
                <w:sz w:val="20"/>
              </w:rPr>
              <w:t>oplatky</w:t>
            </w:r>
          </w:p>
        </w:tc>
        <w:tc>
          <w:tcPr>
            <w:tcW w:w="2693" w:type="dxa"/>
            <w:shd w:val="clear" w:color="auto" w:fill="FFC000"/>
          </w:tcPr>
          <w:p w14:paraId="7437C4A3" w14:textId="77777777" w:rsidR="00054C41" w:rsidRPr="00895898" w:rsidRDefault="00054C41" w:rsidP="00142154">
            <w:pPr>
              <w:jc w:val="center"/>
              <w:rPr>
                <w:rFonts w:ascii="Times New Roman" w:eastAsia="Calibri" w:hAnsi="Times New Roman" w:cs="Times New Roman"/>
                <w:i/>
                <w:sz w:val="20"/>
              </w:rPr>
            </w:pPr>
            <w:r w:rsidRPr="00895898">
              <w:rPr>
                <w:rFonts w:ascii="Times New Roman" w:eastAsia="Calibri" w:hAnsi="Times New Roman" w:cs="Times New Roman"/>
                <w:i/>
                <w:sz w:val="20"/>
              </w:rPr>
              <w:t>0</w:t>
            </w:r>
          </w:p>
        </w:tc>
        <w:tc>
          <w:tcPr>
            <w:tcW w:w="2693" w:type="dxa"/>
            <w:shd w:val="clear" w:color="auto" w:fill="92D050"/>
          </w:tcPr>
          <w:p w14:paraId="1A7F8C71" w14:textId="77777777" w:rsidR="00054C41" w:rsidRPr="00895898" w:rsidRDefault="00054C41" w:rsidP="00142154">
            <w:pPr>
              <w:jc w:val="center"/>
              <w:rPr>
                <w:rFonts w:ascii="Times New Roman" w:eastAsia="Calibri" w:hAnsi="Times New Roman" w:cs="Times New Roman"/>
                <w:i/>
                <w:sz w:val="20"/>
              </w:rPr>
            </w:pPr>
            <w:r w:rsidRPr="00895898">
              <w:rPr>
                <w:rFonts w:ascii="Times New Roman" w:eastAsia="Calibri" w:hAnsi="Times New Roman" w:cs="Times New Roman"/>
                <w:i/>
                <w:sz w:val="20"/>
              </w:rPr>
              <w:t>0</w:t>
            </w:r>
          </w:p>
        </w:tc>
      </w:tr>
      <w:tr w:rsidR="00054C41" w:rsidRPr="00895898" w14:paraId="5890A2A1" w14:textId="77777777" w:rsidTr="00142154">
        <w:tc>
          <w:tcPr>
            <w:tcW w:w="3681" w:type="dxa"/>
          </w:tcPr>
          <w:p w14:paraId="470A575F" w14:textId="77777777" w:rsidR="00054C41" w:rsidRPr="00895898" w:rsidRDefault="00054C41" w:rsidP="00142154">
            <w:pPr>
              <w:rPr>
                <w:rFonts w:ascii="Times New Roman" w:eastAsia="Calibri" w:hAnsi="Times New Roman" w:cs="Times New Roman"/>
                <w:i/>
                <w:sz w:val="20"/>
              </w:rPr>
            </w:pPr>
            <w:r w:rsidRPr="00895898">
              <w:rPr>
                <w:rFonts w:ascii="Times New Roman" w:eastAsia="Calibri" w:hAnsi="Times New Roman" w:cs="Times New Roman"/>
                <w:i/>
                <w:sz w:val="20"/>
              </w:rPr>
              <w:t>C. Nepriame finančné náklady</w:t>
            </w:r>
          </w:p>
        </w:tc>
        <w:tc>
          <w:tcPr>
            <w:tcW w:w="2693" w:type="dxa"/>
            <w:shd w:val="clear" w:color="auto" w:fill="FFC000"/>
          </w:tcPr>
          <w:p w14:paraId="72C6ABCE" w14:textId="77777777" w:rsidR="00054C41" w:rsidRPr="00895898" w:rsidRDefault="00054C41" w:rsidP="00142154">
            <w:pPr>
              <w:jc w:val="center"/>
              <w:rPr>
                <w:rFonts w:ascii="Times New Roman" w:eastAsia="Calibri" w:hAnsi="Times New Roman" w:cs="Times New Roman"/>
                <w:i/>
                <w:sz w:val="20"/>
              </w:rPr>
            </w:pPr>
            <w:r w:rsidRPr="00895898">
              <w:rPr>
                <w:rFonts w:ascii="Times New Roman" w:eastAsia="Calibri" w:hAnsi="Times New Roman" w:cs="Times New Roman"/>
                <w:i/>
                <w:sz w:val="20"/>
              </w:rPr>
              <w:t>0</w:t>
            </w:r>
          </w:p>
        </w:tc>
        <w:tc>
          <w:tcPr>
            <w:tcW w:w="2693" w:type="dxa"/>
            <w:shd w:val="clear" w:color="auto" w:fill="92D050"/>
          </w:tcPr>
          <w:p w14:paraId="4AB9E4F0" w14:textId="77777777" w:rsidR="00054C41" w:rsidRPr="00895898" w:rsidRDefault="00054C41" w:rsidP="00142154">
            <w:pPr>
              <w:jc w:val="center"/>
              <w:rPr>
                <w:rFonts w:ascii="Times New Roman" w:eastAsia="Calibri" w:hAnsi="Times New Roman" w:cs="Times New Roman"/>
                <w:i/>
                <w:sz w:val="20"/>
              </w:rPr>
            </w:pPr>
            <w:r w:rsidRPr="00895898">
              <w:rPr>
                <w:rFonts w:ascii="Times New Roman" w:eastAsia="Calibri" w:hAnsi="Times New Roman" w:cs="Times New Roman"/>
                <w:i/>
                <w:sz w:val="20"/>
              </w:rPr>
              <w:t>0</w:t>
            </w:r>
          </w:p>
        </w:tc>
      </w:tr>
      <w:tr w:rsidR="00054C41" w:rsidRPr="00895898" w14:paraId="1915EE9C" w14:textId="77777777" w:rsidTr="00142154">
        <w:tc>
          <w:tcPr>
            <w:tcW w:w="3681" w:type="dxa"/>
          </w:tcPr>
          <w:p w14:paraId="3FBBD35B" w14:textId="77777777" w:rsidR="00054C41" w:rsidRPr="00895898" w:rsidRDefault="00054C41" w:rsidP="00142154">
            <w:pPr>
              <w:rPr>
                <w:rFonts w:ascii="Times New Roman" w:eastAsia="Calibri" w:hAnsi="Times New Roman" w:cs="Times New Roman"/>
                <w:i/>
                <w:sz w:val="20"/>
              </w:rPr>
            </w:pPr>
            <w:r w:rsidRPr="00895898">
              <w:rPr>
                <w:rFonts w:ascii="Times New Roman" w:eastAsia="Calibri" w:hAnsi="Times New Roman" w:cs="Times New Roman"/>
                <w:i/>
                <w:sz w:val="20"/>
              </w:rPr>
              <w:t>D. Administratívne náklady</w:t>
            </w:r>
          </w:p>
        </w:tc>
        <w:tc>
          <w:tcPr>
            <w:tcW w:w="2693" w:type="dxa"/>
            <w:shd w:val="clear" w:color="auto" w:fill="FFC000"/>
          </w:tcPr>
          <w:p w14:paraId="23A80DDF" w14:textId="77777777" w:rsidR="00054C41" w:rsidRPr="00895898" w:rsidRDefault="00054C41" w:rsidP="00142154">
            <w:pPr>
              <w:jc w:val="center"/>
              <w:rPr>
                <w:rFonts w:ascii="Times New Roman" w:eastAsia="Calibri" w:hAnsi="Times New Roman" w:cs="Times New Roman"/>
                <w:i/>
                <w:sz w:val="20"/>
              </w:rPr>
            </w:pPr>
            <w:r w:rsidRPr="00895898">
              <w:rPr>
                <w:rFonts w:ascii="Times New Roman" w:eastAsia="Calibri" w:hAnsi="Times New Roman" w:cs="Times New Roman"/>
                <w:i/>
                <w:sz w:val="20"/>
              </w:rPr>
              <w:t>0</w:t>
            </w:r>
          </w:p>
        </w:tc>
        <w:tc>
          <w:tcPr>
            <w:tcW w:w="2693" w:type="dxa"/>
            <w:shd w:val="clear" w:color="auto" w:fill="92D050"/>
          </w:tcPr>
          <w:p w14:paraId="0128E641" w14:textId="77777777" w:rsidR="00054C41" w:rsidRPr="00895898" w:rsidRDefault="00054C41" w:rsidP="00142154">
            <w:pPr>
              <w:jc w:val="center"/>
              <w:rPr>
                <w:rFonts w:ascii="Times New Roman" w:eastAsia="Calibri" w:hAnsi="Times New Roman" w:cs="Times New Roman"/>
                <w:i/>
                <w:sz w:val="20"/>
              </w:rPr>
            </w:pPr>
            <w:r w:rsidRPr="00895898">
              <w:rPr>
                <w:rFonts w:ascii="Times New Roman" w:eastAsia="Calibri" w:hAnsi="Times New Roman" w:cs="Times New Roman"/>
                <w:i/>
                <w:sz w:val="20"/>
              </w:rPr>
              <w:t>0</w:t>
            </w:r>
          </w:p>
        </w:tc>
      </w:tr>
      <w:tr w:rsidR="00054C41" w:rsidRPr="00895898" w14:paraId="784F8A51" w14:textId="77777777" w:rsidTr="00142154">
        <w:tc>
          <w:tcPr>
            <w:tcW w:w="3681" w:type="dxa"/>
          </w:tcPr>
          <w:p w14:paraId="796F837A" w14:textId="77777777" w:rsidR="00054C41" w:rsidRPr="00895898" w:rsidRDefault="00054C41" w:rsidP="00142154">
            <w:pPr>
              <w:rPr>
                <w:rFonts w:ascii="Times New Roman" w:eastAsia="Calibri" w:hAnsi="Times New Roman" w:cs="Times New Roman"/>
                <w:b/>
                <w:i/>
                <w:sz w:val="20"/>
              </w:rPr>
            </w:pPr>
            <w:r w:rsidRPr="00895898">
              <w:rPr>
                <w:rFonts w:ascii="Times New Roman" w:eastAsia="Calibri" w:hAnsi="Times New Roman" w:cs="Times New Roman"/>
                <w:b/>
                <w:i/>
                <w:sz w:val="20"/>
              </w:rPr>
              <w:t>Spolu = A+B+C+D</w:t>
            </w:r>
          </w:p>
        </w:tc>
        <w:tc>
          <w:tcPr>
            <w:tcW w:w="2693" w:type="dxa"/>
            <w:shd w:val="clear" w:color="auto" w:fill="FFC000"/>
          </w:tcPr>
          <w:p w14:paraId="4613DC7D" w14:textId="77777777" w:rsidR="00054C41" w:rsidRPr="00895898" w:rsidRDefault="00054C41" w:rsidP="00142154">
            <w:pPr>
              <w:jc w:val="center"/>
              <w:rPr>
                <w:rFonts w:ascii="Times New Roman" w:eastAsia="Calibri" w:hAnsi="Times New Roman" w:cs="Times New Roman"/>
                <w:b/>
                <w:i/>
                <w:sz w:val="20"/>
              </w:rPr>
            </w:pPr>
            <w:r w:rsidRPr="00895898">
              <w:rPr>
                <w:rFonts w:ascii="Times New Roman" w:eastAsia="Calibri" w:hAnsi="Times New Roman" w:cs="Times New Roman"/>
                <w:b/>
                <w:i/>
                <w:sz w:val="20"/>
              </w:rPr>
              <w:t>0</w:t>
            </w:r>
          </w:p>
        </w:tc>
        <w:tc>
          <w:tcPr>
            <w:tcW w:w="2693" w:type="dxa"/>
            <w:shd w:val="clear" w:color="auto" w:fill="92D050"/>
          </w:tcPr>
          <w:p w14:paraId="02FE7EB5" w14:textId="77777777" w:rsidR="00054C41" w:rsidRPr="00895898" w:rsidRDefault="00054C41" w:rsidP="00142154">
            <w:pPr>
              <w:jc w:val="center"/>
              <w:rPr>
                <w:rFonts w:ascii="Times New Roman" w:eastAsia="Calibri" w:hAnsi="Times New Roman" w:cs="Times New Roman"/>
                <w:b/>
                <w:i/>
                <w:sz w:val="20"/>
              </w:rPr>
            </w:pPr>
            <w:r w:rsidRPr="00895898">
              <w:rPr>
                <w:rFonts w:ascii="Times New Roman" w:eastAsia="Calibri" w:hAnsi="Times New Roman" w:cs="Times New Roman"/>
                <w:b/>
                <w:i/>
                <w:sz w:val="20"/>
              </w:rPr>
              <w:t>0</w:t>
            </w:r>
          </w:p>
        </w:tc>
      </w:tr>
      <w:tr w:rsidR="00054C41" w:rsidRPr="00895898" w14:paraId="4440B6DF" w14:textId="77777777" w:rsidTr="00142154">
        <w:tc>
          <w:tcPr>
            <w:tcW w:w="3681" w:type="dxa"/>
          </w:tcPr>
          <w:p w14:paraId="1E7A37D9" w14:textId="05E931F4" w:rsidR="00054C41" w:rsidRPr="00895898" w:rsidRDefault="00054C41" w:rsidP="00142154">
            <w:pPr>
              <w:rPr>
                <w:rFonts w:ascii="Times New Roman" w:eastAsia="Calibri" w:hAnsi="Times New Roman" w:cs="Times New Roman"/>
                <w:b/>
                <w:i/>
                <w:sz w:val="20"/>
              </w:rPr>
            </w:pPr>
            <w:r w:rsidRPr="00895898">
              <w:rPr>
                <w:rFonts w:ascii="Times New Roman" w:eastAsia="Calibri" w:hAnsi="Times New Roman" w:cs="Times New Roman"/>
                <w:b/>
                <w:i/>
                <w:sz w:val="20"/>
              </w:rPr>
              <w:t xml:space="preserve"> z</w:t>
            </w:r>
            <w:r w:rsidR="00E030DA">
              <w:rPr>
                <w:rFonts w:ascii="Times New Roman" w:eastAsia="Calibri" w:hAnsi="Times New Roman" w:cs="Times New Roman"/>
                <w:b/>
                <w:i/>
                <w:sz w:val="20"/>
              </w:rPr>
              <w:t> </w:t>
            </w:r>
            <w:r w:rsidRPr="00895898">
              <w:rPr>
                <w:rFonts w:ascii="Times New Roman" w:eastAsia="Calibri" w:hAnsi="Times New Roman" w:cs="Times New Roman"/>
                <w:b/>
                <w:i/>
                <w:sz w:val="20"/>
              </w:rPr>
              <w:t>toho</w:t>
            </w:r>
          </w:p>
        </w:tc>
        <w:tc>
          <w:tcPr>
            <w:tcW w:w="2693" w:type="dxa"/>
            <w:shd w:val="clear" w:color="auto" w:fill="FFC000"/>
          </w:tcPr>
          <w:p w14:paraId="51BD31F5" w14:textId="77777777" w:rsidR="00054C41" w:rsidRPr="00895898" w:rsidRDefault="00054C41" w:rsidP="00142154">
            <w:pPr>
              <w:jc w:val="center"/>
              <w:rPr>
                <w:rFonts w:ascii="Times New Roman" w:eastAsia="Calibri" w:hAnsi="Times New Roman" w:cs="Times New Roman"/>
                <w:b/>
                <w:i/>
                <w:sz w:val="20"/>
              </w:rPr>
            </w:pPr>
          </w:p>
        </w:tc>
        <w:tc>
          <w:tcPr>
            <w:tcW w:w="2693" w:type="dxa"/>
            <w:shd w:val="clear" w:color="auto" w:fill="92D050"/>
          </w:tcPr>
          <w:p w14:paraId="623271B2" w14:textId="77777777" w:rsidR="00054C41" w:rsidRPr="00895898" w:rsidRDefault="00054C41" w:rsidP="00142154">
            <w:pPr>
              <w:jc w:val="center"/>
              <w:rPr>
                <w:rFonts w:ascii="Times New Roman" w:eastAsia="Calibri" w:hAnsi="Times New Roman" w:cs="Times New Roman"/>
                <w:b/>
                <w:i/>
                <w:sz w:val="20"/>
              </w:rPr>
            </w:pPr>
          </w:p>
        </w:tc>
      </w:tr>
      <w:tr w:rsidR="00054C41" w:rsidRPr="00895898" w14:paraId="5592CF42" w14:textId="77777777" w:rsidTr="00142154">
        <w:tc>
          <w:tcPr>
            <w:tcW w:w="3681" w:type="dxa"/>
          </w:tcPr>
          <w:p w14:paraId="01B4507F" w14:textId="77777777" w:rsidR="00054C41" w:rsidRPr="00895898" w:rsidRDefault="00054C41" w:rsidP="00142154">
            <w:pPr>
              <w:rPr>
                <w:rFonts w:ascii="Times New Roman" w:eastAsia="Calibri" w:hAnsi="Times New Roman" w:cs="Times New Roman"/>
                <w:i/>
                <w:sz w:val="20"/>
              </w:rPr>
            </w:pPr>
            <w:r w:rsidRPr="00895898">
              <w:rPr>
                <w:rFonts w:ascii="Times New Roman" w:eastAsia="Calibri" w:hAnsi="Times New Roman" w:cs="Times New Roman"/>
                <w:i/>
                <w:sz w:val="20"/>
              </w:rPr>
              <w:t xml:space="preserve">E. Vplyv na </w:t>
            </w:r>
            <w:proofErr w:type="spellStart"/>
            <w:r w:rsidRPr="00895898">
              <w:rPr>
                <w:rFonts w:ascii="Times New Roman" w:eastAsia="Calibri" w:hAnsi="Times New Roman" w:cs="Times New Roman"/>
                <w:i/>
                <w:sz w:val="20"/>
              </w:rPr>
              <w:t>mikro</w:t>
            </w:r>
            <w:proofErr w:type="spellEnd"/>
            <w:r w:rsidRPr="00895898">
              <w:rPr>
                <w:rFonts w:ascii="Times New Roman" w:eastAsia="Calibri" w:hAnsi="Times New Roman" w:cs="Times New Roman"/>
                <w:i/>
                <w:sz w:val="20"/>
              </w:rPr>
              <w:t>, malé a stredné podniky</w:t>
            </w:r>
          </w:p>
        </w:tc>
        <w:tc>
          <w:tcPr>
            <w:tcW w:w="2693" w:type="dxa"/>
            <w:shd w:val="clear" w:color="auto" w:fill="FFC000"/>
          </w:tcPr>
          <w:p w14:paraId="7D80D68C" w14:textId="77777777" w:rsidR="00054C41" w:rsidRPr="00895898" w:rsidRDefault="00054C41" w:rsidP="00142154">
            <w:pPr>
              <w:jc w:val="center"/>
              <w:rPr>
                <w:rFonts w:ascii="Times New Roman" w:eastAsia="Calibri" w:hAnsi="Times New Roman" w:cs="Times New Roman"/>
                <w:b/>
                <w:i/>
                <w:sz w:val="20"/>
              </w:rPr>
            </w:pPr>
            <w:r w:rsidRPr="00895898">
              <w:rPr>
                <w:rFonts w:ascii="Times New Roman" w:eastAsia="Calibri" w:hAnsi="Times New Roman" w:cs="Times New Roman"/>
                <w:i/>
                <w:sz w:val="20"/>
              </w:rPr>
              <w:t>0</w:t>
            </w:r>
          </w:p>
        </w:tc>
        <w:tc>
          <w:tcPr>
            <w:tcW w:w="2693" w:type="dxa"/>
            <w:shd w:val="clear" w:color="auto" w:fill="92D050"/>
          </w:tcPr>
          <w:p w14:paraId="52B3C4D4" w14:textId="77777777" w:rsidR="00054C41" w:rsidRPr="00895898" w:rsidRDefault="00054C41" w:rsidP="00142154">
            <w:pPr>
              <w:jc w:val="center"/>
              <w:rPr>
                <w:rFonts w:ascii="Times New Roman" w:eastAsia="Calibri" w:hAnsi="Times New Roman" w:cs="Times New Roman"/>
                <w:b/>
                <w:i/>
                <w:sz w:val="20"/>
              </w:rPr>
            </w:pPr>
            <w:r w:rsidRPr="00895898">
              <w:rPr>
                <w:rFonts w:ascii="Times New Roman" w:eastAsia="Calibri" w:hAnsi="Times New Roman" w:cs="Times New Roman"/>
                <w:i/>
                <w:sz w:val="20"/>
              </w:rPr>
              <w:t>0</w:t>
            </w:r>
          </w:p>
        </w:tc>
      </w:tr>
      <w:tr w:rsidR="00054C41" w:rsidRPr="00895898" w14:paraId="22C30EA7" w14:textId="77777777" w:rsidTr="00142154">
        <w:tc>
          <w:tcPr>
            <w:tcW w:w="3681" w:type="dxa"/>
          </w:tcPr>
          <w:p w14:paraId="7C25F36F" w14:textId="77777777" w:rsidR="00054C41" w:rsidRPr="00895898" w:rsidRDefault="00054C41" w:rsidP="00142154">
            <w:pPr>
              <w:rPr>
                <w:rFonts w:ascii="Times New Roman" w:eastAsia="Calibri" w:hAnsi="Times New Roman" w:cs="Times New Roman"/>
                <w:i/>
                <w:sz w:val="20"/>
              </w:rPr>
            </w:pPr>
            <w:r w:rsidRPr="00895898">
              <w:rPr>
                <w:rFonts w:ascii="Times New Roman" w:eastAsia="Calibri" w:hAnsi="Times New Roman" w:cs="Times New Roman"/>
                <w:i/>
                <w:sz w:val="20"/>
              </w:rPr>
              <w:t>F. Úplná harmonizácia práva EÚ</w:t>
            </w:r>
          </w:p>
        </w:tc>
        <w:tc>
          <w:tcPr>
            <w:tcW w:w="2693" w:type="dxa"/>
            <w:shd w:val="clear" w:color="auto" w:fill="FFC000"/>
          </w:tcPr>
          <w:p w14:paraId="56F8EF12" w14:textId="77777777" w:rsidR="00054C41" w:rsidRPr="00895898" w:rsidRDefault="00054C41" w:rsidP="00142154">
            <w:pPr>
              <w:jc w:val="center"/>
              <w:rPr>
                <w:rFonts w:ascii="Times New Roman" w:eastAsia="Calibri" w:hAnsi="Times New Roman" w:cs="Times New Roman"/>
                <w:b/>
                <w:i/>
                <w:sz w:val="20"/>
              </w:rPr>
            </w:pPr>
            <w:r w:rsidRPr="00895898">
              <w:rPr>
                <w:rFonts w:ascii="Times New Roman" w:eastAsia="Calibri" w:hAnsi="Times New Roman" w:cs="Times New Roman"/>
                <w:i/>
                <w:sz w:val="20"/>
              </w:rPr>
              <w:t>0</w:t>
            </w:r>
          </w:p>
        </w:tc>
        <w:tc>
          <w:tcPr>
            <w:tcW w:w="2693" w:type="dxa"/>
            <w:shd w:val="clear" w:color="auto" w:fill="92D050"/>
          </w:tcPr>
          <w:p w14:paraId="26F86839" w14:textId="77777777" w:rsidR="00054C41" w:rsidRPr="00895898" w:rsidRDefault="00054C41" w:rsidP="00142154">
            <w:pPr>
              <w:jc w:val="center"/>
              <w:rPr>
                <w:rFonts w:ascii="Times New Roman" w:eastAsia="Calibri" w:hAnsi="Times New Roman" w:cs="Times New Roman"/>
                <w:b/>
                <w:i/>
                <w:sz w:val="20"/>
              </w:rPr>
            </w:pPr>
            <w:r w:rsidRPr="00895898">
              <w:rPr>
                <w:rFonts w:ascii="Times New Roman" w:eastAsia="Calibri" w:hAnsi="Times New Roman" w:cs="Times New Roman"/>
                <w:i/>
                <w:sz w:val="20"/>
              </w:rPr>
              <w:t>0</w:t>
            </w:r>
          </w:p>
        </w:tc>
      </w:tr>
      <w:tr w:rsidR="00054C41" w:rsidRPr="00895898" w14:paraId="51AAD86C" w14:textId="77777777" w:rsidTr="00142154">
        <w:tc>
          <w:tcPr>
            <w:tcW w:w="9067" w:type="dxa"/>
            <w:gridSpan w:val="3"/>
            <w:shd w:val="clear" w:color="auto" w:fill="auto"/>
          </w:tcPr>
          <w:p w14:paraId="3015DC22" w14:textId="77777777" w:rsidR="00054C41" w:rsidRPr="00895898" w:rsidRDefault="00054C41" w:rsidP="00142154">
            <w:pPr>
              <w:jc w:val="center"/>
              <w:rPr>
                <w:rFonts w:ascii="Times New Roman" w:eastAsia="Calibri" w:hAnsi="Times New Roman" w:cs="Times New Roman"/>
                <w:b/>
                <w:bCs/>
                <w:i/>
                <w:sz w:val="20"/>
              </w:rPr>
            </w:pPr>
          </w:p>
        </w:tc>
      </w:tr>
      <w:tr w:rsidR="00054C41" w:rsidRPr="00895898" w14:paraId="0478A44B" w14:textId="77777777" w:rsidTr="00142154">
        <w:tc>
          <w:tcPr>
            <w:tcW w:w="3681" w:type="dxa"/>
          </w:tcPr>
          <w:p w14:paraId="223D796F" w14:textId="5E2E0367" w:rsidR="00054C41" w:rsidRPr="00895898" w:rsidRDefault="00054C41" w:rsidP="00142154">
            <w:pPr>
              <w:rPr>
                <w:rFonts w:ascii="Times New Roman" w:eastAsia="Calibri" w:hAnsi="Times New Roman" w:cs="Times New Roman"/>
                <w:b/>
                <w:i/>
                <w:sz w:val="20"/>
              </w:rPr>
            </w:pPr>
            <w:r w:rsidRPr="00895898">
              <w:rPr>
                <w:rFonts w:ascii="Times New Roman" w:eastAsia="Calibri" w:hAnsi="Times New Roman" w:cs="Times New Roman"/>
                <w:b/>
                <w:bCs/>
                <w:i/>
                <w:sz w:val="20"/>
              </w:rPr>
              <w:t>VÝPOČET mechanizmu znižovania byrokracie a</w:t>
            </w:r>
            <w:r w:rsidR="00E030DA">
              <w:rPr>
                <w:rFonts w:ascii="Times New Roman" w:eastAsia="Calibri" w:hAnsi="Times New Roman" w:cs="Times New Roman"/>
                <w:b/>
                <w:bCs/>
                <w:i/>
                <w:sz w:val="20"/>
              </w:rPr>
              <w:t> </w:t>
            </w:r>
            <w:r w:rsidRPr="00895898">
              <w:rPr>
                <w:rFonts w:ascii="Times New Roman" w:eastAsia="Calibri" w:hAnsi="Times New Roman" w:cs="Times New Roman"/>
                <w:b/>
                <w:bCs/>
                <w:i/>
                <w:sz w:val="20"/>
              </w:rPr>
              <w:t>nákladov</w:t>
            </w:r>
          </w:p>
        </w:tc>
        <w:tc>
          <w:tcPr>
            <w:tcW w:w="2693" w:type="dxa"/>
            <w:shd w:val="clear" w:color="auto" w:fill="FFC000"/>
          </w:tcPr>
          <w:p w14:paraId="2B6854C4" w14:textId="77777777" w:rsidR="00054C41" w:rsidRPr="00895898" w:rsidRDefault="00054C41" w:rsidP="00142154">
            <w:pPr>
              <w:jc w:val="center"/>
              <w:rPr>
                <w:rFonts w:ascii="Times New Roman" w:eastAsia="Calibri" w:hAnsi="Times New Roman" w:cs="Times New Roman"/>
                <w:b/>
                <w:bCs/>
                <w:i/>
                <w:sz w:val="20"/>
              </w:rPr>
            </w:pPr>
            <w:r w:rsidRPr="00895898">
              <w:rPr>
                <w:rFonts w:ascii="Times New Roman" w:eastAsia="Calibri" w:hAnsi="Times New Roman" w:cs="Times New Roman"/>
                <w:b/>
                <w:bCs/>
                <w:i/>
                <w:sz w:val="20"/>
              </w:rPr>
              <w:t>IN</w:t>
            </w:r>
          </w:p>
        </w:tc>
        <w:tc>
          <w:tcPr>
            <w:tcW w:w="2693" w:type="dxa"/>
            <w:shd w:val="clear" w:color="auto" w:fill="92D050"/>
          </w:tcPr>
          <w:p w14:paraId="5C88BAF1" w14:textId="77777777" w:rsidR="00054C41" w:rsidRPr="00895898" w:rsidRDefault="00054C41" w:rsidP="00142154">
            <w:pPr>
              <w:jc w:val="center"/>
              <w:rPr>
                <w:rFonts w:ascii="Times New Roman" w:eastAsia="Calibri" w:hAnsi="Times New Roman" w:cs="Times New Roman"/>
                <w:b/>
                <w:bCs/>
                <w:i/>
                <w:sz w:val="20"/>
              </w:rPr>
            </w:pPr>
            <w:r w:rsidRPr="00895898">
              <w:rPr>
                <w:rFonts w:ascii="Times New Roman" w:eastAsia="Calibri" w:hAnsi="Times New Roman" w:cs="Times New Roman"/>
                <w:b/>
                <w:bCs/>
                <w:i/>
                <w:sz w:val="20"/>
              </w:rPr>
              <w:t>OUT</w:t>
            </w:r>
          </w:p>
        </w:tc>
      </w:tr>
      <w:tr w:rsidR="00054C41" w:rsidRPr="00895898" w14:paraId="5011BAE2" w14:textId="77777777" w:rsidTr="00142154">
        <w:tc>
          <w:tcPr>
            <w:tcW w:w="3681" w:type="dxa"/>
          </w:tcPr>
          <w:p w14:paraId="23438493" w14:textId="77777777" w:rsidR="00054C41" w:rsidRPr="00895898" w:rsidRDefault="00054C41" w:rsidP="00142154">
            <w:pPr>
              <w:rPr>
                <w:rFonts w:ascii="Times New Roman" w:eastAsia="Calibri" w:hAnsi="Times New Roman" w:cs="Times New Roman"/>
                <w:b/>
                <w:i/>
                <w:sz w:val="20"/>
              </w:rPr>
            </w:pPr>
            <w:r w:rsidRPr="00895898">
              <w:rPr>
                <w:rFonts w:ascii="Times New Roman" w:eastAsia="Calibri" w:hAnsi="Times New Roman" w:cs="Times New Roman"/>
                <w:b/>
                <w:i/>
                <w:sz w:val="20"/>
              </w:rPr>
              <w:t>G. Náklady okrem výnimiek = B+C+D-F</w:t>
            </w:r>
          </w:p>
        </w:tc>
        <w:tc>
          <w:tcPr>
            <w:tcW w:w="2693" w:type="dxa"/>
            <w:shd w:val="clear" w:color="auto" w:fill="FFC000"/>
          </w:tcPr>
          <w:p w14:paraId="7041BF23" w14:textId="77777777" w:rsidR="00054C41" w:rsidRPr="00895898" w:rsidRDefault="00054C41" w:rsidP="00142154">
            <w:pPr>
              <w:jc w:val="center"/>
              <w:rPr>
                <w:rFonts w:ascii="Times New Roman" w:eastAsia="Calibri" w:hAnsi="Times New Roman" w:cs="Times New Roman"/>
                <w:b/>
                <w:bCs/>
                <w:i/>
                <w:sz w:val="20"/>
              </w:rPr>
            </w:pPr>
            <w:r w:rsidRPr="00895898">
              <w:rPr>
                <w:rFonts w:ascii="Times New Roman" w:eastAsia="Calibri" w:hAnsi="Times New Roman" w:cs="Times New Roman"/>
                <w:b/>
                <w:bCs/>
                <w:i/>
                <w:sz w:val="20"/>
              </w:rPr>
              <w:t>0</w:t>
            </w:r>
          </w:p>
        </w:tc>
        <w:tc>
          <w:tcPr>
            <w:tcW w:w="2693" w:type="dxa"/>
            <w:shd w:val="clear" w:color="auto" w:fill="92D050"/>
          </w:tcPr>
          <w:p w14:paraId="254E8359" w14:textId="77777777" w:rsidR="00054C41" w:rsidRPr="00895898" w:rsidRDefault="00054C41" w:rsidP="00142154">
            <w:pPr>
              <w:jc w:val="center"/>
              <w:rPr>
                <w:rFonts w:ascii="Times New Roman" w:eastAsia="Calibri" w:hAnsi="Times New Roman" w:cs="Times New Roman"/>
                <w:b/>
                <w:bCs/>
                <w:i/>
                <w:sz w:val="20"/>
              </w:rPr>
            </w:pPr>
            <w:r w:rsidRPr="00895898">
              <w:rPr>
                <w:rFonts w:ascii="Times New Roman" w:eastAsia="Calibri" w:hAnsi="Times New Roman" w:cs="Times New Roman"/>
                <w:b/>
                <w:bCs/>
                <w:i/>
                <w:sz w:val="20"/>
              </w:rPr>
              <w:t>0</w:t>
            </w:r>
          </w:p>
        </w:tc>
      </w:tr>
    </w:tbl>
    <w:p w14:paraId="533B49DD" w14:textId="77777777" w:rsidR="00054C41" w:rsidRPr="00895898" w:rsidRDefault="00054C41" w:rsidP="00054C41">
      <w:pPr>
        <w:spacing w:after="0"/>
        <w:rPr>
          <w:rFonts w:ascii="Times New Roman" w:eastAsia="Calibri" w:hAnsi="Times New Roman" w:cs="Times New Roman"/>
          <w:i/>
        </w:rPr>
      </w:pPr>
    </w:p>
    <w:p w14:paraId="66811E34" w14:textId="75708E7C" w:rsidR="00054C41" w:rsidRPr="005B0FB5" w:rsidRDefault="005B0FB5" w:rsidP="00B1286C">
      <w:pPr>
        <w:jc w:val="both"/>
        <w:rPr>
          <w:rFonts w:ascii="Times New Roman" w:eastAsia="Calibri" w:hAnsi="Times New Roman" w:cs="Times New Roman"/>
          <w:sz w:val="24"/>
          <w:szCs w:val="24"/>
        </w:rPr>
        <w:sectPr w:rsidR="00054C41" w:rsidRPr="005B0FB5" w:rsidSect="00142154">
          <w:footerReference w:type="default" r:id="rId9"/>
          <w:pgSz w:w="11906" w:h="16838"/>
          <w:pgMar w:top="993" w:right="1417" w:bottom="1417" w:left="1417" w:header="708" w:footer="708" w:gutter="0"/>
          <w:pgNumType w:start="1"/>
          <w:cols w:space="708"/>
          <w:docGrid w:linePitch="360"/>
        </w:sectPr>
      </w:pPr>
      <w:r w:rsidRPr="005B0FB5">
        <w:rPr>
          <w:rFonts w:ascii="Times New Roman" w:eastAsia="Calibri" w:hAnsi="Times New Roman" w:cs="Times New Roman"/>
          <w:sz w:val="24"/>
          <w:szCs w:val="24"/>
        </w:rPr>
        <w:t xml:space="preserve">Návrh zákona </w:t>
      </w:r>
      <w:r w:rsidR="00B1286C">
        <w:rPr>
          <w:rFonts w:ascii="Times New Roman" w:eastAsia="Calibri" w:hAnsi="Times New Roman" w:cs="Times New Roman"/>
          <w:sz w:val="24"/>
          <w:szCs w:val="24"/>
        </w:rPr>
        <w:t xml:space="preserve">môže zakladať dodatočné náklady spojené s cestovaním do vzdialenejšieho sídla súdu v dôsledku </w:t>
      </w:r>
      <w:r w:rsidR="00D16DC5">
        <w:rPr>
          <w:rFonts w:ascii="Times New Roman" w:eastAsia="Calibri" w:hAnsi="Times New Roman" w:cs="Times New Roman"/>
          <w:sz w:val="24"/>
          <w:szCs w:val="24"/>
        </w:rPr>
        <w:t xml:space="preserve">presunu agendy správneho súdnictva z </w:t>
      </w:r>
      <w:r w:rsidR="000D5F30">
        <w:rPr>
          <w:rFonts w:ascii="Times New Roman" w:eastAsia="Calibri" w:hAnsi="Times New Roman" w:cs="Times New Roman"/>
          <w:sz w:val="24"/>
          <w:szCs w:val="24"/>
        </w:rPr>
        <w:t>krajských</w:t>
      </w:r>
      <w:r w:rsidR="00B1286C">
        <w:rPr>
          <w:rFonts w:ascii="Times New Roman" w:eastAsia="Calibri" w:hAnsi="Times New Roman" w:cs="Times New Roman"/>
          <w:sz w:val="24"/>
          <w:szCs w:val="24"/>
        </w:rPr>
        <w:t xml:space="preserve"> súdov</w:t>
      </w:r>
      <w:r w:rsidR="00D16DC5">
        <w:rPr>
          <w:rFonts w:ascii="Times New Roman" w:eastAsia="Calibri" w:hAnsi="Times New Roman" w:cs="Times New Roman"/>
          <w:sz w:val="24"/>
          <w:szCs w:val="24"/>
        </w:rPr>
        <w:t xml:space="preserve"> na nové správne súdy</w:t>
      </w:r>
      <w:r w:rsidRPr="005B0FB5">
        <w:rPr>
          <w:rFonts w:ascii="Times New Roman" w:eastAsia="Calibri" w:hAnsi="Times New Roman" w:cs="Times New Roman"/>
          <w:sz w:val="24"/>
          <w:szCs w:val="24"/>
        </w:rPr>
        <w:t xml:space="preserve">. </w:t>
      </w:r>
      <w:r w:rsidR="00FC5897">
        <w:rPr>
          <w:rFonts w:ascii="Times New Roman" w:eastAsia="Calibri" w:hAnsi="Times New Roman" w:cs="Times New Roman"/>
          <w:sz w:val="24"/>
          <w:szCs w:val="24"/>
        </w:rPr>
        <w:t>Tieto náklady však nie je možné kvantifikovať ani na základe použitia na to určenej kalkulačky.</w:t>
      </w:r>
      <w:r w:rsidR="00BC1D81">
        <w:rPr>
          <w:rFonts w:ascii="Times New Roman" w:eastAsia="Calibri" w:hAnsi="Times New Roman" w:cs="Times New Roman"/>
          <w:sz w:val="24"/>
          <w:szCs w:val="24"/>
        </w:rPr>
        <w:t xml:space="preserve"> S ohľadom na možnosti on-line pojednávania v agende správneho súdnictva však možno konštatovať, že sa minimalizuje nutnosť akéhokoľvek cestovania podnikateľa ako účastníka konania na pojednávanie nariadené vo vzdialenejšom meste.</w:t>
      </w:r>
    </w:p>
    <w:p w14:paraId="0270A51C" w14:textId="77777777" w:rsidR="00054C41" w:rsidRPr="001F1B43" w:rsidRDefault="00054C41" w:rsidP="00054C41">
      <w:pPr>
        <w:rPr>
          <w:rFonts w:ascii="Times New Roman" w:eastAsia="Calibri" w:hAnsi="Times New Roman" w:cs="Times New Roman"/>
          <w:b/>
          <w:i/>
          <w:iCs/>
          <w:sz w:val="24"/>
          <w:szCs w:val="24"/>
        </w:rPr>
      </w:pPr>
      <w:r w:rsidRPr="001F1B43">
        <w:rPr>
          <w:rFonts w:ascii="Times New Roman" w:eastAsia="Calibri" w:hAnsi="Times New Roman" w:cs="Times New Roman"/>
          <w:b/>
          <w:i/>
          <w:iCs/>
          <w:sz w:val="24"/>
          <w:szCs w:val="24"/>
        </w:rPr>
        <w:lastRenderedPageBreak/>
        <w:t>3.1.2 Výpočty vplyvov jednotlivých regulácií na zmeny v nákladoch podnikateľov</w:t>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p>
    <w:p w14:paraId="367ACC15" w14:textId="77777777" w:rsidR="00054C41" w:rsidRPr="00D8247C"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Tabuľka č. 2: Výpočet vplyvov jednotlivých regulácií (nahraďte rovnakou tabuľkou po vyplnení Kalkulačky nákladov):</w:t>
      </w:r>
    </w:p>
    <w:tbl>
      <w:tblPr>
        <w:tblW w:w="14861" w:type="dxa"/>
        <w:tblInd w:w="-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1"/>
        <w:gridCol w:w="3557"/>
        <w:gridCol w:w="1044"/>
        <w:gridCol w:w="1129"/>
        <w:gridCol w:w="1303"/>
        <w:gridCol w:w="934"/>
        <w:gridCol w:w="1337"/>
        <w:gridCol w:w="974"/>
        <w:gridCol w:w="974"/>
        <w:gridCol w:w="982"/>
        <w:gridCol w:w="992"/>
        <w:gridCol w:w="1134"/>
      </w:tblGrid>
      <w:tr w:rsidR="00054C41" w:rsidRPr="00895898" w14:paraId="10CEFB11" w14:textId="77777777" w:rsidTr="00142154">
        <w:trPr>
          <w:trHeight w:val="1885"/>
        </w:trPr>
        <w:tc>
          <w:tcPr>
            <w:tcW w:w="501" w:type="dxa"/>
            <w:shd w:val="clear" w:color="auto" w:fill="BFBFBF"/>
            <w:vAlign w:val="center"/>
          </w:tcPr>
          <w:p w14:paraId="1FF42237"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proofErr w:type="spellStart"/>
            <w:r w:rsidRPr="00895898">
              <w:rPr>
                <w:rFonts w:ascii="Times New Roman" w:eastAsia="Times New Roman" w:hAnsi="Times New Roman" w:cs="Times New Roman"/>
                <w:b/>
                <w:bCs/>
                <w:color w:val="000000"/>
                <w:sz w:val="20"/>
                <w:szCs w:val="20"/>
                <w:lang w:eastAsia="sk-SK"/>
              </w:rPr>
              <w:t>P.č</w:t>
            </w:r>
            <w:proofErr w:type="spellEnd"/>
            <w:r w:rsidRPr="00895898">
              <w:rPr>
                <w:rFonts w:ascii="Times New Roman" w:eastAsia="Times New Roman" w:hAnsi="Times New Roman" w:cs="Times New Roman"/>
                <w:b/>
                <w:bCs/>
                <w:color w:val="000000"/>
                <w:sz w:val="20"/>
                <w:szCs w:val="20"/>
                <w:lang w:eastAsia="sk-SK"/>
              </w:rPr>
              <w:t>.</w:t>
            </w:r>
          </w:p>
        </w:tc>
        <w:tc>
          <w:tcPr>
            <w:tcW w:w="3557" w:type="dxa"/>
            <w:shd w:val="clear" w:color="auto" w:fill="BFBFBF"/>
            <w:vAlign w:val="center"/>
            <w:hideMark/>
          </w:tcPr>
          <w:p w14:paraId="73D167A0"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Zrozumiteľný a stručný opis regulácie vyjadrujúci dôvod zvýšenia/zníženia nákladov na PP</w:t>
            </w:r>
          </w:p>
        </w:tc>
        <w:tc>
          <w:tcPr>
            <w:tcW w:w="1044" w:type="dxa"/>
            <w:shd w:val="clear" w:color="auto" w:fill="BFBFBF"/>
          </w:tcPr>
          <w:p w14:paraId="4381688D"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p>
          <w:p w14:paraId="5694B3C6"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Číslo normy</w:t>
            </w:r>
          </w:p>
          <w:p w14:paraId="21C1A8DE" w14:textId="77777777" w:rsidR="00054C41" w:rsidRPr="00895898" w:rsidRDefault="00054C41" w:rsidP="00142154">
            <w:pPr>
              <w:spacing w:after="0" w:line="240" w:lineRule="auto"/>
              <w:jc w:val="center"/>
              <w:rPr>
                <w:rFonts w:ascii="Times New Roman" w:eastAsia="Times New Roman" w:hAnsi="Times New Roman" w:cs="Times New Roman"/>
                <w:bCs/>
                <w:color w:val="000000"/>
                <w:sz w:val="20"/>
                <w:szCs w:val="20"/>
                <w:lang w:eastAsia="sk-SK"/>
              </w:rPr>
            </w:pPr>
            <w:r w:rsidRPr="00895898">
              <w:rPr>
                <w:rFonts w:ascii="Times New Roman" w:eastAsia="Times New Roman" w:hAnsi="Times New Roman" w:cs="Times New Roman"/>
                <w:bCs/>
                <w:color w:val="000000"/>
                <w:sz w:val="20"/>
                <w:szCs w:val="20"/>
                <w:lang w:eastAsia="sk-SK"/>
              </w:rPr>
              <w:t>(zákona, vyhlášky a pod.)</w:t>
            </w:r>
          </w:p>
        </w:tc>
        <w:tc>
          <w:tcPr>
            <w:tcW w:w="1129" w:type="dxa"/>
            <w:shd w:val="clear" w:color="auto" w:fill="BFBFBF"/>
            <w:vAlign w:val="center"/>
            <w:hideMark/>
          </w:tcPr>
          <w:p w14:paraId="1D7822BE"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 xml:space="preserve">Lokalizácia </w:t>
            </w:r>
            <w:r w:rsidRPr="00895898">
              <w:rPr>
                <w:rFonts w:ascii="Times New Roman" w:eastAsia="Times New Roman" w:hAnsi="Times New Roman" w:cs="Times New Roman"/>
                <w:bCs/>
                <w:color w:val="000000"/>
                <w:sz w:val="20"/>
                <w:szCs w:val="20"/>
                <w:lang w:eastAsia="sk-SK"/>
              </w:rPr>
              <w:t>(§, ods.)</w:t>
            </w:r>
          </w:p>
        </w:tc>
        <w:tc>
          <w:tcPr>
            <w:tcW w:w="1303" w:type="dxa"/>
            <w:shd w:val="clear" w:color="auto" w:fill="BFBFBF"/>
            <w:vAlign w:val="center"/>
          </w:tcPr>
          <w:p w14:paraId="24D9A18D"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Pôvod regulácie:</w:t>
            </w:r>
          </w:p>
          <w:p w14:paraId="4C175F7C" w14:textId="77777777" w:rsidR="00054C41" w:rsidRPr="00895898" w:rsidRDefault="00054C41" w:rsidP="00142154">
            <w:pPr>
              <w:spacing w:after="0" w:line="240" w:lineRule="auto"/>
              <w:jc w:val="center"/>
              <w:rPr>
                <w:rFonts w:ascii="Times New Roman" w:eastAsia="Times New Roman" w:hAnsi="Times New Roman" w:cs="Times New Roman"/>
                <w:color w:val="000000"/>
                <w:sz w:val="20"/>
                <w:szCs w:val="20"/>
                <w:lang w:eastAsia="sk-SK"/>
              </w:rPr>
            </w:pPr>
            <w:r w:rsidRPr="00895898">
              <w:rPr>
                <w:rFonts w:ascii="Times New Roman" w:eastAsia="Times New Roman" w:hAnsi="Times New Roman" w:cs="Times New Roman"/>
                <w:color w:val="000000"/>
                <w:sz w:val="20"/>
                <w:szCs w:val="20"/>
                <w:lang w:eastAsia="sk-SK"/>
              </w:rPr>
              <w:t xml:space="preserve">SK/EÚ úplná </w:t>
            </w:r>
            <w:proofErr w:type="spellStart"/>
            <w:r w:rsidRPr="00895898">
              <w:rPr>
                <w:rFonts w:ascii="Times New Roman" w:eastAsia="Times New Roman" w:hAnsi="Times New Roman" w:cs="Times New Roman"/>
                <w:color w:val="000000"/>
                <w:sz w:val="20"/>
                <w:szCs w:val="20"/>
                <w:lang w:eastAsia="sk-SK"/>
              </w:rPr>
              <w:t>harm</w:t>
            </w:r>
            <w:proofErr w:type="spellEnd"/>
            <w:r w:rsidRPr="00895898">
              <w:rPr>
                <w:rFonts w:ascii="Times New Roman" w:eastAsia="Times New Roman" w:hAnsi="Times New Roman" w:cs="Times New Roman"/>
                <w:color w:val="000000"/>
                <w:sz w:val="20"/>
                <w:szCs w:val="20"/>
                <w:lang w:eastAsia="sk-SK"/>
              </w:rPr>
              <w:t xml:space="preserve">./EÚ </w:t>
            </w:r>
            <w:proofErr w:type="spellStart"/>
            <w:r w:rsidRPr="00895898">
              <w:rPr>
                <w:rFonts w:ascii="Times New Roman" w:eastAsia="Times New Roman" w:hAnsi="Times New Roman" w:cs="Times New Roman"/>
                <w:color w:val="000000"/>
                <w:sz w:val="20"/>
                <w:szCs w:val="20"/>
                <w:lang w:eastAsia="sk-SK"/>
              </w:rPr>
              <w:t>harm</w:t>
            </w:r>
            <w:proofErr w:type="spellEnd"/>
            <w:r w:rsidRPr="00895898">
              <w:rPr>
                <w:rFonts w:ascii="Times New Roman" w:eastAsia="Times New Roman" w:hAnsi="Times New Roman" w:cs="Times New Roman"/>
                <w:color w:val="000000"/>
                <w:sz w:val="20"/>
                <w:szCs w:val="20"/>
                <w:lang w:eastAsia="sk-SK"/>
              </w:rPr>
              <w:t>. s možnosťou voľby</w:t>
            </w:r>
          </w:p>
        </w:tc>
        <w:tc>
          <w:tcPr>
            <w:tcW w:w="934" w:type="dxa"/>
            <w:shd w:val="clear" w:color="auto" w:fill="BFBFBF"/>
            <w:vAlign w:val="center"/>
            <w:hideMark/>
          </w:tcPr>
          <w:p w14:paraId="37B6F9E7"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Účinnosť</w:t>
            </w:r>
          </w:p>
          <w:p w14:paraId="019DF54E"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regulácie</w:t>
            </w:r>
          </w:p>
          <w:p w14:paraId="23D85168" w14:textId="77777777" w:rsidR="00054C41" w:rsidRPr="00895898" w:rsidRDefault="00054C41" w:rsidP="00142154">
            <w:pPr>
              <w:spacing w:after="0" w:line="240" w:lineRule="auto"/>
              <w:jc w:val="center"/>
              <w:rPr>
                <w:rFonts w:ascii="Times New Roman" w:eastAsia="Times New Roman" w:hAnsi="Times New Roman" w:cs="Times New Roman"/>
                <w:bCs/>
                <w:color w:val="000000"/>
                <w:sz w:val="20"/>
                <w:szCs w:val="20"/>
                <w:lang w:eastAsia="sk-SK"/>
              </w:rPr>
            </w:pPr>
          </w:p>
        </w:tc>
        <w:tc>
          <w:tcPr>
            <w:tcW w:w="1337" w:type="dxa"/>
            <w:shd w:val="clear" w:color="auto" w:fill="BFBFBF"/>
            <w:vAlign w:val="center"/>
          </w:tcPr>
          <w:p w14:paraId="3CB7D2BB"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 xml:space="preserve">Kategória </w:t>
            </w:r>
            <w:proofErr w:type="spellStart"/>
            <w:r w:rsidRPr="00895898">
              <w:rPr>
                <w:rFonts w:ascii="Times New Roman" w:eastAsia="Times New Roman" w:hAnsi="Times New Roman" w:cs="Times New Roman"/>
                <w:b/>
                <w:bCs/>
                <w:color w:val="000000"/>
                <w:sz w:val="20"/>
                <w:szCs w:val="20"/>
                <w:lang w:eastAsia="sk-SK"/>
              </w:rPr>
              <w:t>dotk</w:t>
            </w:r>
            <w:proofErr w:type="spellEnd"/>
            <w:r w:rsidRPr="00895898">
              <w:rPr>
                <w:rFonts w:ascii="Times New Roman" w:eastAsia="Times New Roman" w:hAnsi="Times New Roman" w:cs="Times New Roman"/>
                <w:b/>
                <w:bCs/>
                <w:color w:val="000000"/>
                <w:sz w:val="20"/>
                <w:szCs w:val="20"/>
                <w:lang w:eastAsia="sk-SK"/>
              </w:rPr>
              <w:t>. subjektov</w:t>
            </w:r>
          </w:p>
        </w:tc>
        <w:tc>
          <w:tcPr>
            <w:tcW w:w="974" w:type="dxa"/>
            <w:shd w:val="clear" w:color="auto" w:fill="BFBFBF"/>
            <w:vAlign w:val="center"/>
          </w:tcPr>
          <w:p w14:paraId="731C2E01"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Počet  subjektov v </w:t>
            </w:r>
            <w:proofErr w:type="spellStart"/>
            <w:r w:rsidRPr="00895898">
              <w:rPr>
                <w:rFonts w:ascii="Times New Roman" w:eastAsia="Times New Roman" w:hAnsi="Times New Roman" w:cs="Times New Roman"/>
                <w:b/>
                <w:bCs/>
                <w:color w:val="000000"/>
                <w:sz w:val="20"/>
                <w:szCs w:val="20"/>
                <w:lang w:eastAsia="sk-SK"/>
              </w:rPr>
              <w:t>dotk</w:t>
            </w:r>
            <w:proofErr w:type="spellEnd"/>
            <w:r w:rsidRPr="00895898">
              <w:rPr>
                <w:rFonts w:ascii="Times New Roman" w:eastAsia="Times New Roman" w:hAnsi="Times New Roman" w:cs="Times New Roman"/>
                <w:b/>
                <w:bCs/>
                <w:color w:val="000000"/>
                <w:sz w:val="20"/>
                <w:szCs w:val="20"/>
                <w:lang w:eastAsia="sk-SK"/>
              </w:rPr>
              <w:t xml:space="preserve">. kategórii </w:t>
            </w:r>
          </w:p>
        </w:tc>
        <w:tc>
          <w:tcPr>
            <w:tcW w:w="974" w:type="dxa"/>
            <w:shd w:val="clear" w:color="auto" w:fill="BFBFBF"/>
            <w:vAlign w:val="center"/>
            <w:hideMark/>
          </w:tcPr>
          <w:p w14:paraId="1B1DCB42"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Počet subjektov MSP v </w:t>
            </w:r>
            <w:proofErr w:type="spellStart"/>
            <w:r w:rsidRPr="00895898">
              <w:rPr>
                <w:rFonts w:ascii="Times New Roman" w:eastAsia="Times New Roman" w:hAnsi="Times New Roman" w:cs="Times New Roman"/>
                <w:b/>
                <w:bCs/>
                <w:color w:val="000000"/>
                <w:sz w:val="20"/>
                <w:szCs w:val="20"/>
                <w:lang w:eastAsia="sk-SK"/>
              </w:rPr>
              <w:t>dotk</w:t>
            </w:r>
            <w:proofErr w:type="spellEnd"/>
            <w:r w:rsidRPr="00895898">
              <w:rPr>
                <w:rFonts w:ascii="Times New Roman" w:eastAsia="Times New Roman" w:hAnsi="Times New Roman" w:cs="Times New Roman"/>
                <w:b/>
                <w:bCs/>
                <w:color w:val="000000"/>
                <w:sz w:val="20"/>
                <w:szCs w:val="20"/>
                <w:lang w:eastAsia="sk-SK"/>
              </w:rPr>
              <w:t xml:space="preserve">. kategórii </w:t>
            </w:r>
          </w:p>
        </w:tc>
        <w:tc>
          <w:tcPr>
            <w:tcW w:w="982" w:type="dxa"/>
            <w:shd w:val="clear" w:color="auto" w:fill="BFBFBF"/>
            <w:vAlign w:val="center"/>
            <w:hideMark/>
          </w:tcPr>
          <w:p w14:paraId="610B7638"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Vplyv na 1 podnik. v €</w:t>
            </w:r>
          </w:p>
        </w:tc>
        <w:tc>
          <w:tcPr>
            <w:tcW w:w="992" w:type="dxa"/>
            <w:shd w:val="clear" w:color="auto" w:fill="BFBFBF"/>
            <w:vAlign w:val="center"/>
            <w:hideMark/>
          </w:tcPr>
          <w:p w14:paraId="0FC33AFB"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 xml:space="preserve">Vplyv na kategóriu </w:t>
            </w:r>
            <w:proofErr w:type="spellStart"/>
            <w:r w:rsidRPr="00895898">
              <w:rPr>
                <w:rFonts w:ascii="Times New Roman" w:eastAsia="Times New Roman" w:hAnsi="Times New Roman" w:cs="Times New Roman"/>
                <w:b/>
                <w:bCs/>
                <w:color w:val="000000"/>
                <w:sz w:val="20"/>
                <w:szCs w:val="20"/>
                <w:lang w:eastAsia="sk-SK"/>
              </w:rPr>
              <w:t>dotk</w:t>
            </w:r>
            <w:proofErr w:type="spellEnd"/>
            <w:r w:rsidRPr="00895898">
              <w:rPr>
                <w:rFonts w:ascii="Times New Roman" w:eastAsia="Times New Roman" w:hAnsi="Times New Roman" w:cs="Times New Roman"/>
                <w:b/>
                <w:bCs/>
                <w:color w:val="000000"/>
                <w:sz w:val="20"/>
                <w:szCs w:val="20"/>
                <w:lang w:eastAsia="sk-SK"/>
              </w:rPr>
              <w:t>. subjektov v €</w:t>
            </w:r>
          </w:p>
        </w:tc>
        <w:tc>
          <w:tcPr>
            <w:tcW w:w="1134" w:type="dxa"/>
            <w:shd w:val="clear" w:color="auto" w:fill="BFBFBF"/>
            <w:vAlign w:val="center"/>
          </w:tcPr>
          <w:p w14:paraId="4FBA7398"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Druh vplyvu</w:t>
            </w:r>
          </w:p>
          <w:p w14:paraId="3EF161D7" w14:textId="77777777" w:rsidR="00054C41" w:rsidRPr="00895898" w:rsidRDefault="00054C41" w:rsidP="00142154">
            <w:pPr>
              <w:spacing w:after="0" w:line="240" w:lineRule="auto"/>
              <w:jc w:val="center"/>
              <w:rPr>
                <w:rFonts w:ascii="Times New Roman" w:eastAsia="Times New Roman" w:hAnsi="Times New Roman" w:cs="Times New Roman"/>
                <w:bCs/>
                <w:color w:val="000000"/>
                <w:sz w:val="20"/>
                <w:szCs w:val="20"/>
                <w:lang w:eastAsia="sk-SK"/>
              </w:rPr>
            </w:pPr>
            <w:r w:rsidRPr="00895898">
              <w:rPr>
                <w:rFonts w:ascii="Times New Roman" w:eastAsia="Times New Roman" w:hAnsi="Times New Roman" w:cs="Times New Roman"/>
                <w:bCs/>
                <w:color w:val="000000"/>
                <w:sz w:val="20"/>
                <w:szCs w:val="20"/>
                <w:lang w:eastAsia="sk-SK"/>
              </w:rPr>
              <w:t xml:space="preserve">In (zvyšuje náklady) / </w:t>
            </w:r>
          </w:p>
          <w:p w14:paraId="4D4343DB"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proofErr w:type="spellStart"/>
            <w:r w:rsidRPr="00895898">
              <w:rPr>
                <w:rFonts w:ascii="Times New Roman" w:eastAsia="Times New Roman" w:hAnsi="Times New Roman" w:cs="Times New Roman"/>
                <w:bCs/>
                <w:color w:val="000000"/>
                <w:sz w:val="20"/>
                <w:szCs w:val="20"/>
                <w:lang w:eastAsia="sk-SK"/>
              </w:rPr>
              <w:t>Out</w:t>
            </w:r>
            <w:proofErr w:type="spellEnd"/>
            <w:r w:rsidRPr="00895898">
              <w:rPr>
                <w:rFonts w:ascii="Times New Roman" w:eastAsia="Times New Roman" w:hAnsi="Times New Roman" w:cs="Times New Roman"/>
                <w:bCs/>
                <w:color w:val="000000"/>
                <w:sz w:val="20"/>
                <w:szCs w:val="20"/>
                <w:lang w:eastAsia="sk-SK"/>
              </w:rPr>
              <w:t xml:space="preserve"> (znižuje náklady</w:t>
            </w:r>
            <w:r w:rsidRPr="00895898">
              <w:rPr>
                <w:rFonts w:ascii="Times New Roman" w:eastAsia="Times New Roman" w:hAnsi="Times New Roman" w:cs="Times New Roman"/>
                <w:b/>
                <w:bCs/>
                <w:color w:val="000000"/>
                <w:sz w:val="20"/>
                <w:szCs w:val="20"/>
                <w:lang w:eastAsia="sk-SK"/>
              </w:rPr>
              <w:t>)</w:t>
            </w:r>
          </w:p>
          <w:p w14:paraId="288EFEBA"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p>
        </w:tc>
      </w:tr>
      <w:tr w:rsidR="00054C41" w:rsidRPr="00895898" w14:paraId="11758B9A" w14:textId="77777777" w:rsidTr="00142154">
        <w:trPr>
          <w:trHeight w:val="612"/>
        </w:trPr>
        <w:tc>
          <w:tcPr>
            <w:tcW w:w="501" w:type="dxa"/>
            <w:vAlign w:val="center"/>
          </w:tcPr>
          <w:p w14:paraId="6F827851"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3557" w:type="dxa"/>
            <w:shd w:val="clear" w:color="auto" w:fill="auto"/>
            <w:vAlign w:val="center"/>
          </w:tcPr>
          <w:p w14:paraId="7B4E9DA7"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044" w:type="dxa"/>
          </w:tcPr>
          <w:p w14:paraId="120314F8"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129" w:type="dxa"/>
            <w:shd w:val="clear" w:color="auto" w:fill="auto"/>
            <w:vAlign w:val="center"/>
          </w:tcPr>
          <w:p w14:paraId="1B4826F8"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303" w:type="dxa"/>
            <w:vAlign w:val="center"/>
          </w:tcPr>
          <w:p w14:paraId="3A0BA666"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34" w:type="dxa"/>
            <w:shd w:val="clear" w:color="auto" w:fill="auto"/>
            <w:noWrap/>
            <w:vAlign w:val="center"/>
          </w:tcPr>
          <w:p w14:paraId="6BFB7AA2"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337" w:type="dxa"/>
            <w:vAlign w:val="center"/>
          </w:tcPr>
          <w:p w14:paraId="299C820D"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74360775"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57C9126E"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82" w:type="dxa"/>
            <w:shd w:val="clear" w:color="auto" w:fill="auto"/>
            <w:noWrap/>
            <w:vAlign w:val="center"/>
          </w:tcPr>
          <w:p w14:paraId="57D4FAC6"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92" w:type="dxa"/>
            <w:shd w:val="clear" w:color="auto" w:fill="auto"/>
            <w:noWrap/>
            <w:vAlign w:val="center"/>
          </w:tcPr>
          <w:p w14:paraId="20A55E97"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032A8679"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r>
      <w:tr w:rsidR="00054C41" w:rsidRPr="00895898" w14:paraId="3E85FB6C" w14:textId="77777777" w:rsidTr="00142154">
        <w:trPr>
          <w:trHeight w:val="600"/>
        </w:trPr>
        <w:tc>
          <w:tcPr>
            <w:tcW w:w="501" w:type="dxa"/>
            <w:vAlign w:val="center"/>
          </w:tcPr>
          <w:p w14:paraId="65795CE6"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3557" w:type="dxa"/>
            <w:shd w:val="clear" w:color="auto" w:fill="auto"/>
            <w:vAlign w:val="center"/>
          </w:tcPr>
          <w:p w14:paraId="7BEDDF1C"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044" w:type="dxa"/>
          </w:tcPr>
          <w:p w14:paraId="6F95232A"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129" w:type="dxa"/>
            <w:shd w:val="clear" w:color="auto" w:fill="auto"/>
            <w:vAlign w:val="center"/>
          </w:tcPr>
          <w:p w14:paraId="4772F4F9"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303" w:type="dxa"/>
            <w:vAlign w:val="center"/>
          </w:tcPr>
          <w:p w14:paraId="202CD1E5"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34" w:type="dxa"/>
            <w:shd w:val="clear" w:color="auto" w:fill="auto"/>
            <w:noWrap/>
            <w:vAlign w:val="center"/>
          </w:tcPr>
          <w:p w14:paraId="727D0512"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337" w:type="dxa"/>
            <w:vAlign w:val="center"/>
          </w:tcPr>
          <w:p w14:paraId="41387D4C"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2F2BACE5"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39949054"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82" w:type="dxa"/>
            <w:shd w:val="clear" w:color="auto" w:fill="auto"/>
            <w:noWrap/>
            <w:vAlign w:val="center"/>
          </w:tcPr>
          <w:p w14:paraId="1371B6C4"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92" w:type="dxa"/>
            <w:shd w:val="clear" w:color="auto" w:fill="auto"/>
            <w:noWrap/>
            <w:vAlign w:val="center"/>
          </w:tcPr>
          <w:p w14:paraId="0C7D454A"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3CD7D152"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r>
      <w:tr w:rsidR="00054C41" w:rsidRPr="00895898" w14:paraId="0922CA33" w14:textId="77777777" w:rsidTr="00142154">
        <w:trPr>
          <w:trHeight w:val="600"/>
        </w:trPr>
        <w:tc>
          <w:tcPr>
            <w:tcW w:w="501" w:type="dxa"/>
            <w:vAlign w:val="center"/>
          </w:tcPr>
          <w:p w14:paraId="350B46C3"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3557" w:type="dxa"/>
            <w:shd w:val="clear" w:color="auto" w:fill="auto"/>
            <w:vAlign w:val="center"/>
          </w:tcPr>
          <w:p w14:paraId="0CA6693B"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044" w:type="dxa"/>
          </w:tcPr>
          <w:p w14:paraId="671FAD5C"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129" w:type="dxa"/>
            <w:shd w:val="clear" w:color="auto" w:fill="auto"/>
            <w:vAlign w:val="center"/>
          </w:tcPr>
          <w:p w14:paraId="454A93B7"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303" w:type="dxa"/>
            <w:vAlign w:val="center"/>
          </w:tcPr>
          <w:p w14:paraId="59119F88"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34" w:type="dxa"/>
            <w:shd w:val="clear" w:color="auto" w:fill="auto"/>
            <w:noWrap/>
            <w:vAlign w:val="center"/>
          </w:tcPr>
          <w:p w14:paraId="14220C43"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337" w:type="dxa"/>
            <w:vAlign w:val="center"/>
          </w:tcPr>
          <w:p w14:paraId="793D105F"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36AA08E5"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342400C0"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82" w:type="dxa"/>
            <w:shd w:val="clear" w:color="auto" w:fill="auto"/>
            <w:noWrap/>
            <w:vAlign w:val="center"/>
          </w:tcPr>
          <w:p w14:paraId="643D8B22"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92" w:type="dxa"/>
            <w:shd w:val="clear" w:color="auto" w:fill="auto"/>
            <w:noWrap/>
            <w:vAlign w:val="center"/>
          </w:tcPr>
          <w:p w14:paraId="280F78D6"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749B6947"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r>
      <w:tr w:rsidR="00054C41" w:rsidRPr="00895898" w14:paraId="14F4C8F0" w14:textId="77777777" w:rsidTr="00142154">
        <w:trPr>
          <w:trHeight w:val="600"/>
        </w:trPr>
        <w:tc>
          <w:tcPr>
            <w:tcW w:w="501" w:type="dxa"/>
            <w:vAlign w:val="center"/>
          </w:tcPr>
          <w:p w14:paraId="16B3AE51"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3557" w:type="dxa"/>
            <w:shd w:val="clear" w:color="auto" w:fill="auto"/>
            <w:vAlign w:val="center"/>
          </w:tcPr>
          <w:p w14:paraId="06331E37"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044" w:type="dxa"/>
          </w:tcPr>
          <w:p w14:paraId="721ACDB6"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129" w:type="dxa"/>
            <w:shd w:val="clear" w:color="auto" w:fill="auto"/>
            <w:vAlign w:val="center"/>
          </w:tcPr>
          <w:p w14:paraId="0952C5FE"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303" w:type="dxa"/>
            <w:vAlign w:val="center"/>
          </w:tcPr>
          <w:p w14:paraId="478252F3"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34" w:type="dxa"/>
            <w:shd w:val="clear" w:color="auto" w:fill="auto"/>
            <w:noWrap/>
            <w:vAlign w:val="center"/>
          </w:tcPr>
          <w:p w14:paraId="6DB51E86"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337" w:type="dxa"/>
            <w:vAlign w:val="center"/>
          </w:tcPr>
          <w:p w14:paraId="5860EA3F"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19075E90"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4AC36E76"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82" w:type="dxa"/>
            <w:shd w:val="clear" w:color="auto" w:fill="auto"/>
            <w:noWrap/>
            <w:vAlign w:val="center"/>
          </w:tcPr>
          <w:p w14:paraId="46718EE4"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92" w:type="dxa"/>
            <w:shd w:val="clear" w:color="auto" w:fill="auto"/>
            <w:noWrap/>
            <w:vAlign w:val="center"/>
          </w:tcPr>
          <w:p w14:paraId="0D839B7F"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0CF10260"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r>
      <w:tr w:rsidR="00054C41" w:rsidRPr="00895898" w14:paraId="16C58F86" w14:textId="77777777" w:rsidTr="00142154">
        <w:trPr>
          <w:trHeight w:val="600"/>
        </w:trPr>
        <w:tc>
          <w:tcPr>
            <w:tcW w:w="501" w:type="dxa"/>
            <w:vAlign w:val="center"/>
          </w:tcPr>
          <w:p w14:paraId="0DCD4B2C"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3557" w:type="dxa"/>
            <w:shd w:val="clear" w:color="auto" w:fill="auto"/>
            <w:vAlign w:val="center"/>
          </w:tcPr>
          <w:p w14:paraId="17C9A25D"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044" w:type="dxa"/>
          </w:tcPr>
          <w:p w14:paraId="2D669949"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129" w:type="dxa"/>
            <w:shd w:val="clear" w:color="auto" w:fill="auto"/>
            <w:vAlign w:val="center"/>
          </w:tcPr>
          <w:p w14:paraId="541354A5"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303" w:type="dxa"/>
            <w:vAlign w:val="center"/>
          </w:tcPr>
          <w:p w14:paraId="04A31097"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34" w:type="dxa"/>
            <w:shd w:val="clear" w:color="auto" w:fill="auto"/>
            <w:noWrap/>
            <w:vAlign w:val="center"/>
          </w:tcPr>
          <w:p w14:paraId="7EC031BD"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337" w:type="dxa"/>
            <w:vAlign w:val="center"/>
          </w:tcPr>
          <w:p w14:paraId="2E412B67"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152ADF1E"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28BE4D6E"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82" w:type="dxa"/>
            <w:shd w:val="clear" w:color="auto" w:fill="auto"/>
            <w:noWrap/>
            <w:vAlign w:val="center"/>
          </w:tcPr>
          <w:p w14:paraId="27AD2C09"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92" w:type="dxa"/>
            <w:shd w:val="clear" w:color="auto" w:fill="auto"/>
            <w:noWrap/>
            <w:vAlign w:val="center"/>
          </w:tcPr>
          <w:p w14:paraId="397F1C27"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5C67D790"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r>
      <w:tr w:rsidR="00054C41" w:rsidRPr="00895898" w14:paraId="3386FCD5" w14:textId="77777777" w:rsidTr="00142154">
        <w:trPr>
          <w:trHeight w:val="655"/>
        </w:trPr>
        <w:tc>
          <w:tcPr>
            <w:tcW w:w="501" w:type="dxa"/>
            <w:vAlign w:val="center"/>
          </w:tcPr>
          <w:p w14:paraId="341FC3D9"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3557" w:type="dxa"/>
            <w:shd w:val="clear" w:color="auto" w:fill="auto"/>
            <w:vAlign w:val="center"/>
          </w:tcPr>
          <w:p w14:paraId="41A93034"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044" w:type="dxa"/>
          </w:tcPr>
          <w:p w14:paraId="12AB029A"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129" w:type="dxa"/>
            <w:shd w:val="clear" w:color="auto" w:fill="auto"/>
            <w:vAlign w:val="center"/>
          </w:tcPr>
          <w:p w14:paraId="458F7AE7"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303" w:type="dxa"/>
            <w:vAlign w:val="center"/>
          </w:tcPr>
          <w:p w14:paraId="2C6AC929"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34" w:type="dxa"/>
            <w:shd w:val="clear" w:color="auto" w:fill="auto"/>
            <w:noWrap/>
            <w:vAlign w:val="center"/>
          </w:tcPr>
          <w:p w14:paraId="17B3EA30"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337" w:type="dxa"/>
            <w:vAlign w:val="center"/>
          </w:tcPr>
          <w:p w14:paraId="6C2BE111"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6A663AC4"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6EE95920"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82" w:type="dxa"/>
            <w:shd w:val="clear" w:color="auto" w:fill="auto"/>
            <w:noWrap/>
            <w:vAlign w:val="center"/>
          </w:tcPr>
          <w:p w14:paraId="090D1E5C"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92" w:type="dxa"/>
            <w:shd w:val="clear" w:color="auto" w:fill="auto"/>
            <w:noWrap/>
            <w:vAlign w:val="center"/>
          </w:tcPr>
          <w:p w14:paraId="57525B1B"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0D7DF0AE"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r>
      <w:tr w:rsidR="00054C41" w:rsidRPr="00895898" w14:paraId="7EB0E4DE" w14:textId="77777777" w:rsidTr="00142154">
        <w:trPr>
          <w:trHeight w:val="578"/>
        </w:trPr>
        <w:tc>
          <w:tcPr>
            <w:tcW w:w="501" w:type="dxa"/>
            <w:vAlign w:val="center"/>
          </w:tcPr>
          <w:p w14:paraId="5C9E4501"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3557" w:type="dxa"/>
            <w:shd w:val="clear" w:color="auto" w:fill="auto"/>
            <w:vAlign w:val="center"/>
          </w:tcPr>
          <w:p w14:paraId="3ECA1819"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044" w:type="dxa"/>
          </w:tcPr>
          <w:p w14:paraId="6A0B3DAA"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129" w:type="dxa"/>
            <w:shd w:val="clear" w:color="auto" w:fill="auto"/>
            <w:vAlign w:val="center"/>
          </w:tcPr>
          <w:p w14:paraId="4C4980A4"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303" w:type="dxa"/>
            <w:vAlign w:val="center"/>
          </w:tcPr>
          <w:p w14:paraId="3AD90445"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34" w:type="dxa"/>
            <w:shd w:val="clear" w:color="auto" w:fill="auto"/>
            <w:noWrap/>
            <w:vAlign w:val="center"/>
          </w:tcPr>
          <w:p w14:paraId="3285AC1A"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337" w:type="dxa"/>
            <w:vAlign w:val="center"/>
          </w:tcPr>
          <w:p w14:paraId="4D281D8A"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17020489"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4374C799"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82" w:type="dxa"/>
            <w:shd w:val="clear" w:color="auto" w:fill="auto"/>
            <w:noWrap/>
            <w:vAlign w:val="center"/>
          </w:tcPr>
          <w:p w14:paraId="721A0B86"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92" w:type="dxa"/>
            <w:shd w:val="clear" w:color="auto" w:fill="auto"/>
            <w:noWrap/>
            <w:vAlign w:val="center"/>
          </w:tcPr>
          <w:p w14:paraId="6C3916CD"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652CB1E1"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r>
      <w:tr w:rsidR="00054C41" w:rsidRPr="00895898" w14:paraId="06C32329" w14:textId="77777777" w:rsidTr="00142154">
        <w:trPr>
          <w:trHeight w:val="578"/>
        </w:trPr>
        <w:tc>
          <w:tcPr>
            <w:tcW w:w="501" w:type="dxa"/>
            <w:vAlign w:val="center"/>
          </w:tcPr>
          <w:p w14:paraId="63491A93"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3557" w:type="dxa"/>
            <w:shd w:val="clear" w:color="auto" w:fill="auto"/>
            <w:vAlign w:val="center"/>
          </w:tcPr>
          <w:p w14:paraId="068D520C"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044" w:type="dxa"/>
          </w:tcPr>
          <w:p w14:paraId="76914543"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129" w:type="dxa"/>
            <w:shd w:val="clear" w:color="auto" w:fill="auto"/>
            <w:vAlign w:val="center"/>
          </w:tcPr>
          <w:p w14:paraId="3E1B104E"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303" w:type="dxa"/>
            <w:vAlign w:val="center"/>
          </w:tcPr>
          <w:p w14:paraId="2F4D48A5"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34" w:type="dxa"/>
            <w:shd w:val="clear" w:color="auto" w:fill="auto"/>
            <w:noWrap/>
            <w:vAlign w:val="center"/>
          </w:tcPr>
          <w:p w14:paraId="42E8A048"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337" w:type="dxa"/>
            <w:vAlign w:val="center"/>
          </w:tcPr>
          <w:p w14:paraId="7159C8CA"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1C78D709"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62DE2C3D"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82" w:type="dxa"/>
            <w:shd w:val="clear" w:color="auto" w:fill="auto"/>
            <w:noWrap/>
            <w:vAlign w:val="center"/>
          </w:tcPr>
          <w:p w14:paraId="0054144E"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92" w:type="dxa"/>
            <w:shd w:val="clear" w:color="auto" w:fill="auto"/>
            <w:noWrap/>
            <w:vAlign w:val="center"/>
          </w:tcPr>
          <w:p w14:paraId="349B9648"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4FE1067F"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r>
      <w:tr w:rsidR="00054C41" w:rsidRPr="00895898" w14:paraId="4742F14C" w14:textId="77777777" w:rsidTr="00142154">
        <w:trPr>
          <w:trHeight w:val="578"/>
        </w:trPr>
        <w:tc>
          <w:tcPr>
            <w:tcW w:w="501" w:type="dxa"/>
            <w:vAlign w:val="center"/>
          </w:tcPr>
          <w:p w14:paraId="07289A63"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3557" w:type="dxa"/>
            <w:shd w:val="clear" w:color="auto" w:fill="auto"/>
            <w:vAlign w:val="center"/>
          </w:tcPr>
          <w:p w14:paraId="3BB78E2C"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044" w:type="dxa"/>
          </w:tcPr>
          <w:p w14:paraId="0BD60F65"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129" w:type="dxa"/>
            <w:shd w:val="clear" w:color="auto" w:fill="auto"/>
            <w:vAlign w:val="center"/>
          </w:tcPr>
          <w:p w14:paraId="2E194E44"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303" w:type="dxa"/>
            <w:vAlign w:val="center"/>
          </w:tcPr>
          <w:p w14:paraId="1BDC3F80"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34" w:type="dxa"/>
            <w:shd w:val="clear" w:color="auto" w:fill="auto"/>
            <w:noWrap/>
            <w:vAlign w:val="center"/>
          </w:tcPr>
          <w:p w14:paraId="6B7CDF33"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337" w:type="dxa"/>
            <w:vAlign w:val="center"/>
          </w:tcPr>
          <w:p w14:paraId="308B8F3B"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75028CE4"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7DE40B73"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82" w:type="dxa"/>
            <w:shd w:val="clear" w:color="auto" w:fill="auto"/>
            <w:noWrap/>
            <w:vAlign w:val="center"/>
          </w:tcPr>
          <w:p w14:paraId="30982819"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92" w:type="dxa"/>
            <w:shd w:val="clear" w:color="auto" w:fill="auto"/>
            <w:noWrap/>
            <w:vAlign w:val="center"/>
          </w:tcPr>
          <w:p w14:paraId="58472185"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3BDDCE5F"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r>
    </w:tbl>
    <w:p w14:paraId="6E2FC1D4" w14:textId="77777777" w:rsidR="00054C41" w:rsidRPr="00895898" w:rsidRDefault="00054C41" w:rsidP="00054C41">
      <w:pPr>
        <w:jc w:val="both"/>
        <w:rPr>
          <w:rFonts w:ascii="Times New Roman" w:eastAsia="Calibri" w:hAnsi="Times New Roman" w:cs="Times New Roman"/>
          <w:i/>
        </w:rPr>
      </w:pPr>
    </w:p>
    <w:p w14:paraId="392BDE53" w14:textId="77777777" w:rsidR="00054C41" w:rsidRPr="00895898" w:rsidRDefault="00054C41" w:rsidP="00054C41">
      <w:pPr>
        <w:jc w:val="both"/>
        <w:rPr>
          <w:rFonts w:ascii="Times New Roman" w:eastAsia="Calibri" w:hAnsi="Times New Roman" w:cs="Times New Roman"/>
          <w:b/>
          <w:bCs/>
          <w:i/>
          <w:sz w:val="24"/>
          <w:szCs w:val="24"/>
        </w:rPr>
        <w:sectPr w:rsidR="00054C41" w:rsidRPr="00895898" w:rsidSect="00142154">
          <w:pgSz w:w="16838" w:h="11906" w:orient="landscape"/>
          <w:pgMar w:top="1417" w:right="1417" w:bottom="1417" w:left="1417" w:header="708" w:footer="708" w:gutter="0"/>
          <w:cols w:space="708"/>
          <w:docGrid w:linePitch="360"/>
        </w:sectPr>
      </w:pPr>
    </w:p>
    <w:p w14:paraId="42CD176F" w14:textId="77777777"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lastRenderedPageBreak/>
        <w:t>3.2 Vyhodnotenie konzultácií s podnikateľskými subjektmi pred predbežným pripomienkovým konaním</w:t>
      </w:r>
    </w:p>
    <w:p w14:paraId="2F2C4915" w14:textId="7BD55265" w:rsidR="00054C41" w:rsidRPr="00B1286C" w:rsidRDefault="005B0FB5" w:rsidP="00054C41">
      <w:pPr>
        <w:spacing w:after="0"/>
        <w:jc w:val="both"/>
        <w:rPr>
          <w:rFonts w:ascii="Times New Roman" w:eastAsia="Calibri" w:hAnsi="Times New Roman" w:cs="Times New Roman"/>
          <w:sz w:val="24"/>
          <w:szCs w:val="24"/>
        </w:rPr>
      </w:pPr>
      <w:r w:rsidRPr="00B1286C">
        <w:rPr>
          <w:rFonts w:ascii="Times New Roman" w:eastAsia="Calibri" w:hAnsi="Times New Roman" w:cs="Times New Roman"/>
          <w:sz w:val="24"/>
          <w:szCs w:val="24"/>
        </w:rPr>
        <w:t xml:space="preserve">Konzultácie s podnikateľskými subjektami neboli vykonávané. </w:t>
      </w:r>
      <w:r w:rsidR="00054C41" w:rsidRPr="00B1286C">
        <w:rPr>
          <w:rFonts w:ascii="Times New Roman" w:eastAsia="Calibri" w:hAnsi="Times New Roman" w:cs="Times New Roman"/>
          <w:sz w:val="24"/>
          <w:szCs w:val="24"/>
        </w:rPr>
        <w:t xml:space="preserve"> </w:t>
      </w:r>
    </w:p>
    <w:p w14:paraId="50FC6718" w14:textId="77777777" w:rsidR="00054C41" w:rsidRPr="00D8247C" w:rsidRDefault="00054C41" w:rsidP="00054C41">
      <w:pPr>
        <w:spacing w:after="0"/>
        <w:jc w:val="both"/>
        <w:rPr>
          <w:rFonts w:ascii="Times New Roman" w:eastAsia="Calibri" w:hAnsi="Times New Roman" w:cs="Times New Roman"/>
          <w:i/>
          <w:sz w:val="24"/>
          <w:szCs w:val="24"/>
        </w:rPr>
      </w:pPr>
    </w:p>
    <w:p w14:paraId="7E0BF3F5" w14:textId="77777777" w:rsidR="00054C41" w:rsidRPr="00D8247C" w:rsidRDefault="00054C41" w:rsidP="00054C41">
      <w:pPr>
        <w:spacing w:after="0"/>
        <w:jc w:val="both"/>
        <w:rPr>
          <w:rFonts w:ascii="Times New Roman" w:eastAsia="Calibri" w:hAnsi="Times New Roman" w:cs="Times New Roman"/>
          <w:i/>
          <w:sz w:val="24"/>
          <w:szCs w:val="24"/>
        </w:rPr>
      </w:pPr>
    </w:p>
    <w:p w14:paraId="2B9B01F4" w14:textId="77777777" w:rsidR="00054C41" w:rsidRPr="001F1B43" w:rsidRDefault="00054C41" w:rsidP="00054C41">
      <w:pPr>
        <w:jc w:val="both"/>
        <w:rPr>
          <w:rFonts w:ascii="Times New Roman" w:eastAsia="Calibri" w:hAnsi="Times New Roman" w:cs="Times New Roman"/>
          <w:b/>
          <w:sz w:val="24"/>
          <w:szCs w:val="24"/>
        </w:rPr>
      </w:pPr>
      <w:bookmarkStart w:id="0" w:name="_Hlk47698091"/>
      <w:r w:rsidRPr="001F1B43">
        <w:rPr>
          <w:rFonts w:ascii="Times New Roman" w:eastAsia="Calibri" w:hAnsi="Times New Roman" w:cs="Times New Roman"/>
          <w:b/>
          <w:sz w:val="24"/>
          <w:szCs w:val="24"/>
        </w:rPr>
        <w:t>3.3 Vplyvy na konkurencieschopnosť a produktivitu</w:t>
      </w:r>
    </w:p>
    <w:bookmarkEnd w:id="0"/>
    <w:p w14:paraId="762820C2" w14:textId="4AD1D3ED" w:rsidR="00054C41" w:rsidRPr="005B0FB5" w:rsidRDefault="005B0FB5" w:rsidP="00054C41">
      <w:pPr>
        <w:spacing w:after="0"/>
        <w:jc w:val="both"/>
        <w:rPr>
          <w:rFonts w:ascii="Times New Roman" w:eastAsia="Calibri" w:hAnsi="Times New Roman" w:cs="Times New Roman"/>
          <w:sz w:val="24"/>
          <w:szCs w:val="24"/>
        </w:rPr>
      </w:pPr>
      <w:r w:rsidRPr="005B0FB5">
        <w:rPr>
          <w:rFonts w:ascii="Times New Roman" w:eastAsia="Calibri" w:hAnsi="Times New Roman" w:cs="Times New Roman"/>
          <w:sz w:val="24"/>
          <w:szCs w:val="24"/>
        </w:rPr>
        <w:t xml:space="preserve">Návrhu zákona nemá bezprostredný vplyv na konkurencieschopnosť a produktivitu. </w:t>
      </w:r>
    </w:p>
    <w:p w14:paraId="7C7DB60C" w14:textId="77777777" w:rsidR="00054C41" w:rsidRPr="00D8247C" w:rsidRDefault="00054C41" w:rsidP="00054C41">
      <w:pPr>
        <w:spacing w:after="0"/>
        <w:jc w:val="both"/>
        <w:rPr>
          <w:rFonts w:ascii="Times New Roman" w:eastAsia="Calibri" w:hAnsi="Times New Roman" w:cs="Times New Roman"/>
          <w:i/>
          <w:sz w:val="24"/>
          <w:szCs w:val="24"/>
        </w:rPr>
      </w:pPr>
    </w:p>
    <w:p w14:paraId="7DBDE90F" w14:textId="77777777" w:rsidR="00054C41" w:rsidRPr="00D8247C" w:rsidRDefault="00054C41" w:rsidP="00054C41">
      <w:pPr>
        <w:spacing w:after="0"/>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Konkurencieschopnosť:</w:t>
      </w:r>
    </w:p>
    <w:p w14:paraId="79A2EAA5"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Na základe uvedených odpovedí zaškrtnite a popíšte, či materiál konkurencieschopnosť:</w:t>
      </w:r>
    </w:p>
    <w:p w14:paraId="7A10A211" w14:textId="16747BAC" w:rsidR="00054C41" w:rsidRPr="00D8247C" w:rsidRDefault="00775978" w:rsidP="00054C41">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798576880"/>
        </w:sdtPr>
        <w:sdtEndPr/>
        <w:sdtContent>
          <w:sdt>
            <w:sdtPr>
              <w:rPr>
                <w:rFonts w:ascii="Times New Roman" w:eastAsia="Calibri" w:hAnsi="Times New Roman" w:cs="Times New Roman"/>
                <w:i/>
                <w:sz w:val="24"/>
                <w:szCs w:val="24"/>
              </w:rPr>
              <w:id w:val="1729873660"/>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zvyšuje  </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10579887"/>
        </w:sdtPr>
        <w:sdtEndPr/>
        <w:sdtContent>
          <w:sdt>
            <w:sdtPr>
              <w:rPr>
                <w:rFonts w:ascii="Times New Roman" w:eastAsia="Calibri" w:hAnsi="Times New Roman" w:cs="Times New Roman"/>
                <w:i/>
                <w:sz w:val="24"/>
                <w:szCs w:val="24"/>
              </w:rPr>
              <w:id w:val="-80300261"/>
            </w:sdtPr>
            <w:sdtEndPr/>
            <w:sdtContent>
              <w:sdt>
                <w:sdtPr>
                  <w:rPr>
                    <w:rFonts w:ascii="Times New Roman" w:eastAsia="Times New Roman" w:hAnsi="Times New Roman" w:cs="Times New Roman"/>
                    <w:sz w:val="20"/>
                    <w:szCs w:val="20"/>
                    <w:lang w:eastAsia="sk-SK"/>
                  </w:rPr>
                  <w:id w:val="-145588339"/>
                </w:sdtPr>
                <w:sdtEndPr/>
                <w:sdtContent>
                  <w:r w:rsidR="00281B6B" w:rsidRPr="00281B6B">
                    <w:rPr>
                      <w:rFonts w:ascii="Wingdings 2" w:hAnsi="Wingdings 2" w:cs="Times"/>
                      <w:i/>
                      <w:sz w:val="24"/>
                      <w:szCs w:val="20"/>
                    </w:rPr>
                    <w:t></w:t>
                  </w:r>
                </w:sdtContent>
              </w:sdt>
            </w:sdtContent>
          </w:sdt>
        </w:sdtContent>
      </w:sdt>
      <w:r w:rsidR="00054C41" w:rsidRPr="00D8247C">
        <w:rPr>
          <w:rFonts w:ascii="Times New Roman" w:eastAsia="Calibri" w:hAnsi="Times New Roman" w:cs="Times New Roman"/>
          <w:i/>
          <w:sz w:val="24"/>
          <w:szCs w:val="24"/>
        </w:rPr>
        <w:t xml:space="preserve"> nemení</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74604883"/>
        </w:sdtPr>
        <w:sdtEndPr/>
        <w:sdtContent>
          <w:sdt>
            <w:sdtPr>
              <w:rPr>
                <w:rFonts w:ascii="Times New Roman" w:eastAsia="Calibri" w:hAnsi="Times New Roman" w:cs="Times New Roman"/>
                <w:i/>
                <w:sz w:val="24"/>
                <w:szCs w:val="24"/>
              </w:rPr>
              <w:id w:val="-1706551548"/>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znižuje</w:t>
      </w:r>
    </w:p>
    <w:p w14:paraId="6B265631" w14:textId="77777777" w:rsidR="00054C41" w:rsidRPr="00D8247C" w:rsidRDefault="00054C41" w:rsidP="00054C41">
      <w:pPr>
        <w:spacing w:after="0"/>
        <w:jc w:val="both"/>
        <w:rPr>
          <w:rFonts w:ascii="Times New Roman" w:eastAsia="Calibri" w:hAnsi="Times New Roman" w:cs="Times New Roman"/>
          <w:i/>
          <w:sz w:val="24"/>
          <w:szCs w:val="24"/>
        </w:rPr>
      </w:pPr>
    </w:p>
    <w:p w14:paraId="38C584EC" w14:textId="77777777" w:rsidR="00054C41" w:rsidRPr="00D8247C" w:rsidRDefault="00054C41" w:rsidP="00054C41">
      <w:pPr>
        <w:spacing w:after="0"/>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Produktivita:</w:t>
      </w:r>
    </w:p>
    <w:p w14:paraId="0C89139A"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Aký má materiál vplyv na zmenu pomeru medzi produkciou podnikov a ich nákladmi? </w:t>
      </w:r>
    </w:p>
    <w:p w14:paraId="01C1A176" w14:textId="77777777" w:rsidR="00054C41" w:rsidRPr="00D8247C" w:rsidRDefault="00054C41" w:rsidP="00054C41">
      <w:pPr>
        <w:spacing w:after="0"/>
        <w:jc w:val="both"/>
        <w:rPr>
          <w:rFonts w:ascii="Times New Roman" w:eastAsia="Calibri" w:hAnsi="Times New Roman" w:cs="Times New Roman"/>
          <w:i/>
          <w:sz w:val="24"/>
          <w:szCs w:val="24"/>
        </w:rPr>
      </w:pPr>
    </w:p>
    <w:p w14:paraId="7C5BED47"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Na základe uvedenej odpovede zaškrtnite a popíšte, či materiál produktivitu:</w:t>
      </w:r>
    </w:p>
    <w:p w14:paraId="47ABE7B5" w14:textId="6388247F" w:rsidR="00054C41" w:rsidRPr="00D8247C" w:rsidRDefault="00775978" w:rsidP="005B0FB5">
      <w:pPr>
        <w:tabs>
          <w:tab w:val="left" w:pos="708"/>
          <w:tab w:val="left" w:pos="1416"/>
          <w:tab w:val="left" w:pos="2124"/>
          <w:tab w:val="left" w:pos="2832"/>
          <w:tab w:val="left" w:pos="3540"/>
          <w:tab w:val="right" w:pos="9072"/>
        </w:tabs>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1545903528"/>
        </w:sdtPr>
        <w:sdtEndPr/>
        <w:sdtContent>
          <w:sdt>
            <w:sdtPr>
              <w:rPr>
                <w:rFonts w:ascii="Times New Roman" w:eastAsia="Calibri" w:hAnsi="Times New Roman" w:cs="Times New Roman"/>
                <w:i/>
                <w:sz w:val="24"/>
                <w:szCs w:val="24"/>
              </w:rPr>
              <w:id w:val="825715010"/>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zvyšuje  </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353966921"/>
        </w:sdtPr>
        <w:sdtEndPr/>
        <w:sdtContent>
          <w:sdt>
            <w:sdtPr>
              <w:rPr>
                <w:rFonts w:ascii="Times New Roman" w:eastAsia="Calibri" w:hAnsi="Times New Roman" w:cs="Times New Roman"/>
                <w:i/>
                <w:sz w:val="24"/>
                <w:szCs w:val="24"/>
              </w:rPr>
              <w:id w:val="-1222205104"/>
            </w:sdtPr>
            <w:sdtEndPr/>
            <w:sdtContent>
              <w:sdt>
                <w:sdtPr>
                  <w:rPr>
                    <w:rFonts w:ascii="Times New Roman" w:eastAsia="Times New Roman" w:hAnsi="Times New Roman" w:cs="Times New Roman"/>
                    <w:sz w:val="20"/>
                    <w:szCs w:val="20"/>
                    <w:lang w:eastAsia="sk-SK"/>
                  </w:rPr>
                  <w:id w:val="-1223901961"/>
                </w:sdtPr>
                <w:sdtEndPr/>
                <w:sdtContent>
                  <w:r w:rsidR="00281B6B" w:rsidRPr="00281B6B">
                    <w:rPr>
                      <w:rFonts w:ascii="Wingdings 2" w:hAnsi="Wingdings 2" w:cs="Times"/>
                      <w:i/>
                      <w:sz w:val="24"/>
                      <w:szCs w:val="20"/>
                    </w:rPr>
                    <w:t></w:t>
                  </w:r>
                </w:sdtContent>
              </w:sdt>
            </w:sdtContent>
          </w:sdt>
        </w:sdtContent>
      </w:sdt>
      <w:r w:rsidR="00054C41" w:rsidRPr="00D8247C">
        <w:rPr>
          <w:rFonts w:ascii="Times New Roman" w:eastAsia="Calibri" w:hAnsi="Times New Roman" w:cs="Times New Roman"/>
          <w:i/>
          <w:sz w:val="24"/>
          <w:szCs w:val="24"/>
        </w:rPr>
        <w:t xml:space="preserve"> nemení</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1457723544"/>
        </w:sdtPr>
        <w:sdtEndPr/>
        <w:sdtContent>
          <w:sdt>
            <w:sdtPr>
              <w:rPr>
                <w:rFonts w:ascii="Times New Roman" w:eastAsia="Calibri" w:hAnsi="Times New Roman" w:cs="Times New Roman"/>
                <w:i/>
                <w:sz w:val="24"/>
                <w:szCs w:val="24"/>
              </w:rPr>
              <w:id w:val="-623767955"/>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znižuje</w:t>
      </w:r>
      <w:r w:rsidR="002A4B68">
        <w:rPr>
          <w:rFonts w:ascii="Times New Roman" w:eastAsia="Calibri" w:hAnsi="Times New Roman" w:cs="Times New Roman"/>
          <w:i/>
          <w:sz w:val="24"/>
          <w:szCs w:val="24"/>
        </w:rPr>
        <w:tab/>
      </w:r>
    </w:p>
    <w:p w14:paraId="28E4F647" w14:textId="77777777" w:rsidR="00054C41" w:rsidRDefault="00054C41" w:rsidP="00054C41">
      <w:pPr>
        <w:spacing w:after="0"/>
        <w:jc w:val="both"/>
        <w:rPr>
          <w:rFonts w:ascii="Times New Roman" w:eastAsia="Calibri" w:hAnsi="Times New Roman" w:cs="Times New Roman"/>
          <w:i/>
          <w:sz w:val="24"/>
          <w:szCs w:val="24"/>
        </w:rPr>
      </w:pPr>
    </w:p>
    <w:p w14:paraId="72C8CE5E" w14:textId="77777777" w:rsidR="00054C41" w:rsidRPr="00D8247C" w:rsidRDefault="00054C41" w:rsidP="00054C41">
      <w:pPr>
        <w:spacing w:after="0"/>
        <w:jc w:val="both"/>
        <w:rPr>
          <w:rFonts w:ascii="Times New Roman" w:eastAsia="Calibri" w:hAnsi="Times New Roman" w:cs="Times New Roman"/>
          <w:i/>
          <w:sz w:val="24"/>
          <w:szCs w:val="24"/>
        </w:rPr>
      </w:pPr>
    </w:p>
    <w:p w14:paraId="1CA1DE6B" w14:textId="77777777"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 xml:space="preserve">3.4  Iné vplyvy na podnikateľské prostredie </w:t>
      </w:r>
    </w:p>
    <w:p w14:paraId="0D09BD4A" w14:textId="729D2CF3" w:rsidR="00FF414B" w:rsidRDefault="00FF414B" w:rsidP="00FF414B">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Ak má materiál vplyvy na PP, ktoré nemožno zaradiť do predchádzajúcich častí, či už pozitívne alebo negatívne, tu ich uveďte.  Patria sem: </w:t>
      </w:r>
    </w:p>
    <w:p w14:paraId="49AF7070" w14:textId="77777777" w:rsidR="00FF414B"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sankcie alebo pokuty, ako dôsledok porušenia právne záväzných ustanovení;</w:t>
      </w:r>
    </w:p>
    <w:p w14:paraId="6A794723" w14:textId="77777777" w:rsidR="00FF414B"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vplyvy súvisiace so žiadosťami o alebo prijímaním dotácií, fondov, štátnej pomoci a čerpaním iných obdobných foriem podpory zo strany štátu, keďže sú sprievodným javom uchádzania sa či získania benefitov, na ktoré nie je právny nárok priamo zo zákona, ale vzniká na základe prejavu vôle dotknutého subjektu;</w:t>
      </w:r>
    </w:p>
    <w:p w14:paraId="49AAEA5F" w14:textId="77777777" w:rsidR="00FF414B"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regulované ceny podľa zákona č. 18/1996 Z. z. o cenách;</w:t>
      </w:r>
    </w:p>
    <w:p w14:paraId="3CEE247D" w14:textId="77777777" w:rsidR="00FF414B"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iné vplyvy, ktoré predpokladá materiál, ale nemožno ich zaradiť do častí 3.1 a 3.3. </w:t>
      </w:r>
    </w:p>
    <w:p w14:paraId="0B4849FE" w14:textId="16FAB16B" w:rsidR="00FF414B" w:rsidRDefault="00FF414B" w:rsidP="00FF414B">
      <w:pPr>
        <w:spacing w:after="0"/>
        <w:jc w:val="both"/>
        <w:rPr>
          <w:rFonts w:ascii="Times New Roman" w:eastAsia="Calibri" w:hAnsi="Times New Roman" w:cs="Times New Roman"/>
          <w:i/>
          <w:color w:val="0070C0"/>
          <w:sz w:val="24"/>
          <w:szCs w:val="24"/>
        </w:rPr>
      </w:pPr>
      <w:bookmarkStart w:id="1" w:name="_GoBack"/>
      <w:bookmarkEnd w:id="1"/>
    </w:p>
    <w:p w14:paraId="567581BF" w14:textId="1FAAABB2" w:rsidR="00054C41" w:rsidRPr="003873D6" w:rsidRDefault="005B0FB5" w:rsidP="00054C41">
      <w:pPr>
        <w:spacing w:after="0"/>
        <w:jc w:val="both"/>
        <w:rPr>
          <w:rFonts w:ascii="Times New Roman" w:eastAsia="Calibri" w:hAnsi="Times New Roman" w:cs="Times New Roman"/>
          <w:sz w:val="24"/>
        </w:rPr>
      </w:pPr>
      <w:r w:rsidRPr="003873D6">
        <w:rPr>
          <w:rFonts w:ascii="Times New Roman" w:eastAsia="Calibri" w:hAnsi="Times New Roman" w:cs="Times New Roman"/>
          <w:sz w:val="24"/>
        </w:rPr>
        <w:t xml:space="preserve">Nová súdna mapa je nástrojom pre efektívnejšie fungovanie súdov. Zefektívnenie činnosti </w:t>
      </w:r>
      <w:r w:rsidR="00BC1D81" w:rsidRPr="003873D6">
        <w:rPr>
          <w:rFonts w:ascii="Times New Roman" w:eastAsia="Calibri" w:hAnsi="Times New Roman" w:cs="Times New Roman"/>
          <w:sz w:val="24"/>
        </w:rPr>
        <w:t xml:space="preserve">správnych </w:t>
      </w:r>
      <w:r w:rsidRPr="003873D6">
        <w:rPr>
          <w:rFonts w:ascii="Times New Roman" w:eastAsia="Calibri" w:hAnsi="Times New Roman" w:cs="Times New Roman"/>
          <w:sz w:val="24"/>
        </w:rPr>
        <w:t>súdov môže pozitívnym spôsobom ovplyvniť podnikateľské prostredie formou zlepšenia uplatňovania práva na súdnu ochranu</w:t>
      </w:r>
      <w:r w:rsidR="00BC1D81" w:rsidRPr="003873D6">
        <w:rPr>
          <w:rFonts w:ascii="Times New Roman" w:eastAsia="Calibri" w:hAnsi="Times New Roman" w:cs="Times New Roman"/>
          <w:sz w:val="24"/>
        </w:rPr>
        <w:t>, ako aj súdny prieskum rozhodnutí orgánov verejnej správy</w:t>
      </w:r>
      <w:r w:rsidRPr="003873D6">
        <w:rPr>
          <w:rFonts w:ascii="Times New Roman" w:eastAsia="Calibri" w:hAnsi="Times New Roman" w:cs="Times New Roman"/>
          <w:sz w:val="24"/>
        </w:rPr>
        <w:t>.</w:t>
      </w:r>
    </w:p>
    <w:p w14:paraId="2FED8DE6" w14:textId="77777777" w:rsidR="005B0FB5" w:rsidRPr="00895898" w:rsidRDefault="005B0FB5" w:rsidP="00054C41">
      <w:pPr>
        <w:spacing w:after="0"/>
        <w:jc w:val="both"/>
        <w:rPr>
          <w:rFonts w:ascii="Times New Roman" w:eastAsia="Calibri" w:hAnsi="Times New Roman" w:cs="Times New Roman"/>
          <w:i/>
          <w:color w:val="0070C0"/>
        </w:rPr>
      </w:pPr>
    </w:p>
    <w:p w14:paraId="7CA617B1" w14:textId="77777777" w:rsidR="00142154" w:rsidRDefault="00142154"/>
    <w:sectPr w:rsidR="0014215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C61731" w14:textId="77777777" w:rsidR="00775978" w:rsidRDefault="00775978" w:rsidP="00054C41">
      <w:pPr>
        <w:spacing w:after="0" w:line="240" w:lineRule="auto"/>
      </w:pPr>
      <w:r>
        <w:separator/>
      </w:r>
    </w:p>
  </w:endnote>
  <w:endnote w:type="continuationSeparator" w:id="0">
    <w:p w14:paraId="7C166ED3" w14:textId="77777777" w:rsidR="00775978" w:rsidRDefault="00775978" w:rsidP="00054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7646321"/>
      <w:docPartObj>
        <w:docPartGallery w:val="Page Numbers (Bottom of Page)"/>
        <w:docPartUnique/>
      </w:docPartObj>
    </w:sdtPr>
    <w:sdtEndPr/>
    <w:sdtContent>
      <w:p w14:paraId="19114452" w14:textId="205622D3" w:rsidR="002A4B68" w:rsidRPr="002A4B68" w:rsidRDefault="002A4B68">
        <w:pPr>
          <w:pStyle w:val="Pta"/>
          <w:jc w:val="center"/>
          <w:rPr>
            <w:rFonts w:ascii="Times New Roman" w:hAnsi="Times New Roman" w:cs="Times New Roman"/>
            <w:sz w:val="24"/>
          </w:rPr>
        </w:pPr>
        <w:r w:rsidRPr="002A4B68">
          <w:rPr>
            <w:rFonts w:ascii="Times New Roman" w:hAnsi="Times New Roman" w:cs="Times New Roman"/>
            <w:sz w:val="24"/>
          </w:rPr>
          <w:fldChar w:fldCharType="begin"/>
        </w:r>
        <w:r w:rsidRPr="002A4B68">
          <w:rPr>
            <w:rFonts w:ascii="Times New Roman" w:hAnsi="Times New Roman" w:cs="Times New Roman"/>
            <w:sz w:val="24"/>
          </w:rPr>
          <w:instrText>PAGE   \* MERGEFORMAT</w:instrText>
        </w:r>
        <w:r w:rsidRPr="002A4B68">
          <w:rPr>
            <w:rFonts w:ascii="Times New Roman" w:hAnsi="Times New Roman" w:cs="Times New Roman"/>
            <w:sz w:val="24"/>
          </w:rPr>
          <w:fldChar w:fldCharType="separate"/>
        </w:r>
        <w:r w:rsidR="003873D6">
          <w:rPr>
            <w:rFonts w:ascii="Times New Roman" w:hAnsi="Times New Roman" w:cs="Times New Roman"/>
            <w:noProof/>
            <w:sz w:val="24"/>
          </w:rPr>
          <w:t>2</w:t>
        </w:r>
        <w:r w:rsidRPr="002A4B68">
          <w:rPr>
            <w:rFonts w:ascii="Times New Roman" w:hAnsi="Times New Roman" w:cs="Times New Roman"/>
            <w:sz w:val="24"/>
          </w:rPr>
          <w:fldChar w:fldCharType="end"/>
        </w:r>
      </w:p>
    </w:sdtContent>
  </w:sdt>
  <w:p w14:paraId="288F6D1F" w14:textId="77777777" w:rsidR="002A4B68" w:rsidRPr="002A4B68" w:rsidRDefault="002A4B68">
    <w:pPr>
      <w:pStyle w:val="Pta"/>
      <w:rPr>
        <w:rFonts w:ascii="Times New Roman" w:hAnsi="Times New Roman" w:cs="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D9C2CE" w14:textId="77777777" w:rsidR="00775978" w:rsidRDefault="00775978" w:rsidP="00054C41">
      <w:pPr>
        <w:spacing w:after="0" w:line="240" w:lineRule="auto"/>
      </w:pPr>
      <w:r>
        <w:separator/>
      </w:r>
    </w:p>
  </w:footnote>
  <w:footnote w:type="continuationSeparator" w:id="0">
    <w:p w14:paraId="7758AD60" w14:textId="77777777" w:rsidR="00775978" w:rsidRDefault="00775978" w:rsidP="00054C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66859"/>
    <w:multiLevelType w:val="hybridMultilevel"/>
    <w:tmpl w:val="6BFACF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75E2235"/>
    <w:multiLevelType w:val="hybridMultilevel"/>
    <w:tmpl w:val="93EC2C2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F252805"/>
    <w:multiLevelType w:val="hybridMultilevel"/>
    <w:tmpl w:val="74CC4C46"/>
    <w:lvl w:ilvl="0" w:tplc="1952A8A6">
      <w:start w:val="1"/>
      <w:numFmt w:val="upperRoman"/>
      <w:lvlText w:val="%1."/>
      <w:lvlJc w:val="left"/>
      <w:pPr>
        <w:ind w:left="1080" w:hanging="72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0BB77D5"/>
    <w:multiLevelType w:val="hybridMultilevel"/>
    <w:tmpl w:val="F7CE663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736C4BD0"/>
    <w:multiLevelType w:val="hybridMultilevel"/>
    <w:tmpl w:val="5AD88732"/>
    <w:lvl w:ilvl="0" w:tplc="3E049D2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3"/>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C41"/>
    <w:rsid w:val="00054C41"/>
    <w:rsid w:val="00060DA1"/>
    <w:rsid w:val="000C5E9A"/>
    <w:rsid w:val="000D5F30"/>
    <w:rsid w:val="00142154"/>
    <w:rsid w:val="00162DB1"/>
    <w:rsid w:val="001B4C03"/>
    <w:rsid w:val="001D1083"/>
    <w:rsid w:val="001D3FA0"/>
    <w:rsid w:val="001E53CB"/>
    <w:rsid w:val="00225A83"/>
    <w:rsid w:val="002604A9"/>
    <w:rsid w:val="00270EA5"/>
    <w:rsid w:val="00281B6B"/>
    <w:rsid w:val="002A4B68"/>
    <w:rsid w:val="00340CFD"/>
    <w:rsid w:val="0038255E"/>
    <w:rsid w:val="003873D6"/>
    <w:rsid w:val="00391648"/>
    <w:rsid w:val="0039304E"/>
    <w:rsid w:val="003E58B8"/>
    <w:rsid w:val="003F06D7"/>
    <w:rsid w:val="00415AFF"/>
    <w:rsid w:val="00445638"/>
    <w:rsid w:val="00446432"/>
    <w:rsid w:val="004D20CB"/>
    <w:rsid w:val="00511AFC"/>
    <w:rsid w:val="00564527"/>
    <w:rsid w:val="005B0FB5"/>
    <w:rsid w:val="005E2003"/>
    <w:rsid w:val="007259CB"/>
    <w:rsid w:val="0077106D"/>
    <w:rsid w:val="00775978"/>
    <w:rsid w:val="007B40FB"/>
    <w:rsid w:val="007E24B2"/>
    <w:rsid w:val="008077E3"/>
    <w:rsid w:val="008634E9"/>
    <w:rsid w:val="008801B5"/>
    <w:rsid w:val="008B4AA1"/>
    <w:rsid w:val="008C1C71"/>
    <w:rsid w:val="00923C0C"/>
    <w:rsid w:val="009A4D56"/>
    <w:rsid w:val="009E09F7"/>
    <w:rsid w:val="00A000DA"/>
    <w:rsid w:val="00A1736E"/>
    <w:rsid w:val="00AD01AF"/>
    <w:rsid w:val="00B1286C"/>
    <w:rsid w:val="00B66E33"/>
    <w:rsid w:val="00B83745"/>
    <w:rsid w:val="00BC1D81"/>
    <w:rsid w:val="00BD0EF7"/>
    <w:rsid w:val="00C21399"/>
    <w:rsid w:val="00C560C4"/>
    <w:rsid w:val="00C6748F"/>
    <w:rsid w:val="00D005F2"/>
    <w:rsid w:val="00D16DC5"/>
    <w:rsid w:val="00D631FA"/>
    <w:rsid w:val="00D82356"/>
    <w:rsid w:val="00D84EEE"/>
    <w:rsid w:val="00D90A61"/>
    <w:rsid w:val="00E030DA"/>
    <w:rsid w:val="00EB2BEC"/>
    <w:rsid w:val="00EC0704"/>
    <w:rsid w:val="00ED6B5D"/>
    <w:rsid w:val="00EE1BAB"/>
    <w:rsid w:val="00EE4C99"/>
    <w:rsid w:val="00F74FC9"/>
    <w:rsid w:val="00FC5897"/>
    <w:rsid w:val="00FF414B"/>
    <w:rsid w:val="00FF4B7A"/>
    <w:rsid w:val="00FF7E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C54A6"/>
  <w15:chartTrackingRefBased/>
  <w15:docId w15:val="{D25F4236-6AA0-4B56-8F99-9645C4407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54C41"/>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54C4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54C41"/>
  </w:style>
  <w:style w:type="paragraph" w:styleId="Normlnywebov">
    <w:name w:val="Normal (Web)"/>
    <w:basedOn w:val="Normlny"/>
    <w:uiPriority w:val="99"/>
    <w:unhideWhenUsed/>
    <w:rsid w:val="00054C41"/>
    <w:pPr>
      <w:spacing w:after="0" w:line="240" w:lineRule="auto"/>
    </w:pPr>
    <w:rPr>
      <w:rFonts w:ascii="Times New Roman" w:eastAsia="Times New Roman" w:hAnsi="Times New Roman" w:cs="Times New Roman"/>
      <w:sz w:val="24"/>
      <w:szCs w:val="24"/>
      <w:lang w:eastAsia="sk-SK"/>
    </w:rPr>
  </w:style>
  <w:style w:type="table" w:customStyle="1" w:styleId="Mriekatabuky2">
    <w:name w:val="Mriežka tabuľky2"/>
    <w:basedOn w:val="Normlnatabuka"/>
    <w:next w:val="Mriekatabuky"/>
    <w:uiPriority w:val="59"/>
    <w:rsid w:val="00054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054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unhideWhenUsed/>
    <w:rsid w:val="00054C41"/>
    <w:pPr>
      <w:tabs>
        <w:tab w:val="center" w:pos="4536"/>
        <w:tab w:val="right" w:pos="9072"/>
      </w:tabs>
      <w:spacing w:after="0" w:line="240" w:lineRule="auto"/>
    </w:pPr>
  </w:style>
  <w:style w:type="character" w:customStyle="1" w:styleId="PtaChar">
    <w:name w:val="Päta Char"/>
    <w:basedOn w:val="Predvolenpsmoodseku"/>
    <w:link w:val="Pta"/>
    <w:uiPriority w:val="99"/>
    <w:rsid w:val="00054C41"/>
  </w:style>
  <w:style w:type="paragraph" w:styleId="Textbubliny">
    <w:name w:val="Balloon Text"/>
    <w:basedOn w:val="Normlny"/>
    <w:link w:val="TextbublinyChar"/>
    <w:uiPriority w:val="99"/>
    <w:semiHidden/>
    <w:unhideWhenUsed/>
    <w:rsid w:val="001B4C0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4C03"/>
    <w:rPr>
      <w:rFonts w:ascii="Segoe UI" w:hAnsi="Segoe UI" w:cs="Segoe UI"/>
      <w:sz w:val="18"/>
      <w:szCs w:val="18"/>
    </w:rPr>
  </w:style>
  <w:style w:type="character" w:styleId="Odkaznakomentr">
    <w:name w:val="annotation reference"/>
    <w:basedOn w:val="Predvolenpsmoodseku"/>
    <w:uiPriority w:val="99"/>
    <w:semiHidden/>
    <w:unhideWhenUsed/>
    <w:rsid w:val="001B4C03"/>
    <w:rPr>
      <w:sz w:val="16"/>
      <w:szCs w:val="16"/>
    </w:rPr>
  </w:style>
  <w:style w:type="paragraph" w:styleId="Textkomentra">
    <w:name w:val="annotation text"/>
    <w:basedOn w:val="Normlny"/>
    <w:link w:val="TextkomentraChar"/>
    <w:uiPriority w:val="99"/>
    <w:semiHidden/>
    <w:unhideWhenUsed/>
    <w:rsid w:val="001B4C03"/>
    <w:pPr>
      <w:spacing w:line="240" w:lineRule="auto"/>
    </w:pPr>
    <w:rPr>
      <w:sz w:val="20"/>
      <w:szCs w:val="20"/>
    </w:rPr>
  </w:style>
  <w:style w:type="character" w:customStyle="1" w:styleId="TextkomentraChar">
    <w:name w:val="Text komentára Char"/>
    <w:basedOn w:val="Predvolenpsmoodseku"/>
    <w:link w:val="Textkomentra"/>
    <w:uiPriority w:val="99"/>
    <w:semiHidden/>
    <w:rsid w:val="001B4C03"/>
    <w:rPr>
      <w:sz w:val="20"/>
      <w:szCs w:val="20"/>
    </w:rPr>
  </w:style>
  <w:style w:type="paragraph" w:styleId="Predmetkomentra">
    <w:name w:val="annotation subject"/>
    <w:basedOn w:val="Textkomentra"/>
    <w:next w:val="Textkomentra"/>
    <w:link w:val="PredmetkomentraChar"/>
    <w:uiPriority w:val="99"/>
    <w:semiHidden/>
    <w:unhideWhenUsed/>
    <w:rsid w:val="001B4C03"/>
    <w:rPr>
      <w:b/>
      <w:bCs/>
    </w:rPr>
  </w:style>
  <w:style w:type="character" w:customStyle="1" w:styleId="PredmetkomentraChar">
    <w:name w:val="Predmet komentára Char"/>
    <w:basedOn w:val="TextkomentraChar"/>
    <w:link w:val="Predmetkomentra"/>
    <w:uiPriority w:val="99"/>
    <w:semiHidden/>
    <w:rsid w:val="001B4C03"/>
    <w:rPr>
      <w:b/>
      <w:bCs/>
      <w:sz w:val="20"/>
      <w:szCs w:val="20"/>
    </w:rPr>
  </w:style>
  <w:style w:type="paragraph" w:styleId="Odsekzoznamu">
    <w:name w:val="List Paragraph"/>
    <w:basedOn w:val="Normlny"/>
    <w:uiPriority w:val="34"/>
    <w:qFormat/>
    <w:rsid w:val="00EE4C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2238006">
      <w:bodyDiv w:val="1"/>
      <w:marLeft w:val="0"/>
      <w:marRight w:val="0"/>
      <w:marTop w:val="0"/>
      <w:marBottom w:val="0"/>
      <w:divBdr>
        <w:top w:val="none" w:sz="0" w:space="0" w:color="auto"/>
        <w:left w:val="none" w:sz="0" w:space="0" w:color="auto"/>
        <w:bottom w:val="none" w:sz="0" w:space="0" w:color="auto"/>
        <w:right w:val="none" w:sz="0" w:space="0" w:color="auto"/>
      </w:divBdr>
    </w:div>
    <w:div w:id="1336617123">
      <w:bodyDiv w:val="1"/>
      <w:marLeft w:val="0"/>
      <w:marRight w:val="0"/>
      <w:marTop w:val="0"/>
      <w:marBottom w:val="0"/>
      <w:divBdr>
        <w:top w:val="none" w:sz="0" w:space="0" w:color="auto"/>
        <w:left w:val="none" w:sz="0" w:space="0" w:color="auto"/>
        <w:bottom w:val="none" w:sz="0" w:space="0" w:color="auto"/>
        <w:right w:val="none" w:sz="0" w:space="0" w:color="auto"/>
      </w:divBdr>
    </w:div>
    <w:div w:id="1640454007">
      <w:bodyDiv w:val="1"/>
      <w:marLeft w:val="0"/>
      <w:marRight w:val="0"/>
      <w:marTop w:val="0"/>
      <w:marBottom w:val="0"/>
      <w:divBdr>
        <w:top w:val="none" w:sz="0" w:space="0" w:color="auto"/>
        <w:left w:val="none" w:sz="0" w:space="0" w:color="auto"/>
        <w:bottom w:val="none" w:sz="0" w:space="0" w:color="auto"/>
        <w:right w:val="none" w:sz="0" w:space="0" w:color="auto"/>
      </w:divBdr>
    </w:div>
    <w:div w:id="209285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Vlastný-materiál,-príloha-č.-3"/>
    <f:field ref="objsubject" par="" edit="true" text=""/>
    <f:field ref="objcreatedby" par="" text="Drieniková, Kristína"/>
    <f:field ref="objcreatedat" par="" text="3.11.2020 15:31:28"/>
    <f:field ref="objchangedby" par="" text="Matúšek, Miloš, JUDr."/>
    <f:field ref="objmodifiedat" par="" text="4.11.2020 13:19:43"/>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27433909-1163-41DE-83B5-E29B74E67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548</Words>
  <Characters>3130</Characters>
  <Application>Microsoft Office Word</Application>
  <DocSecurity>0</DocSecurity>
  <Lines>26</Lines>
  <Paragraphs>7</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Drienikova Kristina</dc:creator>
  <cp:keywords/>
  <dc:description/>
  <cp:lastModifiedBy>PALÚŠ Juraj</cp:lastModifiedBy>
  <cp:revision>16</cp:revision>
  <dcterms:created xsi:type="dcterms:W3CDTF">2021-02-13T18:50:00Z</dcterms:created>
  <dcterms:modified xsi:type="dcterms:W3CDTF">2022-02-02T07:36:00Z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2020</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Kristína Drieniková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Návrh aktualizácie Jednotnej metodiky na posudzovanie vybraných vplyvov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Úloha B.3 uznesenia vlády SR č. 32/2018_x000d_
Programové vyhlásenie vlády Slovenskej republiky</vt:lpwstr>
  </property>
  <property fmtid="{D5CDD505-2E9C-101B-9397-08002B2CF9AE}" pid="23" name="FSC#SKEDITIONSLOVLEX@103.510:plnynazovpredpis">
    <vt:lpwstr> Návrh aktualizácie Jednotnej metodiky na posudzovanie vybraných vplyvov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32473/2020-3040-105289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LP/2020/509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Výrazný pozitívny vplyv na podnikateľské prostredie v&amp;nbsp;podobe znižovania regulačných nákladov sa očakáva až po zavedení a&amp;nbsp;uplatňovaní mechanizmu </vt:lpwstr>
  </property>
  <property fmtid="{D5CDD505-2E9C-101B-9397-08002B2CF9AE}" pid="66" name="FSC#SKEDITIONSLOVLEX@103.510:AttrStrListDocPropAltRiesenia">
    <vt:lpwstr>Alternatívnym riešením je nulový variant, t. j. ponechanie súčasného stavu bez zmien, technických upresnení a bez zavedenia princípu „one in – two out“. Uplatnenie nulového variantu by v praxi znamenalo nezastavenie zvyšovania regulačných nákladov pre pod</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podpredseda vlády a minister hospodárstva  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justify;"&gt;Po vzore dobrých príkladov z iných krajín a v súlade s plánmi Európskej komisie sa vláda SR zaviazala v Programovom vyhlásení zaviesť princíp „one in – one out“ s účinnosťou &amp;nbsp;od 1.&amp;nbsp;1. 2021 a princíp „one in - two </vt:lpwstr>
  </property>
  <property fmtid="{D5CDD505-2E9C-101B-9397-08002B2CF9AE}" pid="150" name="FSC#SKEDITIONSLOVLEX@103.510:vytvorenedna">
    <vt:lpwstr>3. 11. 2020</vt:lpwstr>
  </property>
  <property fmtid="{D5CDD505-2E9C-101B-9397-08002B2CF9AE}" pid="151" name="FSC#COOSYSTEM@1.1:Container">
    <vt:lpwstr>COO.2145.1000.3.4079697</vt:lpwstr>
  </property>
  <property fmtid="{D5CDD505-2E9C-101B-9397-08002B2CF9AE}" pid="152" name="FSC#FSCFOLIO@1.1001:docpropproject">
    <vt:lpwstr/>
  </property>
</Properties>
</file>