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4F3BD8" w:rsidRDefault="00B326AA">
      <w:pPr>
        <w:jc w:val="center"/>
        <w:rPr>
          <w:b/>
          <w:caps/>
          <w:spacing w:val="30"/>
          <w:sz w:val="25"/>
          <w:szCs w:val="25"/>
        </w:rPr>
      </w:pPr>
      <w:r w:rsidRPr="004F3BD8">
        <w:rPr>
          <w:b/>
          <w:caps/>
          <w:spacing w:val="30"/>
          <w:sz w:val="25"/>
          <w:szCs w:val="25"/>
        </w:rPr>
        <w:t>Doložka zlučiteľnosti</w:t>
      </w:r>
    </w:p>
    <w:p w14:paraId="2C297D24" w14:textId="1BA51523" w:rsidR="001F0AA3" w:rsidRPr="004F3BD8" w:rsidRDefault="00C12975" w:rsidP="00DC377E">
      <w:pPr>
        <w:jc w:val="center"/>
        <w:rPr>
          <w:b/>
          <w:sz w:val="25"/>
          <w:szCs w:val="25"/>
        </w:rPr>
      </w:pPr>
      <w:r w:rsidRPr="004F3BD8">
        <w:rPr>
          <w:b/>
          <w:sz w:val="25"/>
          <w:szCs w:val="25"/>
        </w:rPr>
        <w:t xml:space="preserve">návrhu </w:t>
      </w:r>
      <w:r w:rsidR="00976671" w:rsidRPr="004F3BD8">
        <w:rPr>
          <w:b/>
          <w:sz w:val="25"/>
          <w:szCs w:val="25"/>
        </w:rPr>
        <w:t>zákona</w:t>
      </w:r>
      <w:r w:rsidR="00DC377E" w:rsidRPr="004F3BD8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F3BD8" w:rsidRPr="004F3BD8" w14:paraId="7D08EBC2" w14:textId="77777777" w:rsidTr="006F3E6F">
        <w:tc>
          <w:tcPr>
            <w:tcW w:w="404" w:type="dxa"/>
          </w:tcPr>
          <w:p w14:paraId="0EA9DA60" w14:textId="7E364101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3CE7880C" w:rsidR="001F0AA3" w:rsidRPr="004F3BD8" w:rsidRDefault="00976671" w:rsidP="00976671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Navrhovateľ zákona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  <w:r w:rsidR="00632C56" w:rsidRPr="004F3BD8">
              <w:rPr>
                <w:sz w:val="25"/>
                <w:szCs w:val="25"/>
              </w:rPr>
              <w:t xml:space="preserve"> </w:t>
            </w:r>
            <w:r w:rsidR="00D7275F" w:rsidRPr="004F3BD8">
              <w:rPr>
                <w:sz w:val="25"/>
                <w:szCs w:val="25"/>
              </w:rPr>
              <w:fldChar w:fldCharType="begin"/>
            </w:r>
            <w:r w:rsidR="00D7275F" w:rsidRPr="004F3BD8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4F3BD8">
              <w:rPr>
                <w:sz w:val="25"/>
                <w:szCs w:val="25"/>
              </w:rPr>
              <w:fldChar w:fldCharType="separate"/>
            </w:r>
            <w:r w:rsidR="00DC01C1">
              <w:rPr>
                <w:sz w:val="25"/>
                <w:szCs w:val="25"/>
              </w:rPr>
              <w:t xml:space="preserve"> </w:t>
            </w:r>
            <w:r w:rsidR="00DC01C1">
              <w:rPr>
                <w:sz w:val="25"/>
                <w:szCs w:val="25"/>
              </w:rPr>
              <w:t>Poslanci Národnej rady Slovenskej republiky</w:t>
            </w:r>
            <w:r w:rsidR="00DC01C1" w:rsidRPr="004F3BD8">
              <w:rPr>
                <w:sz w:val="25"/>
                <w:szCs w:val="25"/>
              </w:rPr>
              <w:t xml:space="preserve"> </w:t>
            </w:r>
            <w:r w:rsidR="00D7275F" w:rsidRPr="004F3BD8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5BA047" w14:textId="77777777" w:rsidTr="006F3E6F">
        <w:tc>
          <w:tcPr>
            <w:tcW w:w="404" w:type="dxa"/>
          </w:tcPr>
          <w:p w14:paraId="5A496EE8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4F3BD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3DF0B4FC" w14:textId="77777777" w:rsidTr="006F3E6F">
        <w:tc>
          <w:tcPr>
            <w:tcW w:w="404" w:type="dxa"/>
          </w:tcPr>
          <w:p w14:paraId="51209F81" w14:textId="0D91764A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0D4187E1" w:rsidR="001F0AA3" w:rsidRPr="00974C97" w:rsidRDefault="001F0AA3" w:rsidP="00FD1B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974C97">
              <w:rPr>
                <w:b/>
                <w:sz w:val="25"/>
                <w:szCs w:val="25"/>
              </w:rPr>
              <w:t xml:space="preserve">Názov návrhu </w:t>
            </w:r>
            <w:r w:rsidR="00976671" w:rsidRPr="00974C97">
              <w:rPr>
                <w:b/>
                <w:sz w:val="25"/>
                <w:szCs w:val="25"/>
              </w:rPr>
              <w:t>zákona</w:t>
            </w:r>
            <w:r w:rsidRPr="00974C97">
              <w:rPr>
                <w:b/>
                <w:sz w:val="25"/>
                <w:szCs w:val="25"/>
              </w:rPr>
              <w:t>:</w:t>
            </w:r>
            <w:r w:rsidR="00632C56" w:rsidRPr="00974C97">
              <w:rPr>
                <w:sz w:val="25"/>
                <w:szCs w:val="25"/>
              </w:rPr>
              <w:t xml:space="preserve"> </w:t>
            </w:r>
            <w:r w:rsidR="0006178D">
              <w:rPr>
                <w:sz w:val="25"/>
                <w:szCs w:val="25"/>
              </w:rPr>
              <w:t xml:space="preserve">Zákon, </w:t>
            </w:r>
            <w:r w:rsidR="0006178D" w:rsidRPr="0006178D">
              <w:rPr>
                <w:sz w:val="25"/>
                <w:szCs w:val="25"/>
              </w:rPr>
              <w:t xml:space="preserve">ktorým sa mení a dopĺňa zákon č. </w:t>
            </w:r>
            <w:r w:rsidR="00DC01C1">
              <w:rPr>
                <w:sz w:val="25"/>
                <w:szCs w:val="25"/>
              </w:rPr>
              <w:t>396/2012 Z. z.</w:t>
            </w:r>
            <w:r w:rsidR="00DC01C1">
              <w:t xml:space="preserve"> </w:t>
            </w:r>
            <w:r w:rsidR="00DC01C1" w:rsidRPr="00DC01C1">
              <w:rPr>
                <w:sz w:val="25"/>
                <w:szCs w:val="25"/>
              </w:rPr>
              <w:t xml:space="preserve">o Fonde na podporu vzdelávania v znení neskorších predpisov </w:t>
            </w:r>
            <w:r w:rsidR="00DC01C1">
              <w:rPr>
                <w:sz w:val="25"/>
                <w:szCs w:val="25"/>
              </w:rPr>
              <w:t xml:space="preserve"> </w:t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0BAB83" w14:textId="77777777" w:rsidTr="006F3E6F">
        <w:tc>
          <w:tcPr>
            <w:tcW w:w="404" w:type="dxa"/>
          </w:tcPr>
          <w:p w14:paraId="565BF5EC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4F3BD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040B7E4C" w14:textId="77777777" w:rsidTr="006F3E6F">
        <w:tc>
          <w:tcPr>
            <w:tcW w:w="404" w:type="dxa"/>
          </w:tcPr>
          <w:p w14:paraId="55BF8E11" w14:textId="2073A5BB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4170E385" w:rsidR="001F0AA3" w:rsidRPr="004F3BD8" w:rsidRDefault="00976671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Predmet</w:t>
            </w:r>
            <w:r w:rsidR="001F0AA3" w:rsidRPr="004F3BD8">
              <w:rPr>
                <w:b/>
                <w:sz w:val="25"/>
                <w:szCs w:val="25"/>
              </w:rPr>
              <w:t xml:space="preserve"> návrhu </w:t>
            </w:r>
            <w:r w:rsidRPr="004F3BD8">
              <w:rPr>
                <w:b/>
                <w:sz w:val="25"/>
                <w:szCs w:val="25"/>
              </w:rPr>
              <w:t>zákona je upravený v práve Európskej únie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4F3BD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7735561D" w14:textId="77777777" w:rsidTr="006F3E6F">
        <w:tc>
          <w:tcPr>
            <w:tcW w:w="404" w:type="dxa"/>
          </w:tcPr>
          <w:p w14:paraId="47F8D49E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45F17D8F" w14:textId="4E564870" w:rsidR="0027077A" w:rsidRPr="00DC01C1" w:rsidRDefault="00976671" w:rsidP="00DB7D91">
            <w:pPr>
              <w:pStyle w:val="Odsekzoznamu"/>
              <w:numPr>
                <w:ilvl w:val="0"/>
                <w:numId w:val="8"/>
              </w:numPr>
              <w:ind w:left="483" w:hanging="426"/>
              <w:jc w:val="both"/>
              <w:divId w:val="549733345"/>
              <w:rPr>
                <w:i/>
                <w:sz w:val="25"/>
                <w:szCs w:val="25"/>
              </w:rPr>
            </w:pPr>
            <w:r w:rsidRPr="004F3BD8">
              <w:rPr>
                <w:sz w:val="25"/>
                <w:szCs w:val="25"/>
              </w:rPr>
              <w:t>v primárnom práve</w:t>
            </w:r>
          </w:p>
          <w:p w14:paraId="5F25C2F5" w14:textId="46B51BC7" w:rsidR="00DC01C1" w:rsidRDefault="00DC01C1" w:rsidP="00DC01C1">
            <w:pPr>
              <w:pStyle w:val="Odsekzoznamu"/>
              <w:ind w:left="483"/>
              <w:jc w:val="both"/>
              <w:divId w:val="549733345"/>
              <w:rPr>
                <w:i/>
                <w:sz w:val="25"/>
                <w:szCs w:val="25"/>
              </w:rPr>
            </w:pPr>
          </w:p>
          <w:p w14:paraId="2CF774EA" w14:textId="1627B495" w:rsidR="00DC01C1" w:rsidRPr="00DC01C1" w:rsidRDefault="00DC01C1" w:rsidP="00DC01C1">
            <w:pPr>
              <w:pStyle w:val="Odsekzoznamu"/>
              <w:jc w:val="both"/>
              <w:divId w:val="549733345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b/>
                <w:i/>
                <w:sz w:val="25"/>
                <w:szCs w:val="25"/>
              </w:rPr>
              <w:t>bezpredmetné</w:t>
            </w:r>
          </w:p>
          <w:p w14:paraId="4434B02E" w14:textId="1F030539" w:rsidR="0006178D" w:rsidRDefault="0006178D" w:rsidP="0006178D">
            <w:pPr>
              <w:pStyle w:val="Odsekzoznamu"/>
              <w:ind w:left="483"/>
              <w:jc w:val="both"/>
              <w:divId w:val="549733345"/>
              <w:rPr>
                <w:i/>
                <w:sz w:val="25"/>
                <w:szCs w:val="25"/>
              </w:rPr>
            </w:pPr>
          </w:p>
          <w:p w14:paraId="725EECD6" w14:textId="77777777" w:rsidR="00DC01C1" w:rsidRPr="00DC01C1" w:rsidRDefault="0027077A" w:rsidP="00DC01C1">
            <w:pPr>
              <w:pStyle w:val="Odsekzoznamu"/>
              <w:numPr>
                <w:ilvl w:val="0"/>
                <w:numId w:val="8"/>
              </w:numPr>
              <w:ind w:left="483" w:hanging="426"/>
              <w:jc w:val="both"/>
              <w:divId w:val="357434708"/>
              <w:rPr>
                <w:sz w:val="25"/>
                <w:szCs w:val="25"/>
              </w:rPr>
            </w:pPr>
            <w:r w:rsidRPr="004F3BD8">
              <w:rPr>
                <w:rFonts w:ascii="Times" w:hAnsi="Times" w:cs="Times"/>
                <w:iCs/>
                <w:sz w:val="25"/>
                <w:szCs w:val="25"/>
              </w:rPr>
              <w:t xml:space="preserve">sekundárnom </w:t>
            </w:r>
            <w:r w:rsidR="00976671" w:rsidRPr="004F3BD8">
              <w:rPr>
                <w:rFonts w:ascii="Times" w:hAnsi="Times" w:cs="Times"/>
                <w:iCs/>
                <w:sz w:val="25"/>
                <w:szCs w:val="25"/>
              </w:rPr>
              <w:t>práve</w:t>
            </w:r>
          </w:p>
          <w:p w14:paraId="3EB0B824" w14:textId="77777777" w:rsidR="00DC01C1" w:rsidRPr="00DC01C1" w:rsidRDefault="00DC01C1" w:rsidP="00DC01C1">
            <w:pPr>
              <w:pStyle w:val="Odsekzoznamu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5DE3403E" w14:textId="628974E4" w:rsidR="0023485C" w:rsidRPr="00DC01C1" w:rsidRDefault="00DC01C1" w:rsidP="00DC01C1">
            <w:pPr>
              <w:pStyle w:val="Odsekzoznamu"/>
              <w:jc w:val="both"/>
              <w:divId w:val="357434708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b/>
                <w:i/>
                <w:sz w:val="25"/>
                <w:szCs w:val="25"/>
              </w:rPr>
              <w:t>bezpredmetné</w:t>
            </w:r>
            <w:r w:rsidR="0027077A" w:rsidRPr="00DC01C1">
              <w:rPr>
                <w:rFonts w:ascii="Times" w:hAnsi="Times" w:cs="Times"/>
                <w:sz w:val="25"/>
                <w:szCs w:val="25"/>
              </w:rPr>
              <w:br/>
            </w:r>
          </w:p>
          <w:p w14:paraId="20F46682" w14:textId="1E84F927" w:rsidR="0023485C" w:rsidRPr="004F3BD8" w:rsidRDefault="00976671" w:rsidP="00DB7D91">
            <w:pPr>
              <w:pStyle w:val="Odsekzoznamu"/>
              <w:tabs>
                <w:tab w:val="left" w:pos="483"/>
              </w:tabs>
              <w:ind w:left="360" w:hanging="303"/>
              <w:rPr>
                <w:sz w:val="25"/>
                <w:szCs w:val="25"/>
              </w:rPr>
            </w:pPr>
            <w:r w:rsidRPr="004F3BD8">
              <w:rPr>
                <w:rFonts w:ascii="Times" w:hAnsi="Times" w:cs="Times"/>
                <w:iCs/>
                <w:sz w:val="25"/>
                <w:szCs w:val="25"/>
              </w:rPr>
              <w:t xml:space="preserve">c)   </w:t>
            </w:r>
            <w:r w:rsidR="0027077A" w:rsidRPr="004F3BD8">
              <w:rPr>
                <w:rFonts w:ascii="Times" w:hAnsi="Times" w:cs="Times"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4F3BD8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F3BD8" w:rsidRPr="004F3BD8" w14:paraId="343951D4" w14:textId="77777777" w:rsidTr="006F3E6F">
        <w:tc>
          <w:tcPr>
            <w:tcW w:w="404" w:type="dxa"/>
          </w:tcPr>
          <w:p w14:paraId="7289BFF9" w14:textId="77777777" w:rsidR="001F0AA3" w:rsidRPr="004F3BD8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DC02DED" w14:textId="2E29D06D" w:rsidR="0027077A" w:rsidRPr="004F3BD8" w:rsidRDefault="00214A6C" w:rsidP="00214A6C">
            <w:pPr>
              <w:pStyle w:val="Odsekzoznamu"/>
              <w:jc w:val="both"/>
              <w:divId w:val="2055762896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b/>
                <w:i/>
                <w:sz w:val="25"/>
                <w:szCs w:val="25"/>
              </w:rPr>
              <w:t>bezpredmetné</w:t>
            </w:r>
          </w:p>
          <w:p w14:paraId="10E820A7" w14:textId="685B5FB1" w:rsidR="0023485C" w:rsidRPr="004F3BD8" w:rsidRDefault="0023485C" w:rsidP="0027077A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4F3BD8" w14:paraId="45CE67F2" w14:textId="77777777" w:rsidTr="006F3E6F">
        <w:tc>
          <w:tcPr>
            <w:tcW w:w="404" w:type="dxa"/>
          </w:tcPr>
          <w:p w14:paraId="1604FD79" w14:textId="23987BD1" w:rsidR="001F0AA3" w:rsidRPr="004F3BD8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4F3BD8" w:rsidRDefault="006E1D9C" w:rsidP="0023485C">
            <w:pPr>
              <w:tabs>
                <w:tab w:val="left" w:pos="360"/>
              </w:tabs>
            </w:pPr>
          </w:p>
        </w:tc>
      </w:tr>
    </w:tbl>
    <w:p w14:paraId="12F1B196" w14:textId="59F16932" w:rsidR="0027077A" w:rsidRPr="004F3BD8" w:rsidRDefault="0027077A" w:rsidP="00814DF5">
      <w:pPr>
        <w:tabs>
          <w:tab w:val="left" w:pos="360"/>
        </w:tabs>
        <w:jc w:val="both"/>
      </w:pPr>
    </w:p>
    <w:p w14:paraId="2E7C4480" w14:textId="77777777" w:rsidR="00E50AF2" w:rsidRPr="004933E6" w:rsidRDefault="00E50AF2" w:rsidP="00E50AF2">
      <w:pPr>
        <w:tabs>
          <w:tab w:val="left" w:pos="360"/>
        </w:tabs>
        <w:jc w:val="both"/>
      </w:pPr>
      <w:r w:rsidRPr="004933E6">
        <w:rPr>
          <w:b/>
          <w:bCs/>
        </w:rPr>
        <w:t>Predmet návrhu právneho predpisu nie je v práve Európskej únie upravený, preto sa body 4 a 5 nevypĺňajú.</w:t>
      </w:r>
    </w:p>
    <w:p w14:paraId="0FF88273" w14:textId="705CB585" w:rsidR="003D0DA4" w:rsidRPr="004F3BD8" w:rsidRDefault="00E50AF2" w:rsidP="00814DF5">
      <w:pPr>
        <w:tabs>
          <w:tab w:val="left" w:pos="360"/>
        </w:tabs>
        <w:jc w:val="both"/>
      </w:pPr>
      <w:r>
        <w:t xml:space="preserve"> </w:t>
      </w:r>
      <w:bookmarkStart w:id="0" w:name="_GoBack"/>
      <w:bookmarkEnd w:id="0"/>
    </w:p>
    <w:sectPr w:rsidR="003D0DA4" w:rsidRPr="004F3B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D8"/>
    <w:multiLevelType w:val="hybridMultilevel"/>
    <w:tmpl w:val="5224B340"/>
    <w:lvl w:ilvl="0" w:tplc="71F06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D37"/>
    <w:multiLevelType w:val="hybridMultilevel"/>
    <w:tmpl w:val="FFE6CE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5967"/>
    <w:multiLevelType w:val="hybridMultilevel"/>
    <w:tmpl w:val="DDF82F0E"/>
    <w:lvl w:ilvl="0" w:tplc="222C5A9E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54456"/>
    <w:rsid w:val="0006178D"/>
    <w:rsid w:val="00090444"/>
    <w:rsid w:val="000C03E4"/>
    <w:rsid w:val="000C5887"/>
    <w:rsid w:val="00105C8D"/>
    <w:rsid w:val="00117A7E"/>
    <w:rsid w:val="001B687A"/>
    <w:rsid w:val="001D60ED"/>
    <w:rsid w:val="001F0AA3"/>
    <w:rsid w:val="0020025E"/>
    <w:rsid w:val="00214A6C"/>
    <w:rsid w:val="0023485C"/>
    <w:rsid w:val="0027077A"/>
    <w:rsid w:val="00293D5E"/>
    <w:rsid w:val="002B14DD"/>
    <w:rsid w:val="002E6AC0"/>
    <w:rsid w:val="003071CA"/>
    <w:rsid w:val="00333B31"/>
    <w:rsid w:val="003841E0"/>
    <w:rsid w:val="00386A8B"/>
    <w:rsid w:val="003D0DA4"/>
    <w:rsid w:val="003E5ED8"/>
    <w:rsid w:val="0042139B"/>
    <w:rsid w:val="00482868"/>
    <w:rsid w:val="004A3CCB"/>
    <w:rsid w:val="004B1E6E"/>
    <w:rsid w:val="004B5455"/>
    <w:rsid w:val="004E7F23"/>
    <w:rsid w:val="004F3BD8"/>
    <w:rsid w:val="00540FEA"/>
    <w:rsid w:val="00582FF8"/>
    <w:rsid w:val="00596545"/>
    <w:rsid w:val="00615A42"/>
    <w:rsid w:val="00632C56"/>
    <w:rsid w:val="00671BE2"/>
    <w:rsid w:val="006731F8"/>
    <w:rsid w:val="006C0FA0"/>
    <w:rsid w:val="006E1D9C"/>
    <w:rsid w:val="006F3E6F"/>
    <w:rsid w:val="0074595C"/>
    <w:rsid w:val="0074658F"/>
    <w:rsid w:val="00785F65"/>
    <w:rsid w:val="007B648C"/>
    <w:rsid w:val="007E2679"/>
    <w:rsid w:val="007F5B72"/>
    <w:rsid w:val="00814DF5"/>
    <w:rsid w:val="00824CCF"/>
    <w:rsid w:val="00847169"/>
    <w:rsid w:val="008570D4"/>
    <w:rsid w:val="008655C8"/>
    <w:rsid w:val="00884CD9"/>
    <w:rsid w:val="00893502"/>
    <w:rsid w:val="008D4418"/>
    <w:rsid w:val="008E2891"/>
    <w:rsid w:val="00914CA9"/>
    <w:rsid w:val="0095407F"/>
    <w:rsid w:val="00970F68"/>
    <w:rsid w:val="00974C97"/>
    <w:rsid w:val="00976671"/>
    <w:rsid w:val="009C63EB"/>
    <w:rsid w:val="00A6212B"/>
    <w:rsid w:val="00A86D7F"/>
    <w:rsid w:val="00AE72B3"/>
    <w:rsid w:val="00B128CD"/>
    <w:rsid w:val="00B326AA"/>
    <w:rsid w:val="00C12975"/>
    <w:rsid w:val="00C90146"/>
    <w:rsid w:val="00CA5D08"/>
    <w:rsid w:val="00CD1D52"/>
    <w:rsid w:val="00D032A1"/>
    <w:rsid w:val="00D14B99"/>
    <w:rsid w:val="00D465F6"/>
    <w:rsid w:val="00D5344B"/>
    <w:rsid w:val="00D67A54"/>
    <w:rsid w:val="00D7275F"/>
    <w:rsid w:val="00D75FDD"/>
    <w:rsid w:val="00D7776C"/>
    <w:rsid w:val="00DB3DB1"/>
    <w:rsid w:val="00DB7D91"/>
    <w:rsid w:val="00DC01C1"/>
    <w:rsid w:val="00DC377E"/>
    <w:rsid w:val="00DC3BFE"/>
    <w:rsid w:val="00DF3806"/>
    <w:rsid w:val="00E50AF2"/>
    <w:rsid w:val="00E85F6B"/>
    <w:rsid w:val="00E979BF"/>
    <w:rsid w:val="00EC5BF8"/>
    <w:rsid w:val="00FA1E89"/>
    <w:rsid w:val="00FA32F7"/>
    <w:rsid w:val="00FD1BA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5B0540B-7DEF-46A0-BDDD-1BC7BF5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B7D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-doložka-zlučiteľnosti"/>
    <f:field ref="objsubject" par="" edit="true" text=""/>
    <f:field ref="objcreatedby" par="" text="Strmenská, Andrea"/>
    <f:field ref="objcreatedat" par="" text="15.7.2020 14:00:48"/>
    <f:field ref="objchangedby" par="" text="Administrator, System"/>
    <f:field ref="objmodifiedat" par="" text="15.7.2020 14:00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B45BFA-E311-4664-947E-9568940D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Katarína Cabalová</cp:lastModifiedBy>
  <cp:revision>2</cp:revision>
  <cp:lastPrinted>2019-08-20T11:01:00Z</cp:lastPrinted>
  <dcterms:created xsi:type="dcterms:W3CDTF">2022-02-22T07:40:00Z</dcterms:created>
  <dcterms:modified xsi:type="dcterms:W3CDTF">2022-02-22T07:40:00Z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COO.2145.1000.3.3933131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Andrea Strmenská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422/2015 Z. z. o uznávaní dokladov o vzdelaní a o uznávaní odborných kvalifikácií a o zmene a doplnení niektorých zákonov v znení neskorších predpisov a ktorým sa mení a dopĺňa zákon Slovenskej národnej rady č. 138/1992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Odôvodnené stanovisko Európskej komisie č. 2018/2304 C(2019) 8498 final</vt:lpwstr>
  </property>
  <property fmtid="{D5CDD505-2E9C-101B-9397-08002B2CF9AE}" pid="18" name="FSC#SKEDITIONSLOVLEX@103.510:plnynazovpredpis">
    <vt:lpwstr> Zákon, ktorým sa mení a dopĺňa zákon č. 422/2015 Z. z. o uznávaní dokladov o vzdelaní a o uznávaní odborných kvalifikácií a o zmene a doplnení niektorých zákonov v znení neskorších predpisov a ktorým sa mení a dopĺňa zákon Slovenskej národnej rady č. 138</vt:lpwstr>
  </property>
  <property fmtid="{D5CDD505-2E9C-101B-9397-08002B2CF9AE}" pid="19" name="FSC#SKEDITIONSLOVLEX@103.510:rezortcislopredpis">
    <vt:lpwstr>spis č. 2020/13413-A1810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LP/2020/279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 čl. 4 ods. 2 písm. a), čl. 45, 49, 56, 78, 79 a 165 a Hlava V Priestor slobody, bezpečnosti a spravodlivosti, Kapitola 1 Všeobecné ustanovenia, Kapitola 2 Politiky vzťahujúce sa na hraničné kontroly, azyl a prisťahovalect</vt:lpwstr>
  </property>
  <property fmtid="{D5CDD505-2E9C-101B-9397-08002B2CF9AE}" pid="39" name="FSC#SKEDITIONSLOVLEX@103.510:AttrStrListDocPropSekundarneLegPravoPO">
    <vt:lpwstr>Smernica Európskeho parlamentu a Rady 2005/36/ES zo 7. septembra 2005 o uznávaní odborných kvalifikácií (Ú. v. EÚ L 255, 30.9. 2005) v platnom znení; gestor Ministerstvo školstva, vedy, výskumu a športu Slovenskej republiky_x000d_
Smernica Európskeho parlamentu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rozhodnutie Súdneho dvora Európskych spoločenstiev vo veci C- 238/98 Hugo Fernando Hocsman proti Ministre de l'Emploi et de la Solidarité, 2000 Zb. roz. ESD (I-06623) - Článok 52 Zmluvy o Európskom Spoločenstve ( teraz článok 43 ES) sa má vykladať v tom</vt:lpwstr>
  </property>
  <property fmtid="{D5CDD505-2E9C-101B-9397-08002B2CF9AE}" pid="44" name="FSC#SKEDITIONSLOVLEX@103.510:AttrStrListDocPropLehotaPrebratieSmernice">
    <vt:lpwstr>Lehota na prebratie smernice Európskeho parlamentu a Rady 2005/36/ES zo 7. septembra 2005 o uznávaní odborných kvalifikácií je do 20. októbra 2007. Lehota na prebratie smernice Európskeho parlamentu a Rady 2013/55/EÚ z 20. novembra 2013, ktorou sa mení sm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Ku dňu predloženia návrhu zákona v oblasti jeho právnej úpravy_x000d_
- nebolo začaté konanie v rámci „EÚ Pilot“_x000d_
- bol začatý postup Európskej komisie podľa čl. 258 a 260 Zmluvy o fungovaní Európskej únie v jej platnom znení,_x000d_
• porušenie č. 2018/2183 C(2019) </vt:lpwstr>
  </property>
  <property fmtid="{D5CDD505-2E9C-101B-9397-08002B2CF9AE}" pid="47" name="FSC#SKEDITIONSLOVLEX@103.510:AttrStrListDocPropInfoUzPreberanePP">
    <vt:lpwstr>Smernica Európskeho parlamentu a Rady 2005/36/ES bola prebratá do_x000d_
- zákona č. 422/2015 Z. z. o uznávaní dokladov o vzdelaní a o uznávaní odborných kvalifikácii a o zmene a doplnení niektorých zákonov, _x000d_
- zákona č. 576/2004 Z. z. o zdravotnej starostlivo</vt:lpwstr>
  </property>
  <property fmtid="{D5CDD505-2E9C-101B-9397-08002B2CF9AE}" pid="48" name="FSC#SKEDITIONSLOVLEX@103.510:AttrStrListDocPropStupenZlucitelnostiPP">
    <vt:lpwstr>čiastočne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Alternatívnym riešením je nulový variant, t. j. neprijatie právneho predpisu, čo by znamenalo, že právne predpisy by boli v rozpore so smernicou Európskeho parlamentu a Rady 2005/36/ES zo 7. septembra 2005 o uznávaní odborných kvalifikácií v platnom znení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 sa predkladá na základe úlohy na mesiac august návrhu Plánu legislatívnych úloh vlády Slovenskej republiky na rok 2020. Cieľom návrhu zákona je odstrániť výhrady Európskej komisie uvedené v odôvodnenom stanovis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justify;"&gt;Návrh zákona nadväzuje na legislatívny proces, o ktorom bola verejnosť informovaná prostredníctvom predbežnej informácie č. PI/2019/144 zverejnenej v informačnom systéme verejnej správy Slov-Lex&amp;nbsp;a&amp;nbsp;na odôvodnené 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Zb. o autorizovaných architektoch a autorizovaných stavebných inžinieroch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/1992 Zb. o autorizovaných architektoch a autorizovaných stavebných inžinieroch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15. 7. 2020</vt:lpwstr>
  </property>
</Properties>
</file>