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D029C" w14:textId="77777777" w:rsidR="00C83F4D" w:rsidRPr="001D7269" w:rsidRDefault="00C83F4D" w:rsidP="00C83F4D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D ô v o d o v á   s p r á v a</w:t>
      </w:r>
    </w:p>
    <w:p w14:paraId="204A0C57" w14:textId="77777777" w:rsidR="00C83F4D" w:rsidRPr="001D7269" w:rsidRDefault="00C83F4D" w:rsidP="00C83F4D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A. Všeobecná časť</w:t>
      </w:r>
    </w:p>
    <w:p w14:paraId="53C82E36" w14:textId="77777777" w:rsidR="00C83F4D" w:rsidRPr="00DD4C05" w:rsidRDefault="00C83F4D" w:rsidP="00C83F4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3"/>
          <w:szCs w:val="23"/>
          <w:lang w:eastAsia="sk-SK"/>
        </w:rPr>
      </w:pPr>
    </w:p>
    <w:p w14:paraId="41A1A7D5" w14:textId="77777777" w:rsidR="00C83F4D" w:rsidRPr="00DD4C05" w:rsidRDefault="00C83F4D" w:rsidP="00C83F4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3"/>
          <w:szCs w:val="23"/>
          <w:lang w:eastAsia="sk-SK"/>
        </w:rPr>
      </w:pPr>
      <w:r w:rsidRPr="00DD4C05">
        <w:rPr>
          <w:rFonts w:eastAsia="Times New Roman"/>
          <w:sz w:val="23"/>
          <w:szCs w:val="23"/>
          <w:lang w:eastAsia="sk-SK"/>
        </w:rPr>
        <w:t>Návrh</w:t>
      </w:r>
      <w:r w:rsidRPr="00DD4C05">
        <w:rPr>
          <w:rFonts w:eastAsia="Times New Roman"/>
          <w:spacing w:val="92"/>
          <w:sz w:val="23"/>
          <w:szCs w:val="23"/>
          <w:lang w:eastAsia="sk-SK"/>
        </w:rPr>
        <w:t xml:space="preserve"> </w:t>
      </w:r>
      <w:r w:rsidRPr="00DD4C05">
        <w:rPr>
          <w:rFonts w:eastAsia="Times New Roman"/>
          <w:sz w:val="23"/>
          <w:szCs w:val="23"/>
          <w:lang w:eastAsia="sk-SK"/>
        </w:rPr>
        <w:t>zákona,</w:t>
      </w:r>
      <w:r w:rsidRPr="00DD4C05">
        <w:rPr>
          <w:rFonts w:eastAsia="Times New Roman"/>
          <w:spacing w:val="92"/>
          <w:sz w:val="23"/>
          <w:szCs w:val="23"/>
          <w:lang w:eastAsia="sk-SK"/>
        </w:rPr>
        <w:t xml:space="preserve"> </w:t>
      </w:r>
      <w:r w:rsidRPr="00DD4C05">
        <w:t xml:space="preserve">ktorým sa dopĺňa zákon č. 67/2020 Z. z. o niektorých mimoriadnych opatreniach vo finančnej oblasti v súvislosti so šírením nebezpečnej nákazlivej ľudskej choroby COVID-19 v znení neskorších predpisov </w:t>
      </w:r>
      <w:r w:rsidRPr="00DD4C05">
        <w:rPr>
          <w:rFonts w:eastAsia="Times New Roman"/>
          <w:sz w:val="23"/>
          <w:szCs w:val="23"/>
          <w:lang w:eastAsia="sk-SK"/>
        </w:rPr>
        <w:t xml:space="preserve">predkladajú na rokovanie Národnej rady Slovenskej republiky poslanci Národnej rady Slovenskej republiky Marián Viskupič, Jarmila </w:t>
      </w:r>
      <w:proofErr w:type="spellStart"/>
      <w:r w:rsidRPr="00DD4C05">
        <w:rPr>
          <w:rFonts w:eastAsia="Times New Roman"/>
          <w:sz w:val="23"/>
          <w:szCs w:val="23"/>
          <w:lang w:eastAsia="sk-SK"/>
        </w:rPr>
        <w:t>Halgašová</w:t>
      </w:r>
      <w:proofErr w:type="spellEnd"/>
      <w:r w:rsidRPr="00DD4C05">
        <w:rPr>
          <w:rFonts w:eastAsia="Times New Roman"/>
          <w:sz w:val="23"/>
          <w:szCs w:val="23"/>
          <w:lang w:eastAsia="sk-SK"/>
        </w:rPr>
        <w:t xml:space="preserve"> a Peter </w:t>
      </w:r>
      <w:proofErr w:type="spellStart"/>
      <w:r w:rsidRPr="00DD4C05">
        <w:rPr>
          <w:rFonts w:eastAsia="Times New Roman"/>
          <w:sz w:val="23"/>
          <w:szCs w:val="23"/>
          <w:lang w:eastAsia="sk-SK"/>
        </w:rPr>
        <w:t>Cmorej</w:t>
      </w:r>
      <w:proofErr w:type="spellEnd"/>
      <w:r w:rsidRPr="00DD4C05">
        <w:rPr>
          <w:rFonts w:eastAsia="Times New Roman"/>
          <w:sz w:val="23"/>
          <w:szCs w:val="23"/>
          <w:lang w:eastAsia="sk-SK"/>
        </w:rPr>
        <w:t>.</w:t>
      </w:r>
    </w:p>
    <w:p w14:paraId="71B06487" w14:textId="77777777" w:rsidR="00C83F4D" w:rsidRPr="00DD4C05" w:rsidRDefault="00C83F4D" w:rsidP="00C83F4D">
      <w:pPr>
        <w:spacing w:after="0" w:line="240" w:lineRule="auto"/>
        <w:ind w:firstLine="567"/>
        <w:jc w:val="both"/>
        <w:rPr>
          <w:rFonts w:eastAsia="Times New Roman"/>
          <w:sz w:val="23"/>
          <w:szCs w:val="23"/>
          <w:lang w:eastAsia="sk-SK"/>
        </w:rPr>
      </w:pPr>
    </w:p>
    <w:p w14:paraId="170D7A31" w14:textId="77777777" w:rsidR="00C83F4D" w:rsidRPr="00DD4C05" w:rsidRDefault="00C83F4D" w:rsidP="00C83F4D">
      <w:pPr>
        <w:spacing w:after="0" w:line="240" w:lineRule="auto"/>
        <w:ind w:firstLine="709"/>
        <w:jc w:val="both"/>
        <w:rPr>
          <w:rFonts w:eastAsia="Times New Roman"/>
        </w:rPr>
      </w:pPr>
      <w:r w:rsidRPr="00DD4C05">
        <w:rPr>
          <w:rFonts w:eastAsia="Times New Roman"/>
        </w:rPr>
        <w:t>Cieľom predkladaného návrhu zákona je posun lehoty úhrady odvodov z prevádzkovania hazardných hier v mesiaci apríl 2022 na august 2022 a odvodov, lehota úhrady ktorých uplynie od účinnosti tohto zákona do konca augusta 2022 sa posunie do konca decembra 2022.</w:t>
      </w:r>
    </w:p>
    <w:p w14:paraId="7B157A0C" w14:textId="77777777" w:rsidR="00C83F4D" w:rsidRPr="00DD4C05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</w:p>
    <w:p w14:paraId="01F80CCF" w14:textId="77777777" w:rsidR="00C83F4D" w:rsidRPr="00DD4C05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  <w:r w:rsidRPr="00DD4C05">
        <w:rPr>
          <w:rFonts w:eastAsia="Times New Roman"/>
        </w:rPr>
        <w:t>Návrh zákona nemá vplyv na rozpočet verejnej správy, nemá žiadne sociálne vplyvy, ani vplyv na životné prostredie, na manželstvo, rodičovstvo a rodinu, na informatizáciu spoločnosti ani na služby verejnej správy pre občana. Návrh zákona bude mať pozitívny vplyv na podnikateľské prostredie.</w:t>
      </w:r>
    </w:p>
    <w:p w14:paraId="24100AC9" w14:textId="77777777" w:rsidR="00C83F4D" w:rsidRPr="00DD4C05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</w:p>
    <w:p w14:paraId="167A9399" w14:textId="77777777" w:rsidR="00C83F4D" w:rsidRPr="00DD4C05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  <w:r w:rsidRPr="00DD4C05">
        <w:rPr>
          <w:rFonts w:eastAsia="Times New Roman"/>
        </w:rPr>
        <w:t xml:space="preserve">Návrh zákona je v súlade s Ústavou Slovenskej republiky, zákonmi a ďalšími všeobecne záväznými právnymi predpismi, ako aj s medzinárodnými zmluvami a inými medzinárodnými dokumentmi, ktorými je Slovenská republika viazaná, a s právom Európskej únie. </w:t>
      </w:r>
    </w:p>
    <w:p w14:paraId="777CFF23" w14:textId="77777777" w:rsidR="00C83F4D" w:rsidRPr="00DD4C05" w:rsidRDefault="00C83F4D" w:rsidP="00C83F4D">
      <w:pPr>
        <w:rPr>
          <w:rFonts w:eastAsia="Times New Roman"/>
        </w:rPr>
      </w:pPr>
    </w:p>
    <w:p w14:paraId="1154E884" w14:textId="77777777" w:rsidR="00C83F4D" w:rsidRPr="00DD4C05" w:rsidRDefault="00C83F4D" w:rsidP="00C83F4D">
      <w:pPr>
        <w:rPr>
          <w:rFonts w:eastAsia="Times New Roman"/>
        </w:rPr>
      </w:pPr>
    </w:p>
    <w:p w14:paraId="0168BABE" w14:textId="77777777" w:rsidR="00C83F4D" w:rsidRPr="00DD4C05" w:rsidRDefault="00C83F4D" w:rsidP="00C83F4D">
      <w:pPr>
        <w:rPr>
          <w:rFonts w:eastAsia="Times New Roman"/>
        </w:rPr>
      </w:pPr>
    </w:p>
    <w:p w14:paraId="29D0B3A3" w14:textId="77777777" w:rsidR="00C83F4D" w:rsidRPr="00DD4C05" w:rsidRDefault="00C83F4D" w:rsidP="00C83F4D">
      <w:pPr>
        <w:pStyle w:val="Zkladntext2"/>
        <w:rPr>
          <w:sz w:val="23"/>
          <w:szCs w:val="23"/>
        </w:rPr>
      </w:pPr>
    </w:p>
    <w:p w14:paraId="468838ED" w14:textId="77777777" w:rsidR="00C83F4D" w:rsidRPr="00DD4C05" w:rsidRDefault="00C83F4D" w:rsidP="00C83F4D">
      <w:pPr>
        <w:spacing w:after="0" w:line="240" w:lineRule="auto"/>
        <w:ind w:firstLine="708"/>
        <w:jc w:val="both"/>
        <w:rPr>
          <w:rFonts w:eastAsia="Times New Roman"/>
          <w:sz w:val="23"/>
          <w:szCs w:val="23"/>
          <w:lang w:eastAsia="sk-SK"/>
        </w:rPr>
      </w:pPr>
    </w:p>
    <w:p w14:paraId="72FCB0BA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314C2CF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E826720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BBB0DFD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2149B2C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B91AEEA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EF02F3B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5F50DDAC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C54F769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2A44E83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464C97D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79928857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58559D6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7D40D54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4D103E42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33155A7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6AF9BD2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9F98AF3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5547DF2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5707572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65669A9" w14:textId="77777777" w:rsidR="00C83F4D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C204AAB" w14:textId="77777777" w:rsidR="00C83F4D" w:rsidRPr="001D7269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lastRenderedPageBreak/>
        <w:t xml:space="preserve">B. Osobitná časť </w:t>
      </w:r>
    </w:p>
    <w:p w14:paraId="6DDD4687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  <w:b/>
          <w:bCs/>
          <w:sz w:val="23"/>
          <w:szCs w:val="23"/>
          <w:lang w:eastAsia="sk-SK"/>
        </w:rPr>
      </w:pPr>
    </w:p>
    <w:p w14:paraId="5CE7A306" w14:textId="77777777" w:rsidR="00C83F4D" w:rsidRPr="00A833B4" w:rsidRDefault="00C83F4D" w:rsidP="00C83F4D">
      <w:pPr>
        <w:spacing w:after="0" w:line="240" w:lineRule="auto"/>
        <w:ind w:left="2832" w:hanging="2124"/>
        <w:jc w:val="both"/>
        <w:rPr>
          <w:rFonts w:eastAsia="Times New Roman"/>
          <w:b/>
          <w:bCs/>
        </w:rPr>
      </w:pPr>
      <w:r w:rsidRPr="00A833B4">
        <w:rPr>
          <w:rFonts w:eastAsia="Times New Roman"/>
          <w:b/>
          <w:bCs/>
        </w:rPr>
        <w:t>K Čl. I</w:t>
      </w:r>
    </w:p>
    <w:p w14:paraId="3D66124B" w14:textId="77777777" w:rsidR="00C83F4D" w:rsidRPr="00A833B4" w:rsidRDefault="00C83F4D" w:rsidP="00C83F4D">
      <w:pPr>
        <w:spacing w:after="0" w:line="240" w:lineRule="auto"/>
        <w:jc w:val="both"/>
        <w:rPr>
          <w:rFonts w:eastAsia="Times New Roman"/>
          <w:b/>
          <w:bCs/>
        </w:rPr>
      </w:pPr>
    </w:p>
    <w:p w14:paraId="0FD89D6B" w14:textId="77777777" w:rsidR="00C83F4D" w:rsidRPr="00A833B4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  <w:r w:rsidRPr="00A833B4">
        <w:rPr>
          <w:rFonts w:eastAsia="Times New Roman"/>
        </w:rPr>
        <w:t>Navrhovaná úprava zmierňuje negatívne dopady pandémie na prevádzkovateľov hazardných hier, ktorí poskytujú svoje služby v tejto oblasti.</w:t>
      </w:r>
    </w:p>
    <w:p w14:paraId="041BC101" w14:textId="77777777" w:rsidR="00C83F4D" w:rsidRPr="00A833B4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</w:p>
    <w:p w14:paraId="37C80081" w14:textId="77777777" w:rsidR="00C83F4D" w:rsidRPr="00A833B4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  <w:r w:rsidRPr="00A833B4">
        <w:rPr>
          <w:rFonts w:eastAsia="Times New Roman"/>
        </w:rPr>
        <w:t>Z dôvodu pandémie boli zatvorené prevádzky, resp. boli obmedzené prevádzkové hodiny, dôsledkom čoho prišli prevádzkovatelia hazardných hier, najmä</w:t>
      </w:r>
      <w:r w:rsidRPr="004D3BB0">
        <w:rPr>
          <w:rFonts w:eastAsia="Times New Roman"/>
          <w:highlight w:val="white"/>
        </w:rPr>
        <w:t xml:space="preserve"> prevádzkovatelia terminálov videohier, umiestnených v kamenných prevádzkach, o značné tržby.</w:t>
      </w:r>
    </w:p>
    <w:p w14:paraId="0EC83719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  <w:highlight w:val="white"/>
        </w:rPr>
      </w:pPr>
    </w:p>
    <w:p w14:paraId="31F67294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  <w:highlight w:val="white"/>
        </w:rPr>
      </w:pPr>
      <w:r w:rsidRPr="004D3BB0">
        <w:rPr>
          <w:rFonts w:eastAsia="Times New Roman"/>
          <w:highlight w:val="white"/>
        </w:rPr>
        <w:t>Títo podnikatelia odvádzajú do štátneho rozpočtu paušálne odvody za každý kus technického zariadenia v dvoch splátkach v priebehu roka (apríl a august), a to bez ohľadu na objektívnu skutočnosť, že mali povinne zatvorené prevádzky, resp. skrátený prevádzkový čas z dôvodu nariadených štátnych opatrení.</w:t>
      </w:r>
    </w:p>
    <w:p w14:paraId="56966FF5" w14:textId="77777777" w:rsidR="00C83F4D" w:rsidRPr="00A833B4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</w:p>
    <w:p w14:paraId="6451DBD3" w14:textId="77777777" w:rsidR="00C83F4D" w:rsidRPr="00A833B4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  <w:r w:rsidRPr="004D3BB0">
        <w:rPr>
          <w:rFonts w:eastAsia="Times New Roman"/>
          <w:highlight w:val="white"/>
        </w:rPr>
        <w:t xml:space="preserve">Predloženým návrhom (odsek 1) sa umožní úhrada odvodov podľa aktuálnej finančnej situácie prevádzkovateľov hazardných hier. Navrhuje sa </w:t>
      </w:r>
      <w:r w:rsidRPr="00A833B4">
        <w:rPr>
          <w:rFonts w:eastAsia="Times New Roman"/>
        </w:rPr>
        <w:t xml:space="preserve">posun lehoty úhrady odvodov z prevádzkovania hazardných hier v mesiaci apríl 2022 na august 2022 a odvodov, lehota úhrady ktorých </w:t>
      </w:r>
      <w:r w:rsidRPr="004D3BB0">
        <w:rPr>
          <w:rFonts w:eastAsia="Times New Roman"/>
        </w:rPr>
        <w:t xml:space="preserve">uplynie od účinnosti tohto zákona do konca augusta 2022 sa posunie do konca </w:t>
      </w:r>
      <w:r w:rsidRPr="00A833B4">
        <w:rPr>
          <w:rFonts w:eastAsia="Times New Roman"/>
        </w:rPr>
        <w:t xml:space="preserve">decembra 2022. </w:t>
      </w:r>
      <w:r w:rsidRPr="004D3BB0">
        <w:rPr>
          <w:rFonts w:eastAsia="Times New Roman"/>
          <w:highlight w:val="white"/>
        </w:rPr>
        <w:t>Za odklad úhrady odvodov sa stanovuje úrok podľa pravidiel Európskej komisie.</w:t>
      </w:r>
    </w:p>
    <w:p w14:paraId="336B14FB" w14:textId="77777777" w:rsidR="00C83F4D" w:rsidRPr="004D3BB0" w:rsidRDefault="00C83F4D" w:rsidP="00C83F4D">
      <w:pPr>
        <w:spacing w:after="0" w:line="240" w:lineRule="auto"/>
        <w:jc w:val="both"/>
        <w:rPr>
          <w:rFonts w:eastAsia="Times New Roman"/>
          <w:highlight w:val="white"/>
        </w:rPr>
      </w:pPr>
    </w:p>
    <w:p w14:paraId="2E10A72B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  <w:r w:rsidRPr="004D3BB0">
        <w:rPr>
          <w:rFonts w:eastAsia="Times New Roman"/>
        </w:rPr>
        <w:t>Odklad úhrady odvodov však bude umožnený všetkým prevádzkovateľom hazardných hier za komerčných podmienok, to znamená, že za obdobie odkladu budú povinní zaplatiť úrok podľa Oznámenia Komisie o revízii spôsobu stanovenia referenčných a diskontných sadzieb. Týmto postupom tak nebude týmto opatrením poskytovaná štátna ani minimálna pomoc.</w:t>
      </w:r>
    </w:p>
    <w:p w14:paraId="4FE9E91F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  <w:highlight w:val="white"/>
        </w:rPr>
      </w:pPr>
    </w:p>
    <w:p w14:paraId="5BA1358F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  <w:highlight w:val="white"/>
        </w:rPr>
      </w:pPr>
      <w:r w:rsidRPr="004D3BB0">
        <w:rPr>
          <w:rFonts w:eastAsia="Times New Roman"/>
          <w:highlight w:val="white"/>
        </w:rPr>
        <w:t xml:space="preserve">Takýto model úhrady odvodov bol zákonom upravený aj v roku 2020 a v podstate aj v roku 2021, kedy lehota úhrady odvodov bola posunutá do konca decembra 2021. </w:t>
      </w:r>
    </w:p>
    <w:p w14:paraId="52908CFC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  <w:highlight w:val="white"/>
          <w:u w:val="single"/>
        </w:rPr>
      </w:pPr>
    </w:p>
    <w:p w14:paraId="0E7D77D1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  <w:highlight w:val="white"/>
        </w:rPr>
      </w:pPr>
      <w:r w:rsidRPr="004D3BB0">
        <w:rPr>
          <w:rFonts w:eastAsia="Times New Roman"/>
          <w:highlight w:val="white"/>
        </w:rPr>
        <w:t>Toto opatrenie je pre prevádzkovateľov hazardných hier zásadné, pričom nebude mať  vplyv na štátny rozpočet. O</w:t>
      </w:r>
      <w:r w:rsidRPr="004D3BB0">
        <w:rPr>
          <w:rFonts w:eastAsia="Times New Roman"/>
        </w:rPr>
        <w:t>patrenie bude mať pozitívny vplyv na podnikateľské prostredie, pretože umožní prevádzkovateľom hazardných hier prekonať časový výpadok tržieb odložením záväzkov.</w:t>
      </w:r>
    </w:p>
    <w:p w14:paraId="7E6A3F59" w14:textId="77777777" w:rsidR="00C83F4D" w:rsidRPr="004D3BB0" w:rsidRDefault="00C83F4D" w:rsidP="00C83F4D">
      <w:pPr>
        <w:spacing w:after="0" w:line="240" w:lineRule="auto"/>
        <w:jc w:val="both"/>
        <w:rPr>
          <w:rFonts w:ascii="Calibri" w:eastAsia="Calibri" w:hAnsi="Calibri" w:cs="Calibri"/>
          <w:sz w:val="27"/>
          <w:szCs w:val="27"/>
        </w:rPr>
      </w:pPr>
    </w:p>
    <w:p w14:paraId="4D0D42E6" w14:textId="77777777" w:rsidR="00C83F4D" w:rsidRPr="004D3BB0" w:rsidRDefault="00C83F4D" w:rsidP="00C83F4D">
      <w:pPr>
        <w:spacing w:after="0" w:line="240" w:lineRule="auto"/>
        <w:ind w:firstLine="708"/>
        <w:jc w:val="both"/>
        <w:rPr>
          <w:rFonts w:eastAsia="Times New Roman"/>
        </w:rPr>
      </w:pPr>
      <w:r w:rsidRPr="004D3BB0">
        <w:rPr>
          <w:rFonts w:eastAsia="Times New Roman"/>
        </w:rPr>
        <w:t>Ustanovením odseku 2 sa zároveň zabezpečí, že doba presahujúca jeden mesiac, počas ktorej je prevádzkovateľ hazardnej hry v omeškaní s úhradou odvodu, a po uplynutí ktorej mu Úrad pre reguláciu hazardných hier môže siahnuť na finančnú zábezpeku podľa § 67 ods. 5 písm. f) prvého bodu zákona o hazardných hrách, sa začne počítať až od uplynutia lehoty na odklad úhrady odvodu podľa tohto zákona, to znamená až od 1. januára 2023.</w:t>
      </w:r>
    </w:p>
    <w:p w14:paraId="10CC5E47" w14:textId="77777777" w:rsidR="00C83F4D" w:rsidRPr="00DD4C05" w:rsidRDefault="00C83F4D" w:rsidP="00C83F4D">
      <w:pPr>
        <w:spacing w:after="0" w:line="240" w:lineRule="auto"/>
        <w:ind w:left="2832" w:hanging="2832"/>
        <w:jc w:val="both"/>
        <w:rPr>
          <w:rFonts w:eastAsia="Times New Roman"/>
          <w:b/>
          <w:bCs/>
        </w:rPr>
      </w:pPr>
    </w:p>
    <w:p w14:paraId="0B4992C7" w14:textId="77777777" w:rsidR="00C83F4D" w:rsidRPr="00DD4C05" w:rsidRDefault="00C83F4D" w:rsidP="00C83F4D">
      <w:pPr>
        <w:spacing w:after="0" w:line="240" w:lineRule="auto"/>
        <w:ind w:left="2832" w:hanging="2124"/>
        <w:jc w:val="both"/>
        <w:rPr>
          <w:rFonts w:eastAsia="Times New Roman"/>
          <w:b/>
          <w:bCs/>
        </w:rPr>
      </w:pPr>
      <w:r w:rsidRPr="00DD4C05">
        <w:rPr>
          <w:rFonts w:eastAsia="Times New Roman"/>
          <w:b/>
          <w:bCs/>
        </w:rPr>
        <w:t>K Čl. II.</w:t>
      </w:r>
    </w:p>
    <w:p w14:paraId="20908CA0" w14:textId="77777777" w:rsidR="00C83F4D" w:rsidRDefault="00C83F4D" w:rsidP="00C83F4D">
      <w:pPr>
        <w:spacing w:after="0" w:line="240" w:lineRule="auto"/>
        <w:ind w:left="2832" w:hanging="2832"/>
        <w:jc w:val="both"/>
        <w:rPr>
          <w:rFonts w:eastAsia="Times New Roman"/>
        </w:rPr>
      </w:pPr>
    </w:p>
    <w:p w14:paraId="646F8FAB" w14:textId="77777777" w:rsidR="00C83F4D" w:rsidRDefault="00C83F4D" w:rsidP="00C83F4D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  <w:t>Účinnosť zákona sa navrhuje dňom vyhlásenia.</w:t>
      </w:r>
    </w:p>
    <w:p w14:paraId="26E78025" w14:textId="77777777" w:rsidR="00C83F4D" w:rsidRPr="001D7269" w:rsidRDefault="00C83F4D" w:rsidP="00C83F4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1A2BC9EF" w14:textId="77777777" w:rsidR="00C83F4D" w:rsidRPr="001D7269" w:rsidRDefault="00C83F4D" w:rsidP="00C83F4D">
      <w:pPr>
        <w:spacing w:after="0" w:line="240" w:lineRule="auto"/>
        <w:ind w:firstLine="708"/>
        <w:jc w:val="both"/>
        <w:rPr>
          <w:sz w:val="23"/>
          <w:szCs w:val="23"/>
        </w:rPr>
      </w:pPr>
    </w:p>
    <w:p w14:paraId="1E835F06" w14:textId="77777777" w:rsidR="002D304D" w:rsidRPr="00C83F4D" w:rsidRDefault="002D304D" w:rsidP="00C83F4D"/>
    <w:sectPr w:rsidR="002D304D" w:rsidRPr="00C83F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F8F3" w14:textId="77777777" w:rsidR="00F11EAE" w:rsidRDefault="00F11EAE" w:rsidP="00ED5801">
      <w:pPr>
        <w:spacing w:after="0" w:line="240" w:lineRule="auto"/>
      </w:pPr>
      <w:r>
        <w:separator/>
      </w:r>
    </w:p>
  </w:endnote>
  <w:endnote w:type="continuationSeparator" w:id="0">
    <w:p w14:paraId="5FD4159A" w14:textId="77777777" w:rsidR="00F11EAE" w:rsidRDefault="00F11EAE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57F4F" w14:textId="77777777" w:rsidR="00F11EAE" w:rsidRDefault="00F11EAE" w:rsidP="00ED5801">
      <w:pPr>
        <w:spacing w:after="0" w:line="240" w:lineRule="auto"/>
      </w:pPr>
      <w:r>
        <w:separator/>
      </w:r>
    </w:p>
  </w:footnote>
  <w:footnote w:type="continuationSeparator" w:id="0">
    <w:p w14:paraId="7FAA9DF3" w14:textId="77777777" w:rsidR="00F11EAE" w:rsidRDefault="00F11EAE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713B3"/>
    <w:rsid w:val="00082B94"/>
    <w:rsid w:val="00082CCE"/>
    <w:rsid w:val="00083CA6"/>
    <w:rsid w:val="000A3C72"/>
    <w:rsid w:val="000B5F7C"/>
    <w:rsid w:val="000C7952"/>
    <w:rsid w:val="000F20BD"/>
    <w:rsid w:val="000F2ECC"/>
    <w:rsid w:val="000F6988"/>
    <w:rsid w:val="00131D67"/>
    <w:rsid w:val="001362BD"/>
    <w:rsid w:val="0014328A"/>
    <w:rsid w:val="00144279"/>
    <w:rsid w:val="001661C8"/>
    <w:rsid w:val="00174DF4"/>
    <w:rsid w:val="001A40FD"/>
    <w:rsid w:val="001B0C52"/>
    <w:rsid w:val="001B7D0D"/>
    <w:rsid w:val="001D3795"/>
    <w:rsid w:val="001D7269"/>
    <w:rsid w:val="001E2C8D"/>
    <w:rsid w:val="002069DD"/>
    <w:rsid w:val="002208E7"/>
    <w:rsid w:val="00223C5F"/>
    <w:rsid w:val="0022794D"/>
    <w:rsid w:val="00232EED"/>
    <w:rsid w:val="00261704"/>
    <w:rsid w:val="00295513"/>
    <w:rsid w:val="002B5F56"/>
    <w:rsid w:val="002D304D"/>
    <w:rsid w:val="002E5F36"/>
    <w:rsid w:val="003954E1"/>
    <w:rsid w:val="003B3659"/>
    <w:rsid w:val="003D1347"/>
    <w:rsid w:val="003D1D47"/>
    <w:rsid w:val="003E2A47"/>
    <w:rsid w:val="00445409"/>
    <w:rsid w:val="00454013"/>
    <w:rsid w:val="004E21F5"/>
    <w:rsid w:val="004F49BF"/>
    <w:rsid w:val="004F4FC4"/>
    <w:rsid w:val="005302E5"/>
    <w:rsid w:val="005461FA"/>
    <w:rsid w:val="00565F37"/>
    <w:rsid w:val="00604889"/>
    <w:rsid w:val="00621F55"/>
    <w:rsid w:val="00622A1A"/>
    <w:rsid w:val="0065539E"/>
    <w:rsid w:val="006D1A73"/>
    <w:rsid w:val="006D60AE"/>
    <w:rsid w:val="006E3EAE"/>
    <w:rsid w:val="006E48FD"/>
    <w:rsid w:val="00713A36"/>
    <w:rsid w:val="00720F54"/>
    <w:rsid w:val="00735BF8"/>
    <w:rsid w:val="00777385"/>
    <w:rsid w:val="00783EE4"/>
    <w:rsid w:val="007A1161"/>
    <w:rsid w:val="007A42E6"/>
    <w:rsid w:val="007B1B0B"/>
    <w:rsid w:val="007B4B40"/>
    <w:rsid w:val="007C2047"/>
    <w:rsid w:val="007E7389"/>
    <w:rsid w:val="007F233B"/>
    <w:rsid w:val="0081271F"/>
    <w:rsid w:val="00813170"/>
    <w:rsid w:val="00822B85"/>
    <w:rsid w:val="00823801"/>
    <w:rsid w:val="00871000"/>
    <w:rsid w:val="008C7028"/>
    <w:rsid w:val="008D38B2"/>
    <w:rsid w:val="00926F35"/>
    <w:rsid w:val="00942D27"/>
    <w:rsid w:val="009473E3"/>
    <w:rsid w:val="00980CE6"/>
    <w:rsid w:val="00994269"/>
    <w:rsid w:val="009A7EBA"/>
    <w:rsid w:val="009B5786"/>
    <w:rsid w:val="009D24AD"/>
    <w:rsid w:val="009F7788"/>
    <w:rsid w:val="00A03AF5"/>
    <w:rsid w:val="00A17B95"/>
    <w:rsid w:val="00A23636"/>
    <w:rsid w:val="00A25ABB"/>
    <w:rsid w:val="00A40CE6"/>
    <w:rsid w:val="00A45A59"/>
    <w:rsid w:val="00A914F6"/>
    <w:rsid w:val="00AD7374"/>
    <w:rsid w:val="00AE6176"/>
    <w:rsid w:val="00AE64D6"/>
    <w:rsid w:val="00AF2FEB"/>
    <w:rsid w:val="00B14A8A"/>
    <w:rsid w:val="00B504F9"/>
    <w:rsid w:val="00B520D0"/>
    <w:rsid w:val="00B52105"/>
    <w:rsid w:val="00B81F9E"/>
    <w:rsid w:val="00B935BA"/>
    <w:rsid w:val="00BB254B"/>
    <w:rsid w:val="00BD0A69"/>
    <w:rsid w:val="00BD27E1"/>
    <w:rsid w:val="00BF3269"/>
    <w:rsid w:val="00C47548"/>
    <w:rsid w:val="00C51938"/>
    <w:rsid w:val="00C568F0"/>
    <w:rsid w:val="00C6333E"/>
    <w:rsid w:val="00C811F2"/>
    <w:rsid w:val="00C83F4D"/>
    <w:rsid w:val="00C9310A"/>
    <w:rsid w:val="00CA2A54"/>
    <w:rsid w:val="00CD17DE"/>
    <w:rsid w:val="00D05B18"/>
    <w:rsid w:val="00D134CD"/>
    <w:rsid w:val="00D22433"/>
    <w:rsid w:val="00D438FC"/>
    <w:rsid w:val="00D74C6F"/>
    <w:rsid w:val="00DA4CA3"/>
    <w:rsid w:val="00DA7AEF"/>
    <w:rsid w:val="00DC4ECF"/>
    <w:rsid w:val="00DD0327"/>
    <w:rsid w:val="00DD15D9"/>
    <w:rsid w:val="00DD220B"/>
    <w:rsid w:val="00DD4C05"/>
    <w:rsid w:val="00DE0A66"/>
    <w:rsid w:val="00DE6291"/>
    <w:rsid w:val="00DF2228"/>
    <w:rsid w:val="00E020A2"/>
    <w:rsid w:val="00E13359"/>
    <w:rsid w:val="00E273D6"/>
    <w:rsid w:val="00E52D7A"/>
    <w:rsid w:val="00E67D16"/>
    <w:rsid w:val="00ED5801"/>
    <w:rsid w:val="00F11EAE"/>
    <w:rsid w:val="00F17BFB"/>
    <w:rsid w:val="00F524F8"/>
    <w:rsid w:val="00F90457"/>
    <w:rsid w:val="00FB3F3A"/>
    <w:rsid w:val="00FC1AD6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1362BD"/>
    <w:pPr>
      <w:spacing w:after="0" w:line="240" w:lineRule="auto"/>
      <w:jc w:val="both"/>
    </w:pPr>
    <w:rPr>
      <w:rFonts w:eastAsia="Times New Roman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62BD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DC4ECF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C4ECF"/>
    <w:rPr>
      <w:rFonts w:ascii="Calibri" w:hAnsi="Calibri" w:cstheme="minorBidi"/>
      <w:sz w:val="22"/>
      <w:szCs w:val="21"/>
    </w:rPr>
  </w:style>
  <w:style w:type="paragraph" w:styleId="Zarkazkladnhotextu">
    <w:name w:val="Body Text Indent"/>
    <w:basedOn w:val="Normlny"/>
    <w:link w:val="ZarkazkladnhotextuChar"/>
    <w:uiPriority w:val="99"/>
    <w:rsid w:val="00DC4ECF"/>
    <w:pPr>
      <w:spacing w:after="120" w:line="240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C4ECF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16</cp:revision>
  <cp:lastPrinted>2020-12-17T09:22:00Z</cp:lastPrinted>
  <dcterms:created xsi:type="dcterms:W3CDTF">2022-02-24T13:13:00Z</dcterms:created>
  <dcterms:modified xsi:type="dcterms:W3CDTF">2022-02-25T10:45:00Z</dcterms:modified>
</cp:coreProperties>
</file>