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39" w:rsidRPr="00F95045" w:rsidRDefault="00903239" w:rsidP="00903239">
      <w:pPr>
        <w:jc w:val="center"/>
        <w:rPr>
          <w:rFonts w:ascii="Times New Roman" w:eastAsia="Times New Roman" w:hAnsi="Times New Roman"/>
          <w:b/>
          <w:bCs/>
          <w:spacing w:val="10"/>
          <w:sz w:val="32"/>
          <w:szCs w:val="32"/>
          <w:lang w:eastAsia="cs-CZ"/>
        </w:rPr>
      </w:pPr>
      <w:r w:rsidRPr="00F95045">
        <w:rPr>
          <w:rFonts w:ascii="Times New Roman" w:eastAsia="Times New Roman" w:hAnsi="Times New Roman"/>
          <w:b/>
          <w:bCs/>
          <w:spacing w:val="10"/>
          <w:sz w:val="32"/>
          <w:szCs w:val="32"/>
          <w:lang w:eastAsia="cs-CZ"/>
        </w:rPr>
        <w:t>NÁRODNÁ RADA SLOVENSKEJ REPUBLIKY</w:t>
      </w:r>
    </w:p>
    <w:p w:rsidR="00903239" w:rsidRDefault="00903239" w:rsidP="00903239">
      <w:pPr>
        <w:jc w:val="center"/>
        <w:rPr>
          <w:rFonts w:ascii="Times New Roman" w:eastAsia="Times New Roman" w:hAnsi="Times New Roman"/>
          <w:b/>
          <w:bCs/>
          <w:spacing w:val="10"/>
          <w:lang w:eastAsia="cs-CZ"/>
        </w:rPr>
      </w:pPr>
    </w:p>
    <w:p w:rsidR="00903239" w:rsidRPr="00F95045" w:rsidRDefault="00903239" w:rsidP="00903239">
      <w:pPr>
        <w:jc w:val="center"/>
        <w:rPr>
          <w:rFonts w:ascii="Times New Roman" w:eastAsia="Times New Roman" w:hAnsi="Times New Roman"/>
          <w:b/>
          <w:bCs/>
          <w:spacing w:val="10"/>
          <w:lang w:eastAsia="cs-CZ"/>
        </w:rPr>
      </w:pPr>
      <w:r w:rsidRPr="00F95045">
        <w:rPr>
          <w:rFonts w:ascii="Times New Roman" w:eastAsia="Times New Roman" w:hAnsi="Times New Roman"/>
          <w:b/>
          <w:bCs/>
          <w:spacing w:val="10"/>
          <w:lang w:eastAsia="cs-CZ"/>
        </w:rPr>
        <w:t>VIII. volebné obdobie</w:t>
      </w:r>
    </w:p>
    <w:p w:rsidR="00903239" w:rsidRPr="00D9460F" w:rsidRDefault="00903239" w:rsidP="00903239">
      <w:pPr>
        <w:jc w:val="center"/>
        <w:rPr>
          <w:rFonts w:ascii="Times New Roman" w:eastAsia="Times New Roman" w:hAnsi="Times New Roman"/>
          <w:b/>
          <w:bCs/>
          <w:spacing w:val="10"/>
          <w:sz w:val="24"/>
          <w:szCs w:val="24"/>
          <w:lang w:eastAsia="cs-CZ"/>
        </w:rPr>
      </w:pPr>
      <w:r w:rsidRPr="00D9460F">
        <w:rPr>
          <w:rFonts w:ascii="Times New Roman" w:eastAsia="Times New Roman" w:hAnsi="Times New Roman"/>
          <w:b/>
          <w:bCs/>
          <w:spacing w:val="10"/>
          <w:sz w:val="24"/>
          <w:szCs w:val="24"/>
          <w:lang w:eastAsia="cs-CZ"/>
        </w:rPr>
        <w:t>________________________________________________________________</w:t>
      </w:r>
    </w:p>
    <w:p w:rsidR="00903239" w:rsidRPr="00D9460F" w:rsidRDefault="00903239" w:rsidP="00903239">
      <w:pPr>
        <w:jc w:val="center"/>
        <w:rPr>
          <w:rFonts w:ascii="Times New Roman" w:eastAsia="Times New Roman" w:hAnsi="Times New Roman"/>
          <w:b/>
          <w:bCs/>
          <w:spacing w:val="10"/>
          <w:sz w:val="24"/>
          <w:szCs w:val="24"/>
          <w:lang w:eastAsia="cs-CZ"/>
        </w:rPr>
      </w:pPr>
    </w:p>
    <w:p w:rsidR="00903239" w:rsidRPr="00D9460F" w:rsidRDefault="00903239" w:rsidP="00903239">
      <w:pPr>
        <w:jc w:val="center"/>
        <w:rPr>
          <w:rFonts w:ascii="Times New Roman" w:eastAsia="Times New Roman" w:hAnsi="Times New Roman"/>
          <w:bCs/>
          <w:spacing w:val="10"/>
          <w:sz w:val="24"/>
          <w:szCs w:val="24"/>
          <w:lang w:eastAsia="cs-CZ"/>
        </w:rPr>
      </w:pPr>
    </w:p>
    <w:p w:rsidR="00903239" w:rsidRPr="00F95045" w:rsidRDefault="00673F2C" w:rsidP="00AF30E5">
      <w:pPr>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919</w:t>
      </w:r>
    </w:p>
    <w:p w:rsidR="00903239" w:rsidRPr="00F95045" w:rsidRDefault="00903239" w:rsidP="00AF30E5">
      <w:pPr>
        <w:jc w:val="center"/>
        <w:rPr>
          <w:rFonts w:ascii="Times New Roman" w:eastAsia="Times New Roman" w:hAnsi="Times New Roman"/>
          <w:b/>
          <w:bCs/>
          <w:spacing w:val="10"/>
          <w:sz w:val="24"/>
          <w:szCs w:val="24"/>
          <w:lang w:eastAsia="cs-CZ"/>
        </w:rPr>
      </w:pPr>
    </w:p>
    <w:p w:rsidR="00903239" w:rsidRPr="00903239" w:rsidRDefault="00903239" w:rsidP="00AF30E5">
      <w:pPr>
        <w:jc w:val="center"/>
        <w:rPr>
          <w:rFonts w:ascii="Times New Roman" w:eastAsia="Times New Roman" w:hAnsi="Times New Roman"/>
          <w:b/>
          <w:bCs/>
          <w:spacing w:val="10"/>
          <w:sz w:val="24"/>
          <w:szCs w:val="24"/>
          <w:lang w:eastAsia="cs-CZ"/>
        </w:rPr>
      </w:pPr>
      <w:r w:rsidRPr="00903239">
        <w:rPr>
          <w:rFonts w:ascii="Times New Roman" w:eastAsia="Times New Roman" w:hAnsi="Times New Roman"/>
          <w:b/>
          <w:bCs/>
          <w:spacing w:val="10"/>
          <w:sz w:val="24"/>
          <w:szCs w:val="24"/>
          <w:lang w:eastAsia="cs-CZ"/>
        </w:rPr>
        <w:t>VLÁDNY NÁVRH</w:t>
      </w:r>
    </w:p>
    <w:p w:rsidR="00903239" w:rsidRPr="00903239" w:rsidRDefault="00903239" w:rsidP="00AF30E5">
      <w:pPr>
        <w:shd w:val="clear" w:color="auto" w:fill="FFFFFF"/>
        <w:jc w:val="center"/>
        <w:rPr>
          <w:rFonts w:ascii="Times New Roman" w:hAnsi="Times New Roman"/>
          <w:b/>
          <w:sz w:val="24"/>
          <w:szCs w:val="24"/>
        </w:rPr>
      </w:pPr>
    </w:p>
    <w:p w:rsidR="00903239" w:rsidRPr="00903239" w:rsidRDefault="00903239" w:rsidP="00AF30E5">
      <w:pPr>
        <w:contextualSpacing/>
        <w:jc w:val="center"/>
        <w:rPr>
          <w:rFonts w:ascii="Times New Roman" w:eastAsia="Times New Roman" w:hAnsi="Times New Roman"/>
          <w:b/>
          <w:sz w:val="24"/>
          <w:szCs w:val="24"/>
        </w:rPr>
      </w:pPr>
      <w:r w:rsidRPr="00903239">
        <w:rPr>
          <w:rFonts w:ascii="Times New Roman" w:eastAsia="Times New Roman" w:hAnsi="Times New Roman"/>
          <w:b/>
          <w:sz w:val="24"/>
          <w:szCs w:val="24"/>
        </w:rPr>
        <w:t>ZÁKON</w:t>
      </w:r>
    </w:p>
    <w:p w:rsidR="000E26C1" w:rsidRPr="00903239" w:rsidRDefault="000E26C1" w:rsidP="00AF30E5">
      <w:pPr>
        <w:jc w:val="center"/>
        <w:rPr>
          <w:rFonts w:ascii="Times New Roman" w:eastAsia="Calibri" w:hAnsi="Times New Roman" w:cs="Times New Roman"/>
          <w:b/>
          <w:sz w:val="24"/>
          <w:szCs w:val="24"/>
        </w:rPr>
      </w:pPr>
    </w:p>
    <w:p w:rsidR="000E26C1" w:rsidRPr="00903239" w:rsidRDefault="000E26C1" w:rsidP="00AF30E5">
      <w:pPr>
        <w:jc w:val="center"/>
        <w:rPr>
          <w:rFonts w:ascii="Times New Roman" w:eastAsia="Calibri" w:hAnsi="Times New Roman" w:cs="Times New Roman"/>
          <w:b/>
          <w:sz w:val="24"/>
          <w:szCs w:val="24"/>
        </w:rPr>
      </w:pPr>
      <w:r w:rsidRPr="00903239">
        <w:rPr>
          <w:rFonts w:ascii="Times New Roman" w:eastAsia="Calibri" w:hAnsi="Times New Roman" w:cs="Times New Roman"/>
          <w:b/>
          <w:sz w:val="24"/>
          <w:szCs w:val="24"/>
        </w:rPr>
        <w:t>z ..</w:t>
      </w:r>
      <w:r w:rsidR="00903239">
        <w:rPr>
          <w:rFonts w:ascii="Times New Roman" w:eastAsia="Calibri" w:hAnsi="Times New Roman" w:cs="Times New Roman"/>
          <w:b/>
          <w:sz w:val="24"/>
          <w:szCs w:val="24"/>
        </w:rPr>
        <w:t>...........</w:t>
      </w:r>
      <w:r w:rsidRPr="00903239">
        <w:rPr>
          <w:rFonts w:ascii="Times New Roman" w:eastAsia="Calibri" w:hAnsi="Times New Roman" w:cs="Times New Roman"/>
          <w:b/>
          <w:sz w:val="24"/>
          <w:szCs w:val="24"/>
        </w:rPr>
        <w:t>.</w:t>
      </w:r>
      <w:r w:rsidR="007E4B44" w:rsidRPr="00903239">
        <w:rPr>
          <w:rFonts w:ascii="Times New Roman" w:eastAsia="Calibri" w:hAnsi="Times New Roman" w:cs="Times New Roman"/>
          <w:b/>
          <w:sz w:val="24"/>
          <w:szCs w:val="24"/>
        </w:rPr>
        <w:t>....</w:t>
      </w:r>
      <w:r w:rsidRPr="00903239">
        <w:rPr>
          <w:rFonts w:ascii="Times New Roman" w:eastAsia="Calibri" w:hAnsi="Times New Roman" w:cs="Times New Roman"/>
          <w:b/>
          <w:sz w:val="24"/>
          <w:szCs w:val="24"/>
        </w:rPr>
        <w:t xml:space="preserve">  2022</w:t>
      </w:r>
    </w:p>
    <w:p w:rsidR="000E26C1" w:rsidRPr="00903239" w:rsidRDefault="000E26C1" w:rsidP="00AF30E5">
      <w:pPr>
        <w:jc w:val="both"/>
        <w:rPr>
          <w:rFonts w:ascii="Times New Roman" w:eastAsia="Calibri" w:hAnsi="Times New Roman" w:cs="Times New Roman"/>
          <w:b/>
          <w:sz w:val="24"/>
          <w:szCs w:val="24"/>
        </w:rPr>
      </w:pPr>
    </w:p>
    <w:p w:rsidR="000E26C1" w:rsidRDefault="00035B4D" w:rsidP="00035B4D">
      <w:pPr>
        <w:jc w:val="center"/>
        <w:rPr>
          <w:rFonts w:ascii="Times New Roman" w:eastAsia="Calibri" w:hAnsi="Times New Roman" w:cs="Times New Roman"/>
          <w:b/>
          <w:sz w:val="24"/>
          <w:szCs w:val="24"/>
        </w:rPr>
      </w:pPr>
      <w:r w:rsidRPr="00035B4D">
        <w:rPr>
          <w:rFonts w:ascii="Times New Roman" w:eastAsia="Calibri" w:hAnsi="Times New Roman" w:cs="Times New Roman"/>
          <w:b/>
          <w:sz w:val="24"/>
          <w:szCs w:val="24"/>
        </w:rPr>
        <w:t>o niektorých opatreniach v súvislosti so situáciou na Ukrajine</w:t>
      </w:r>
    </w:p>
    <w:p w:rsidR="00035B4D" w:rsidRPr="000E26C1" w:rsidRDefault="00035B4D" w:rsidP="00035B4D">
      <w:pPr>
        <w:jc w:val="center"/>
        <w:rPr>
          <w:rFonts w:ascii="Times New Roman" w:eastAsia="Calibri" w:hAnsi="Times New Roman" w:cs="Times New Roman"/>
          <w:sz w:val="24"/>
          <w:szCs w:val="24"/>
        </w:rPr>
      </w:pPr>
    </w:p>
    <w:p w:rsidR="000E26C1" w:rsidRPr="000E26C1" w:rsidRDefault="000E26C1" w:rsidP="000E26C1">
      <w:pPr>
        <w:jc w:val="both"/>
        <w:rPr>
          <w:rFonts w:ascii="Times New Roman" w:eastAsia="Calibri" w:hAnsi="Times New Roman" w:cs="Times New Roman"/>
          <w:sz w:val="24"/>
          <w:szCs w:val="24"/>
        </w:rPr>
      </w:pPr>
    </w:p>
    <w:p w:rsidR="000E26C1" w:rsidRPr="000E26C1" w:rsidRDefault="000E26C1" w:rsidP="00D36AD8">
      <w:pPr>
        <w:ind w:firstLine="567"/>
        <w:jc w:val="both"/>
        <w:rPr>
          <w:rFonts w:ascii="Times New Roman" w:eastAsia="Calibri" w:hAnsi="Times New Roman" w:cs="Times New Roman"/>
          <w:sz w:val="24"/>
          <w:szCs w:val="24"/>
        </w:rPr>
      </w:pPr>
      <w:r w:rsidRPr="000E26C1">
        <w:rPr>
          <w:rFonts w:ascii="Times New Roman" w:eastAsia="Calibri" w:hAnsi="Times New Roman" w:cs="Times New Roman"/>
          <w:sz w:val="24"/>
          <w:szCs w:val="24"/>
        </w:rPr>
        <w:t>Národná rada Slovenskej republiky sa uzniesla na tomto zákone:</w:t>
      </w:r>
    </w:p>
    <w:p w:rsidR="000E26C1" w:rsidRDefault="000E26C1" w:rsidP="00D36AD8">
      <w:pPr>
        <w:jc w:val="center"/>
        <w:rPr>
          <w:rFonts w:ascii="Times New Roman" w:hAnsi="Times New Roman" w:cs="Times New Roman"/>
          <w:b/>
          <w:sz w:val="24"/>
          <w:szCs w:val="24"/>
        </w:rPr>
      </w:pPr>
    </w:p>
    <w:p w:rsidR="00D36AD8" w:rsidRDefault="00D36AD8" w:rsidP="00D36AD8">
      <w:pPr>
        <w:jc w:val="center"/>
        <w:rPr>
          <w:rFonts w:ascii="Times New Roman" w:hAnsi="Times New Roman" w:cs="Times New Roman"/>
          <w:b/>
          <w:sz w:val="24"/>
          <w:szCs w:val="24"/>
        </w:rPr>
      </w:pPr>
    </w:p>
    <w:p w:rsidR="00035B4D" w:rsidRPr="00035B4D" w:rsidRDefault="00035B4D" w:rsidP="00035B4D">
      <w:pPr>
        <w:spacing w:after="240"/>
        <w:jc w:val="center"/>
        <w:rPr>
          <w:rFonts w:ascii="Times New Roman" w:eastAsia="Calibri" w:hAnsi="Times New Roman" w:cs="Times New Roman"/>
          <w:sz w:val="24"/>
          <w:szCs w:val="24"/>
        </w:rPr>
      </w:pPr>
      <w:r w:rsidRPr="00035B4D">
        <w:rPr>
          <w:rFonts w:ascii="Times New Roman" w:eastAsia="Calibri" w:hAnsi="Times New Roman" w:cs="Times New Roman"/>
          <w:sz w:val="24"/>
          <w:szCs w:val="24"/>
        </w:rPr>
        <w:t>Čl. I</w:t>
      </w:r>
    </w:p>
    <w:p w:rsidR="00035B4D" w:rsidRPr="00035B4D" w:rsidRDefault="00035B4D" w:rsidP="00035B4D">
      <w:pPr>
        <w:spacing w:after="240"/>
        <w:ind w:firstLine="708"/>
        <w:jc w:val="both"/>
        <w:rPr>
          <w:rFonts w:ascii="Times New Roman" w:eastAsia="Calibri" w:hAnsi="Times New Roman" w:cs="Times New Roman"/>
          <w:sz w:val="24"/>
          <w:szCs w:val="24"/>
        </w:rPr>
      </w:pPr>
      <w:r w:rsidRPr="00035B4D">
        <w:rPr>
          <w:rFonts w:ascii="Times New Roman" w:eastAsia="Calibri" w:hAnsi="Times New Roman" w:cs="Times New Roman"/>
          <w:sz w:val="24"/>
          <w:szCs w:val="24"/>
        </w:rPr>
        <w:t>Zákon Národnej rady Slovenskej republiky č. 42/1994 Z. z. o civilnej ochrane obyvateľstva v znení zákona č. 222/1996 Z. z., zákona č. 117/1998 Z. z., zákona č. 252/2001 Z. z., zákona č. 416/2001 Z. z., zákona č. 261/2002 Z. z., zákona č. 515/2003 Z. z., zákona č. 479/2005 Z. z., zákona č. 568/2005 Z. z., zákona č. 335/2007 Z. z., zákona č. 445/2008 Z. z., zákona č. 514/2008 Z. z., zákona č. 172/2011 Z. z., zákona č. 395/2011 Z. z., zákona č. 345/2012 Z. z., zákona č. 128/2015 Z. z., zákona č. 125/2016 Z. z., zákona č. 177/2018 Z. z., zákona č. 73/2020 Z. z., zákona č. 9/2021 Z. z. a zákona č. 176/2021 Z. z. sa mení takto:</w:t>
      </w:r>
    </w:p>
    <w:p w:rsidR="00035B4D" w:rsidRPr="00035B4D" w:rsidRDefault="00035B4D" w:rsidP="00035B4D">
      <w:pPr>
        <w:spacing w:after="240"/>
        <w:ind w:firstLine="284"/>
        <w:jc w:val="both"/>
        <w:rPr>
          <w:rFonts w:ascii="Times New Roman" w:eastAsia="Calibri" w:hAnsi="Times New Roman" w:cs="Times New Roman"/>
          <w:sz w:val="24"/>
          <w:szCs w:val="24"/>
        </w:rPr>
      </w:pPr>
      <w:r w:rsidRPr="00035B4D">
        <w:rPr>
          <w:rFonts w:ascii="Times New Roman" w:eastAsia="Calibri" w:hAnsi="Times New Roman" w:cs="Times New Roman"/>
          <w:sz w:val="24"/>
          <w:szCs w:val="24"/>
        </w:rPr>
        <w:t>V § 3 ods. 2 sa slová „zdravia II. stupňa</w:t>
      </w:r>
      <w:r w:rsidRPr="00035B4D">
        <w:rPr>
          <w:rFonts w:ascii="Times New Roman" w:eastAsia="Calibri" w:hAnsi="Times New Roman" w:cs="Times New Roman"/>
          <w:sz w:val="24"/>
          <w:szCs w:val="24"/>
          <w:vertAlign w:val="superscript"/>
        </w:rPr>
        <w:t>1b</w:t>
      </w:r>
      <w:r w:rsidRPr="00035B4D">
        <w:rPr>
          <w:rFonts w:ascii="Times New Roman" w:eastAsia="Calibri" w:hAnsi="Times New Roman" w:cs="Times New Roman"/>
          <w:sz w:val="24"/>
          <w:szCs w:val="24"/>
        </w:rPr>
        <w:t>)“ nahrádzajú slovami „zdravia II. stupňa,</w:t>
      </w:r>
      <w:r w:rsidRPr="00035B4D">
        <w:rPr>
          <w:rFonts w:ascii="Times New Roman" w:eastAsia="Calibri" w:hAnsi="Times New Roman" w:cs="Times New Roman"/>
          <w:sz w:val="24"/>
          <w:szCs w:val="24"/>
          <w:vertAlign w:val="superscript"/>
        </w:rPr>
        <w:t>1b</w:t>
      </w:r>
      <w:r w:rsidRPr="00035B4D">
        <w:rPr>
          <w:rFonts w:ascii="Times New Roman" w:eastAsia="Calibri" w:hAnsi="Times New Roman" w:cs="Times New Roman"/>
          <w:sz w:val="24"/>
          <w:szCs w:val="24"/>
        </w:rPr>
        <w:t>)</w:t>
      </w:r>
      <w:r w:rsidRPr="00035B4D">
        <w:rPr>
          <w:rFonts w:ascii="Times New Roman" w:eastAsia="Calibri" w:hAnsi="Times New Roman" w:cs="Times New Roman"/>
          <w:sz w:val="24"/>
          <w:szCs w:val="24"/>
          <w:vertAlign w:val="superscript"/>
        </w:rPr>
        <w:t xml:space="preserve"> </w:t>
      </w:r>
      <w:r w:rsidRPr="00035B4D">
        <w:rPr>
          <w:rFonts w:ascii="Times New Roman" w:eastAsia="Calibri" w:hAnsi="Times New Roman" w:cs="Times New Roman"/>
          <w:sz w:val="24"/>
          <w:szCs w:val="24"/>
        </w:rPr>
        <w:t>hromadný prílev cudzincov na územie Slovenskej republiky“.</w:t>
      </w:r>
    </w:p>
    <w:p w:rsidR="00035B4D" w:rsidRPr="00035B4D" w:rsidRDefault="00035B4D" w:rsidP="00035B4D">
      <w:pPr>
        <w:jc w:val="center"/>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Čl. II</w:t>
      </w:r>
    </w:p>
    <w:p w:rsidR="00035B4D" w:rsidRPr="00035B4D" w:rsidRDefault="00035B4D" w:rsidP="00035B4D">
      <w:pPr>
        <w:jc w:val="center"/>
        <w:rPr>
          <w:rFonts w:ascii="Times New Roman" w:eastAsia="Calibri" w:hAnsi="Times New Roman" w:cs="Times New Roman"/>
          <w:sz w:val="24"/>
          <w:szCs w:val="24"/>
          <w:lang w:eastAsia="sk-SK"/>
        </w:rPr>
      </w:pPr>
    </w:p>
    <w:p w:rsidR="00035B4D" w:rsidRPr="00035B4D" w:rsidRDefault="00035B4D" w:rsidP="00035B4D">
      <w:pPr>
        <w:ind w:firstLine="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Zákon č. 480/2002 Z. z. o azyle a o zmene a doplnení niektorých zákonov v znení zákona č. 606/2003 Z. z., zákona č. 207/2004 Z. z.,  zákona č. 1/2005 Z. z., zákona č. 692/2006 Z. z., zákona č. 643/2007 Z. z., zákona č. 451/2008 Z. z., zákona č. 75/2013 Z. z., zákona č. 305/2013 Z. z., zákona č. 495/2013 Z. z., zákona č. 131/2015 Z. z., zákona č. 125/2016 Z. z.,  zákona č. 198/2018 Z. z., nálezu Ústavného súdu Slovenskej republiky č. 70/2019 Z. z. a zákona č. 393/2020 Z. z. sa mení a dopĺňa takto:</w:t>
      </w:r>
    </w:p>
    <w:p w:rsidR="00035B4D" w:rsidRPr="00035B4D" w:rsidRDefault="00035B4D" w:rsidP="00035B4D">
      <w:pPr>
        <w:ind w:left="426"/>
        <w:jc w:val="both"/>
        <w:rPr>
          <w:rFonts w:ascii="Times New Roman" w:eastAsia="Times New Roman"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 § 29 odsek 2 znie:</w:t>
      </w: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 xml:space="preserve">„(2) Vláda v súlade s rozhodnutím Rady Európskej únie vyhlási poskytovanie dočasného útočiska a zároveň určí začiatok, podmienky a skončenie poskytovania dočasného útočiska a vyčlení finančné prostriedky na úhradu výdavkov spojených s poskytovaním dočasného útočiska; vláda môže vyhlásiť poskytovanie dočasného útočiska aj bez rozhodnutia Rady Európskej únie.“. </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 § 30 sa pred odsek 1 vkladá nový odsek 1, ktorý znie:</w:t>
      </w: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lastRenderedPageBreak/>
        <w:t xml:space="preserve">„(1) Konanie o poskytnutie dočasného útočiska sa začína vyhlásením cudzinca na policajnom útvare podľa odseku 2 o tom, že žiada o poskytnutie dočasného útočiska na území Slovenskej republiky, ak v § 31 ods. 3 nie je ustanovené inak. Za cudzinca, ktorý nenadobudol plnoletosť, vyhlásenie podáva jeho zákonný zástupca alebo súdom ustanovený opatrovník; maloletý musí byť prítomný pri podávaní vyhlásenia. Konanie o poskytnutie dočasného útočiska sa nezačne, ak </w:t>
      </w:r>
    </w:p>
    <w:p w:rsidR="00035B4D" w:rsidRPr="00035B4D" w:rsidRDefault="00035B4D" w:rsidP="00035B4D">
      <w:pPr>
        <w:numPr>
          <w:ilvl w:val="1"/>
          <w:numId w:val="2"/>
        </w:numPr>
        <w:tabs>
          <w:tab w:val="num" w:pos="709"/>
        </w:tabs>
        <w:ind w:left="709" w:hanging="283"/>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vláda nevyhlásila poskytovanie dočasného útočiska,</w:t>
      </w:r>
    </w:p>
    <w:p w:rsidR="00035B4D" w:rsidRPr="00035B4D" w:rsidRDefault="00035B4D" w:rsidP="00035B4D">
      <w:pPr>
        <w:numPr>
          <w:ilvl w:val="1"/>
          <w:numId w:val="2"/>
        </w:numPr>
        <w:tabs>
          <w:tab w:val="num" w:pos="709"/>
        </w:tabs>
        <w:ind w:left="709" w:hanging="283"/>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vyhlásenie urobí cudzinec, ktorý je žiadateľom o udelenie azylu, azylantom, cudzincom, ktorému sa poskytla doplnková ochrana, odídencom alebo cudzincom, ktorý má na území Slovenskej republiky udelený trvalý pobyt alebo prechodný pobyt alebo je stále cudzincom žiadajúcim o poskytnutie dočasného útočiska, alebo</w:t>
      </w:r>
    </w:p>
    <w:p w:rsidR="00035B4D" w:rsidRPr="00035B4D" w:rsidRDefault="00035B4D" w:rsidP="00035B4D">
      <w:pPr>
        <w:numPr>
          <w:ilvl w:val="1"/>
          <w:numId w:val="2"/>
        </w:numPr>
        <w:tabs>
          <w:tab w:val="num" w:pos="709"/>
        </w:tabs>
        <w:ind w:left="709" w:hanging="283"/>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sa zistí, že vyhlásenie podala maloletá osoba.“.</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Doterajšie odseky 1 až 5 sa označujú ako odseky 2 až 6.</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rPr>
        <w:t>V § 31 sa za odsek 2 vkladajú nové odseky 3 a 4, ktoré znejú:</w:t>
      </w: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 xml:space="preserve">„(3) </w:t>
      </w:r>
      <w:r w:rsidRPr="00035B4D">
        <w:rPr>
          <w:rFonts w:ascii="Times New Roman" w:eastAsia="Calibri" w:hAnsi="Times New Roman" w:cs="Times New Roman"/>
          <w:sz w:val="24"/>
          <w:szCs w:val="24"/>
        </w:rPr>
        <w:t xml:space="preserve">Dieťa narodené na území Slovenskej republiky cudzinke žiadajúcej o poskytnutie dočasného útočiska alebo odídenkyni, ktoré narodením nenadobudne štátne občianstvo Slovenskej republiky, považuje sa za cudzinca žiadajúceho o poskytnutie dočasného útočiska; konanie o poskytnutie dočasného útočiska sa začína narodením dieťaťa. </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(4) Zákonný zástupca dieťaťa podľa odseku 3 je povinný do 60 dní odo dňa narodenia dieťaťa poskytnúť poverenému zamestnancovi ministerstva pravdivo a úplne všetky požadované údaje potrebné na rozhodnutie o žiadosti o poskytnutie dočasného útočiska, ktoré sa zaznamenajú v dotazníku podľa prílohy č. 3; ak tak neurobí, ministerstvo postupuje podľa § 31 ods. 7 písm. f).“.</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Doterajšie odseky 3 až 10 sa označujú ako odseky 5 až 12.</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 § 31 ods. 6 sa slová „15 dní“ nahrádzajú slovami „30 dní“ a slová „predstavený povereného“ sa nahrádzajú slovami „nadriadený vedúci zamestnanec</w:t>
      </w:r>
      <w:r w:rsidRPr="00035B4D">
        <w:rPr>
          <w:rFonts w:ascii="Times New Roman" w:eastAsia="Calibri" w:hAnsi="Times New Roman" w:cs="Times New Roman"/>
          <w:sz w:val="24"/>
          <w:szCs w:val="24"/>
          <w:vertAlign w:val="superscript"/>
          <w:lang w:eastAsia="sk-SK"/>
        </w:rPr>
        <w:t>9</w:t>
      </w:r>
      <w:r w:rsidRPr="00035B4D">
        <w:rPr>
          <w:rFonts w:ascii="Times New Roman" w:eastAsia="Calibri" w:hAnsi="Times New Roman" w:cs="Times New Roman"/>
          <w:sz w:val="24"/>
          <w:szCs w:val="24"/>
          <w:lang w:eastAsia="sk-SK"/>
        </w:rPr>
        <w:t>)“.</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 § 31 sa odsek 7  dopĺňa písmenom f), ktoré znie:</w:t>
      </w: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„f) zákonný zástupca nesplnil povinnosť podľa odseku 4.“.</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 xml:space="preserve">V § 31 ods. 8 a 9 sa slová „odseku 5“ nahrádzajú slovami „odseku 7“. </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 xml:space="preserve">V § 31 ods. 11 sa na konci pripája táto veta: „Ministerstvo zamietne žiadosť o poskytnutie dočasného útočiska aj v prípade, ak </w:t>
      </w:r>
    </w:p>
    <w:p w:rsidR="00035B4D" w:rsidRPr="00035B4D" w:rsidRDefault="00035B4D" w:rsidP="00035B4D">
      <w:pPr>
        <w:numPr>
          <w:ilvl w:val="1"/>
          <w:numId w:val="2"/>
        </w:numPr>
        <w:tabs>
          <w:tab w:val="num" w:pos="851"/>
        </w:tabs>
        <w:spacing w:after="200" w:line="276" w:lineRule="auto"/>
        <w:ind w:left="851" w:hanging="425"/>
        <w:contextualSpacing/>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je dôvodné podozrenie, že sa cudzinec dopustil konania podľa § 13 ods. 2,</w:t>
      </w:r>
    </w:p>
    <w:p w:rsidR="00035B4D" w:rsidRPr="00035B4D" w:rsidRDefault="00035B4D" w:rsidP="00035B4D">
      <w:pPr>
        <w:numPr>
          <w:ilvl w:val="1"/>
          <w:numId w:val="2"/>
        </w:numPr>
        <w:tabs>
          <w:tab w:val="num" w:pos="851"/>
        </w:tabs>
        <w:spacing w:after="200" w:line="276" w:lineRule="auto"/>
        <w:ind w:left="851" w:hanging="425"/>
        <w:contextualSpacing/>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cudzinca možno odôvodnene považovať za nebezpečného pre bezpečnosť Slovenskej republiky, alebo</w:t>
      </w:r>
    </w:p>
    <w:p w:rsidR="00035B4D" w:rsidRPr="00035B4D" w:rsidRDefault="00035B4D" w:rsidP="00035B4D">
      <w:pPr>
        <w:numPr>
          <w:ilvl w:val="1"/>
          <w:numId w:val="2"/>
        </w:numPr>
        <w:tabs>
          <w:tab w:val="num" w:pos="851"/>
        </w:tabs>
        <w:spacing w:after="200" w:line="276" w:lineRule="auto"/>
        <w:ind w:left="851" w:hanging="425"/>
        <w:contextualSpacing/>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cudzinec bol odsúdený za obzvlášť závažný zločin</w:t>
      </w:r>
      <w:r w:rsidRPr="00035B4D">
        <w:rPr>
          <w:rFonts w:ascii="Times New Roman" w:eastAsia="Calibri" w:hAnsi="Times New Roman" w:cs="Times New Roman"/>
          <w:sz w:val="24"/>
          <w:szCs w:val="24"/>
          <w:vertAlign w:val="superscript"/>
          <w:lang w:eastAsia="sk-SK"/>
        </w:rPr>
        <w:t>7a</w:t>
      </w:r>
      <w:r w:rsidRPr="00035B4D">
        <w:rPr>
          <w:rFonts w:ascii="Times New Roman" w:eastAsia="Calibri" w:hAnsi="Times New Roman" w:cs="Times New Roman"/>
          <w:sz w:val="24"/>
          <w:szCs w:val="24"/>
          <w:lang w:eastAsia="sk-SK"/>
        </w:rPr>
        <w:t xml:space="preserve">) a predstavuje nebezpečenstvo pre spoločnosť.“. </w:t>
      </w: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 xml:space="preserve">V § 32 ods. 1 sa za písmeno d)  vkladajú nové písmená e) a f), ktoré znejú: </w:t>
      </w:r>
    </w:p>
    <w:p w:rsidR="00035B4D" w:rsidRPr="00035B4D" w:rsidRDefault="00035B4D" w:rsidP="00035B4D">
      <w:pPr>
        <w:ind w:left="851" w:hanging="425"/>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„e) ak odídencovi udelil azyl</w:t>
      </w:r>
      <w:r w:rsidRPr="00035B4D">
        <w:rPr>
          <w:rFonts w:ascii="Times New Roman" w:eastAsia="Calibri" w:hAnsi="Times New Roman" w:cs="Times New Roman"/>
          <w:sz w:val="24"/>
          <w:szCs w:val="24"/>
          <w:vertAlign w:val="superscript"/>
          <w:lang w:eastAsia="sk-SK"/>
        </w:rPr>
        <w:t>2</w:t>
      </w:r>
      <w:r w:rsidRPr="00035B4D">
        <w:rPr>
          <w:rFonts w:ascii="Times New Roman" w:eastAsia="Calibri" w:hAnsi="Times New Roman" w:cs="Times New Roman"/>
          <w:sz w:val="24"/>
          <w:szCs w:val="24"/>
          <w:lang w:eastAsia="sk-SK"/>
        </w:rPr>
        <w:t>) alebo poskytol doplnkovú ochranu z dôvodu vážneho bezprávia iný členský štát Európskej únie,</w:t>
      </w:r>
    </w:p>
    <w:p w:rsidR="00035B4D" w:rsidRPr="00035B4D" w:rsidRDefault="00035B4D" w:rsidP="00035B4D">
      <w:pPr>
        <w:ind w:left="426"/>
        <w:jc w:val="both"/>
        <w:rPr>
          <w:rFonts w:ascii="Times New Roman" w:eastAsia="Calibri" w:hAnsi="Times New Roman" w:cs="Times New Roman"/>
          <w:sz w:val="24"/>
          <w:szCs w:val="24"/>
        </w:rPr>
      </w:pPr>
      <w:r w:rsidRPr="00035B4D">
        <w:rPr>
          <w:rFonts w:ascii="Times New Roman" w:eastAsia="Calibri" w:hAnsi="Times New Roman" w:cs="Times New Roman"/>
          <w:sz w:val="24"/>
          <w:szCs w:val="24"/>
          <w:lang w:eastAsia="sk-SK"/>
        </w:rPr>
        <w:t xml:space="preserve">f)  ak odídencovi </w:t>
      </w:r>
      <w:r w:rsidRPr="00035B4D">
        <w:rPr>
          <w:rFonts w:ascii="Times New Roman" w:eastAsia="Calibri" w:hAnsi="Times New Roman" w:cs="Times New Roman"/>
          <w:sz w:val="24"/>
          <w:szCs w:val="24"/>
        </w:rPr>
        <w:t>udelil pobyt bez časového obmedzenia iný štát,“.</w:t>
      </w:r>
    </w:p>
    <w:p w:rsidR="00035B4D" w:rsidRPr="00035B4D" w:rsidRDefault="00035B4D" w:rsidP="00035B4D">
      <w:pPr>
        <w:ind w:left="426"/>
        <w:jc w:val="both"/>
        <w:rPr>
          <w:rFonts w:ascii="Times New Roman" w:eastAsia="Calibri" w:hAnsi="Times New Roman" w:cs="Times New Roman"/>
          <w:sz w:val="24"/>
          <w:szCs w:val="24"/>
        </w:rPr>
      </w:pP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rPr>
        <w:lastRenderedPageBreak/>
        <w:t xml:space="preserve">Doterajšie písmená e) a f) sa označujú ako písmená g) a h). </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 § 35 sa za slová „až 23b“ vkladajú slová „a 23d“.</w:t>
      </w: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 xml:space="preserve"> </w:t>
      </w: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 § 36 ods. 1 sa za slová „až 5“ vkladajú slová „a 23d“.</w:t>
      </w:r>
    </w:p>
    <w:p w:rsidR="00051B78" w:rsidRDefault="00051B78" w:rsidP="00051B78">
      <w:pPr>
        <w:rPr>
          <w:rFonts w:ascii="Times New Roman" w:hAnsi="Times New Roman" w:cs="Times New Roman"/>
        </w:rPr>
      </w:pPr>
    </w:p>
    <w:p w:rsidR="00035B4D" w:rsidRPr="00035B4D" w:rsidRDefault="00035B4D" w:rsidP="00035B4D">
      <w:pPr>
        <w:jc w:val="center"/>
        <w:rPr>
          <w:rFonts w:ascii="Times New Roman" w:eastAsia="Calibri" w:hAnsi="Times New Roman" w:cs="Times New Roman"/>
          <w:sz w:val="24"/>
          <w:szCs w:val="24"/>
        </w:rPr>
      </w:pPr>
      <w:r w:rsidRPr="00035B4D">
        <w:rPr>
          <w:rFonts w:ascii="Times New Roman" w:eastAsia="Calibri" w:hAnsi="Times New Roman" w:cs="Times New Roman"/>
          <w:sz w:val="24"/>
          <w:szCs w:val="24"/>
        </w:rPr>
        <w:t>Čl. I</w:t>
      </w:r>
      <w:r w:rsidR="006E04AB">
        <w:rPr>
          <w:rFonts w:ascii="Times New Roman" w:eastAsia="Calibri" w:hAnsi="Times New Roman" w:cs="Times New Roman"/>
          <w:sz w:val="24"/>
          <w:szCs w:val="24"/>
        </w:rPr>
        <w:t>II</w:t>
      </w:r>
    </w:p>
    <w:p w:rsidR="00035B4D" w:rsidRPr="00035B4D" w:rsidRDefault="00035B4D" w:rsidP="00035B4D">
      <w:pPr>
        <w:jc w:val="center"/>
        <w:rPr>
          <w:rFonts w:ascii="Times New Roman" w:eastAsia="Calibri" w:hAnsi="Times New Roman" w:cs="Times New Roman"/>
          <w:sz w:val="24"/>
          <w:szCs w:val="24"/>
        </w:rPr>
      </w:pPr>
    </w:p>
    <w:p w:rsidR="00035B4D" w:rsidRPr="00035B4D" w:rsidRDefault="00035B4D" w:rsidP="00035B4D">
      <w:pPr>
        <w:ind w:firstLine="426"/>
        <w:jc w:val="both"/>
        <w:rPr>
          <w:rFonts w:ascii="Times New Roman" w:eastAsia="Calibri" w:hAnsi="Times New Roman" w:cs="Times New Roman"/>
          <w:sz w:val="24"/>
          <w:szCs w:val="24"/>
        </w:rPr>
      </w:pPr>
      <w:r w:rsidRPr="00035B4D">
        <w:rPr>
          <w:rFonts w:ascii="Times New Roman" w:eastAsia="Calibri" w:hAnsi="Times New Roman" w:cs="Times New Roman"/>
          <w:sz w:val="24"/>
          <w:szCs w:val="24"/>
        </w:rPr>
        <w:t xml:space="preserve">Zákon </w:t>
      </w:r>
      <w:r w:rsidRPr="00035B4D">
        <w:rPr>
          <w:rFonts w:ascii="Times New Roman" w:eastAsia="Times New Roman" w:hAnsi="Times New Roman" w:cs="Times New Roman"/>
          <w:color w:val="000000"/>
          <w:sz w:val="24"/>
          <w:szCs w:val="24"/>
          <w:lang w:eastAsia="sk-SK"/>
        </w:rPr>
        <w:t xml:space="preserve">č. 69/2018 Z. z. </w:t>
      </w:r>
      <w:r w:rsidRPr="00035B4D">
        <w:rPr>
          <w:rFonts w:ascii="Times New Roman" w:eastAsia="Calibri" w:hAnsi="Times New Roman" w:cs="Times New Roman"/>
          <w:sz w:val="24"/>
          <w:szCs w:val="24"/>
        </w:rPr>
        <w:t>o kybernetickej bezpečnosti a o zmene a doplnení niektorých zákonov v znení zákona č. 373/2018 Z. z., zákona č. 134/2020 Z. z. a zákona č. 287/2021 Z. z. sa mení a dopĺňa takto:</w:t>
      </w:r>
    </w:p>
    <w:p w:rsidR="00035B4D" w:rsidRPr="00035B4D" w:rsidRDefault="00035B4D" w:rsidP="00035B4D">
      <w:pPr>
        <w:ind w:firstLine="426"/>
        <w:jc w:val="both"/>
        <w:rPr>
          <w:rFonts w:ascii="Times New Roman" w:eastAsia="Calibri" w:hAnsi="Times New Roman" w:cs="Times New Roman"/>
          <w:sz w:val="24"/>
          <w:szCs w:val="24"/>
        </w:rPr>
      </w:pPr>
    </w:p>
    <w:p w:rsidR="00035B4D" w:rsidRPr="00035B4D" w:rsidRDefault="00035B4D" w:rsidP="00035B4D">
      <w:pPr>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 xml:space="preserve">1. V § 5 sa odsek 1 dopĺňa písmenom </w:t>
      </w:r>
      <w:proofErr w:type="spellStart"/>
      <w:r w:rsidRPr="00035B4D">
        <w:rPr>
          <w:rFonts w:ascii="Times New Roman" w:eastAsia="Calibri" w:hAnsi="Times New Roman" w:cs="Times New Roman"/>
          <w:color w:val="000000"/>
          <w:sz w:val="24"/>
          <w:szCs w:val="24"/>
        </w:rPr>
        <w:t>ag</w:t>
      </w:r>
      <w:proofErr w:type="spellEnd"/>
      <w:r w:rsidRPr="00035B4D">
        <w:rPr>
          <w:rFonts w:ascii="Times New Roman" w:eastAsia="Calibri" w:hAnsi="Times New Roman" w:cs="Times New Roman"/>
          <w:color w:val="000000"/>
          <w:sz w:val="24"/>
          <w:szCs w:val="24"/>
        </w:rPr>
        <w:t>), ktoré znie:</w:t>
      </w:r>
    </w:p>
    <w:p w:rsidR="00035B4D" w:rsidRPr="00035B4D" w:rsidRDefault="00035B4D" w:rsidP="00035B4D">
      <w:pPr>
        <w:ind w:left="284"/>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w:t>
      </w:r>
      <w:proofErr w:type="spellStart"/>
      <w:r w:rsidRPr="00035B4D">
        <w:rPr>
          <w:rFonts w:ascii="Times New Roman" w:eastAsia="Calibri" w:hAnsi="Times New Roman" w:cs="Times New Roman"/>
          <w:color w:val="000000"/>
          <w:sz w:val="24"/>
          <w:szCs w:val="24"/>
        </w:rPr>
        <w:t>ag</w:t>
      </w:r>
      <w:proofErr w:type="spellEnd"/>
      <w:r w:rsidRPr="00035B4D">
        <w:rPr>
          <w:rFonts w:ascii="Times New Roman" w:eastAsia="Calibri" w:hAnsi="Times New Roman" w:cs="Times New Roman"/>
          <w:color w:val="000000"/>
          <w:sz w:val="24"/>
          <w:szCs w:val="24"/>
        </w:rPr>
        <w:t>) rozhoduje o blokovaní škodlivého obsahu alebo škodlivej aktivity, ktorá smeruje do kybernetického priestoru Slovenskej republiky alebo z kybernetického priestoru Slovenskej republiky (ďalej len „blokovanie“) a zabezpečuje vykonanie tohto rozhodnutia alebo vykonáva blokovanie na základe žiadosti.“.</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2.  Za § 27a sa vkladajú nové § 27b a 27c, ktoré vrátane nadpisu nad § 27b znejú:</w:t>
      </w:r>
    </w:p>
    <w:p w:rsidR="00035B4D" w:rsidRPr="00035B4D" w:rsidRDefault="00035B4D" w:rsidP="00035B4D">
      <w:pPr>
        <w:jc w:val="center"/>
        <w:rPr>
          <w:rFonts w:ascii="Times New Roman" w:eastAsia="Calibri" w:hAnsi="Times New Roman" w:cs="Times New Roman"/>
          <w:color w:val="000000"/>
          <w:sz w:val="24"/>
          <w:szCs w:val="24"/>
        </w:rPr>
      </w:pPr>
    </w:p>
    <w:p w:rsidR="00035B4D" w:rsidRPr="00035B4D" w:rsidRDefault="00035B4D" w:rsidP="00035B4D">
      <w:pPr>
        <w:jc w:val="center"/>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„Blokovanie</w:t>
      </w:r>
    </w:p>
    <w:p w:rsidR="00035B4D" w:rsidRPr="00035B4D" w:rsidRDefault="00035B4D" w:rsidP="00035B4D">
      <w:pPr>
        <w:ind w:firstLine="426"/>
        <w:jc w:val="center"/>
        <w:rPr>
          <w:rFonts w:ascii="Times New Roman" w:eastAsia="Calibri" w:hAnsi="Times New Roman" w:cs="Times New Roman"/>
          <w:color w:val="000000"/>
          <w:sz w:val="24"/>
          <w:szCs w:val="24"/>
        </w:rPr>
      </w:pPr>
    </w:p>
    <w:p w:rsidR="00035B4D" w:rsidRPr="00035B4D" w:rsidRDefault="00035B4D" w:rsidP="00035B4D">
      <w:pPr>
        <w:jc w:val="center"/>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 27b</w:t>
      </w:r>
    </w:p>
    <w:p w:rsidR="00035B4D" w:rsidRPr="00035B4D" w:rsidRDefault="00035B4D" w:rsidP="00035B4D">
      <w:pPr>
        <w:jc w:val="center"/>
        <w:rPr>
          <w:rFonts w:ascii="Times New Roman" w:eastAsia="Calibri" w:hAnsi="Times New Roman" w:cs="Times New Roman"/>
          <w:color w:val="000000"/>
          <w:sz w:val="24"/>
          <w:szCs w:val="24"/>
        </w:rPr>
      </w:pPr>
    </w:p>
    <w:p w:rsidR="00035B4D" w:rsidRPr="00035B4D" w:rsidRDefault="00035B4D" w:rsidP="00035B4D">
      <w:pPr>
        <w:numPr>
          <w:ilvl w:val="0"/>
          <w:numId w:val="5"/>
        </w:numPr>
        <w:ind w:left="0" w:firstLine="426"/>
        <w:contextualSpacing/>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 xml:space="preserve"> Úrad z vlastnej iniciatívy rozhoduje o blokovaní, spôsobe blokovania a vykonáva blokovanie, ak § 27c neustanovuje inak.</w:t>
      </w:r>
    </w:p>
    <w:p w:rsidR="00035B4D" w:rsidRPr="00035B4D" w:rsidRDefault="00035B4D" w:rsidP="00035B4D">
      <w:pPr>
        <w:ind w:firstLine="426"/>
        <w:contextualSpacing/>
        <w:jc w:val="both"/>
        <w:rPr>
          <w:rFonts w:ascii="Times New Roman" w:eastAsia="Calibri" w:hAnsi="Times New Roman" w:cs="Times New Roman"/>
          <w:color w:val="000000"/>
          <w:sz w:val="24"/>
          <w:szCs w:val="24"/>
        </w:rPr>
      </w:pPr>
    </w:p>
    <w:p w:rsidR="00035B4D" w:rsidRPr="00035B4D" w:rsidRDefault="00035B4D" w:rsidP="00035B4D">
      <w:pPr>
        <w:numPr>
          <w:ilvl w:val="0"/>
          <w:numId w:val="5"/>
        </w:numPr>
        <w:ind w:left="0" w:firstLine="426"/>
        <w:contextualSpacing/>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 xml:space="preserve"> Rozhodnutie o blokovaní obsahuje najmä</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a)</w:t>
      </w:r>
      <w:r w:rsidRPr="00035B4D">
        <w:rPr>
          <w:rFonts w:ascii="Times New Roman" w:eastAsia="Calibri" w:hAnsi="Times New Roman" w:cs="Times New Roman"/>
          <w:color w:val="000000"/>
          <w:sz w:val="24"/>
          <w:szCs w:val="24"/>
        </w:rPr>
        <w:tab/>
        <w:t>identifikáciu úradu,</w:t>
      </w:r>
    </w:p>
    <w:p w:rsidR="00035B4D" w:rsidRPr="00035B4D" w:rsidRDefault="00035B4D" w:rsidP="00035B4D">
      <w:pPr>
        <w:ind w:left="709" w:hanging="283"/>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b)</w:t>
      </w:r>
      <w:r w:rsidRPr="00035B4D">
        <w:rPr>
          <w:rFonts w:ascii="Times New Roman" w:eastAsia="Calibri" w:hAnsi="Times New Roman" w:cs="Times New Roman"/>
          <w:color w:val="000000"/>
          <w:sz w:val="24"/>
          <w:szCs w:val="24"/>
        </w:rPr>
        <w:tab/>
        <w:t xml:space="preserve">identifikáciu osoby, ktorá prevádzkuje infraštruktúru, na ktorej je blokovanie potrebné </w:t>
      </w:r>
      <w:r>
        <w:rPr>
          <w:rFonts w:ascii="Times New Roman" w:eastAsia="Calibri" w:hAnsi="Times New Roman" w:cs="Times New Roman"/>
          <w:color w:val="000000"/>
          <w:sz w:val="24"/>
          <w:szCs w:val="24"/>
        </w:rPr>
        <w:t xml:space="preserve"> </w:t>
      </w:r>
      <w:r w:rsidRPr="00035B4D">
        <w:rPr>
          <w:rFonts w:ascii="Times New Roman" w:eastAsia="Calibri" w:hAnsi="Times New Roman" w:cs="Times New Roman"/>
          <w:color w:val="000000"/>
          <w:sz w:val="24"/>
          <w:szCs w:val="24"/>
        </w:rPr>
        <w:t>vykonať,</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c)</w:t>
      </w:r>
      <w:r w:rsidRPr="00035B4D">
        <w:rPr>
          <w:rFonts w:ascii="Times New Roman" w:eastAsia="Calibri" w:hAnsi="Times New Roman" w:cs="Times New Roman"/>
          <w:color w:val="000000"/>
          <w:sz w:val="24"/>
          <w:szCs w:val="24"/>
        </w:rPr>
        <w:tab/>
        <w:t xml:space="preserve">identifikáciu škodlivého obsahu alebo škodlivej aktivity, </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d)</w:t>
      </w:r>
      <w:r w:rsidRPr="00035B4D">
        <w:rPr>
          <w:rFonts w:ascii="Times New Roman" w:eastAsia="Calibri" w:hAnsi="Times New Roman" w:cs="Times New Roman"/>
          <w:color w:val="000000"/>
          <w:sz w:val="24"/>
          <w:szCs w:val="24"/>
        </w:rPr>
        <w:tab/>
        <w:t xml:space="preserve">dôvod blokovania, </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e)</w:t>
      </w:r>
      <w:r w:rsidRPr="00035B4D">
        <w:rPr>
          <w:rFonts w:ascii="Times New Roman" w:eastAsia="Calibri" w:hAnsi="Times New Roman" w:cs="Times New Roman"/>
          <w:color w:val="000000"/>
          <w:sz w:val="24"/>
          <w:szCs w:val="24"/>
        </w:rPr>
        <w:tab/>
        <w:t xml:space="preserve">spôsob blokovania, </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f)</w:t>
      </w:r>
      <w:r w:rsidRPr="00035B4D">
        <w:rPr>
          <w:rFonts w:ascii="Times New Roman" w:eastAsia="Calibri" w:hAnsi="Times New Roman" w:cs="Times New Roman"/>
          <w:color w:val="000000"/>
          <w:sz w:val="24"/>
          <w:szCs w:val="24"/>
        </w:rPr>
        <w:tab/>
        <w:t>lehotu na vykonanie blokovania, trvanie blokovania a možnosti jeho odblokovania,</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g)</w:t>
      </w:r>
      <w:r w:rsidRPr="00035B4D">
        <w:rPr>
          <w:rFonts w:ascii="Times New Roman" w:eastAsia="Calibri" w:hAnsi="Times New Roman" w:cs="Times New Roman"/>
          <w:color w:val="000000"/>
          <w:sz w:val="24"/>
          <w:szCs w:val="24"/>
        </w:rPr>
        <w:tab/>
        <w:t>poučenie.</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(3)</w:t>
      </w:r>
      <w:r w:rsidRPr="00035B4D">
        <w:rPr>
          <w:rFonts w:ascii="Times New Roman" w:eastAsia="Calibri" w:hAnsi="Times New Roman" w:cs="Times New Roman"/>
          <w:color w:val="000000"/>
          <w:sz w:val="24"/>
          <w:szCs w:val="24"/>
        </w:rPr>
        <w:tab/>
        <w:t xml:space="preserve"> Škodlivým obsahom sa rozumie programový prostriedok alebo údaj, ktorý zapríčiňuje alebo môže zapríčiniť kybernetický bezpečnostný incident. Škodlivou aktivitou sa rozumie akákoľvek činnosť, ktorá zapríčiňuje alebo môže zapríčiniť kybernetický bezpečnostný incident, podvodn</w:t>
      </w:r>
      <w:r w:rsidR="007C5EC6">
        <w:rPr>
          <w:rFonts w:ascii="Times New Roman" w:eastAsia="Calibri" w:hAnsi="Times New Roman" w:cs="Times New Roman"/>
          <w:color w:val="000000"/>
          <w:sz w:val="24"/>
          <w:szCs w:val="24"/>
        </w:rPr>
        <w:t>ú</w:t>
      </w:r>
      <w:r w:rsidRPr="00035B4D">
        <w:rPr>
          <w:rFonts w:ascii="Times New Roman" w:eastAsia="Calibri" w:hAnsi="Times New Roman" w:cs="Times New Roman"/>
          <w:color w:val="000000"/>
          <w:sz w:val="24"/>
          <w:szCs w:val="24"/>
        </w:rPr>
        <w:t xml:space="preserve"> činnosť, odcudzenie osobných údajov alebo citlivých údajov, závažné dezinformácie a iné formy hybridných hrozieb.</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(4)</w:t>
      </w:r>
      <w:r w:rsidRPr="00035B4D">
        <w:rPr>
          <w:rFonts w:ascii="Times New Roman" w:eastAsia="Calibri" w:hAnsi="Times New Roman" w:cs="Times New Roman"/>
          <w:color w:val="000000"/>
          <w:sz w:val="24"/>
          <w:szCs w:val="24"/>
        </w:rPr>
        <w:tab/>
        <w:t xml:space="preserve"> Úrad rozhodne o spôsobe blokovania podľa pravidiel blokovania tak, aby bolo účinné, účelné a primerané vo vzťahu k možným rizikám spojeným s blokovaním.</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(5)</w:t>
      </w:r>
      <w:r w:rsidRPr="00035B4D">
        <w:rPr>
          <w:rFonts w:ascii="Times New Roman" w:eastAsia="Calibri" w:hAnsi="Times New Roman" w:cs="Times New Roman"/>
          <w:color w:val="000000"/>
          <w:sz w:val="24"/>
          <w:szCs w:val="24"/>
        </w:rPr>
        <w:tab/>
        <w:t xml:space="preserve"> Rozhodnutie o blokovaní doručí úrad osobe, ktorá prevádzkuje infraštruktúru, na ktorej je blokovanie potrebné vykonať a ktorá je povinná vykonať blokovanie, a zabezpečí jeho vykonanie; na riadne zistenie takejto osoby je úrad oprávnený požiadať o spoluprácu orgán verejnej moci alebo inú osobu, ktorá je povinná tejto žiadosti bezodkladne vyhovieť.</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(6) Osoba, ktorá prevádzkuje infraštruktúru, na ktorej je blokovanie potrebné vykonať, je povinná na základe rozhodnutia o blokovaní zamedziť prevádzku spôsobom podľa rozhodnutia o blokovaní, inak blokovanie vykoná úrad; úrad je oprávnený požiadať o spoluprácu orgán verejnej moci alebo inú osobu, ktorá je povinná tejto žiadosti bezodkladne vyhovieť.</w:t>
      </w:r>
    </w:p>
    <w:p w:rsidR="00035B4D" w:rsidRDefault="00035B4D" w:rsidP="00D36AD8">
      <w:pPr>
        <w:jc w:val="center"/>
        <w:rPr>
          <w:rFonts w:ascii="Times New Roman" w:hAnsi="Times New Roman" w:cs="Times New Roman"/>
          <w:b/>
          <w:sz w:val="24"/>
          <w:szCs w:val="24"/>
        </w:rPr>
      </w:pPr>
    </w:p>
    <w:p w:rsidR="00035B4D" w:rsidRDefault="00035B4D" w:rsidP="00035B4D">
      <w:pPr>
        <w:ind w:firstLine="426"/>
        <w:jc w:val="both"/>
        <w:rPr>
          <w:rFonts w:ascii="Times New Roman" w:eastAsia="Calibri" w:hAnsi="Times New Roman" w:cs="Times New Roman"/>
          <w:color w:val="000000"/>
          <w:sz w:val="24"/>
          <w:szCs w:val="24"/>
        </w:rPr>
      </w:pPr>
      <w:r w:rsidRPr="006C644B">
        <w:rPr>
          <w:rFonts w:ascii="Times New Roman" w:eastAsia="Calibri" w:hAnsi="Times New Roman" w:cs="Times New Roman"/>
          <w:color w:val="000000"/>
          <w:sz w:val="24"/>
          <w:szCs w:val="24"/>
        </w:rPr>
        <w:t>(7)</w:t>
      </w:r>
      <w:r w:rsidRPr="006C644B">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 </w:t>
      </w:r>
      <w:r w:rsidRPr="006C644B">
        <w:rPr>
          <w:rFonts w:ascii="Times New Roman" w:eastAsia="Calibri" w:hAnsi="Times New Roman" w:cs="Times New Roman"/>
          <w:color w:val="000000"/>
          <w:sz w:val="24"/>
          <w:szCs w:val="24"/>
        </w:rPr>
        <w:t>Rozhodnutím o blokovaní nie sú dotknuté postupy riešenia kybernetického bezpečnostného incidentu a postupy orgánov činných v trestnom konaní.  Rozhodnutie o blokovaní je preskúmateľné súdom</w:t>
      </w:r>
      <w:r>
        <w:rPr>
          <w:rFonts w:ascii="Times New Roman" w:eastAsia="Calibri" w:hAnsi="Times New Roman" w:cs="Times New Roman"/>
          <w:color w:val="000000"/>
          <w:sz w:val="24"/>
          <w:szCs w:val="24"/>
        </w:rPr>
        <w:t xml:space="preserve"> a správna žaloba nemá odkladný účinok</w:t>
      </w:r>
      <w:r w:rsidRPr="006C644B">
        <w:rPr>
          <w:rFonts w:ascii="Times New Roman" w:eastAsia="Calibri" w:hAnsi="Times New Roman" w:cs="Times New Roman"/>
          <w:color w:val="000000"/>
          <w:sz w:val="24"/>
          <w:szCs w:val="24"/>
        </w:rPr>
        <w:t>.</w:t>
      </w:r>
    </w:p>
    <w:p w:rsidR="00035B4D" w:rsidRDefault="00035B4D" w:rsidP="00035B4D">
      <w:pPr>
        <w:ind w:firstLine="426"/>
        <w:jc w:val="both"/>
        <w:rPr>
          <w:rFonts w:ascii="Times New Roman" w:eastAsia="Calibri" w:hAnsi="Times New Roman" w:cs="Times New Roman"/>
          <w:color w:val="000000"/>
          <w:sz w:val="24"/>
          <w:szCs w:val="24"/>
        </w:rPr>
      </w:pPr>
    </w:p>
    <w:p w:rsidR="00035B4D" w:rsidRDefault="00035B4D" w:rsidP="00035B4D">
      <w:pPr>
        <w:ind w:firstLine="426"/>
        <w:jc w:val="both"/>
        <w:rPr>
          <w:rFonts w:ascii="Times New Roman" w:eastAsia="Calibri" w:hAnsi="Times New Roman" w:cs="Times New Roman"/>
          <w:color w:val="000000"/>
          <w:sz w:val="24"/>
          <w:szCs w:val="24"/>
        </w:rPr>
      </w:pPr>
      <w:r w:rsidRPr="00040802">
        <w:rPr>
          <w:rFonts w:ascii="Times New Roman" w:eastAsia="Calibri" w:hAnsi="Times New Roman" w:cs="Times New Roman"/>
          <w:color w:val="000000"/>
          <w:sz w:val="24"/>
          <w:szCs w:val="24"/>
        </w:rPr>
        <w:t>(8)</w:t>
      </w:r>
      <w:r w:rsidRPr="00040802">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 </w:t>
      </w:r>
      <w:r w:rsidRPr="00040802">
        <w:rPr>
          <w:rFonts w:ascii="Times New Roman" w:eastAsia="Calibri" w:hAnsi="Times New Roman" w:cs="Times New Roman"/>
          <w:color w:val="000000"/>
          <w:sz w:val="24"/>
          <w:szCs w:val="24"/>
        </w:rPr>
        <w:t>Štátne orgány sú povinné bez meškania oznamovať úradu škodlivý obsah a škodlivé aktivity, ktoré zistia pri svojej činnosti.</w:t>
      </w:r>
    </w:p>
    <w:p w:rsidR="00537AC3" w:rsidRDefault="00537AC3" w:rsidP="00035B4D">
      <w:pPr>
        <w:ind w:firstLine="426"/>
        <w:jc w:val="both"/>
        <w:rPr>
          <w:rFonts w:ascii="Times New Roman" w:eastAsia="Calibri" w:hAnsi="Times New Roman" w:cs="Times New Roman"/>
          <w:color w:val="000000"/>
          <w:sz w:val="24"/>
          <w:szCs w:val="24"/>
        </w:rPr>
      </w:pPr>
    </w:p>
    <w:p w:rsidR="00537AC3" w:rsidRDefault="00537AC3" w:rsidP="00035B4D">
      <w:pPr>
        <w:ind w:firstLine="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 Rozhodnúť o blokovaní škodlivej aktivity, ktorou je závažná dezinformácia alebo iná forma hybridných hrozieb, možno len s platnosťou do 31. decembra 2022.</w:t>
      </w:r>
    </w:p>
    <w:p w:rsidR="00035B4D" w:rsidRDefault="00035B4D" w:rsidP="00035B4D">
      <w:pPr>
        <w:ind w:firstLine="426"/>
        <w:jc w:val="both"/>
        <w:rPr>
          <w:rFonts w:ascii="Times New Roman" w:eastAsia="Calibri" w:hAnsi="Times New Roman" w:cs="Times New Roman"/>
          <w:color w:val="000000"/>
          <w:sz w:val="24"/>
          <w:szCs w:val="24"/>
        </w:rPr>
      </w:pPr>
    </w:p>
    <w:p w:rsidR="00035B4D" w:rsidRDefault="00035B4D" w:rsidP="00035B4D">
      <w:pPr>
        <w:jc w:val="center"/>
        <w:rPr>
          <w:rFonts w:ascii="Times New Roman" w:eastAsia="Calibri" w:hAnsi="Times New Roman" w:cs="Times New Roman"/>
          <w:color w:val="000000"/>
          <w:sz w:val="24"/>
          <w:szCs w:val="24"/>
        </w:rPr>
      </w:pPr>
      <w:r w:rsidRPr="00EE1E20">
        <w:rPr>
          <w:rFonts w:ascii="Times New Roman" w:eastAsia="Calibri" w:hAnsi="Times New Roman" w:cs="Times New Roman"/>
          <w:color w:val="000000"/>
          <w:sz w:val="24"/>
          <w:szCs w:val="24"/>
        </w:rPr>
        <w:t>§ 27c</w:t>
      </w:r>
    </w:p>
    <w:p w:rsidR="00035B4D" w:rsidRDefault="00035B4D" w:rsidP="00035B4D">
      <w:pPr>
        <w:jc w:val="center"/>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(1)</w:t>
      </w:r>
      <w:r w:rsidRPr="00035B4D">
        <w:rPr>
          <w:rFonts w:ascii="Times New Roman" w:eastAsia="Calibri" w:hAnsi="Times New Roman" w:cs="Times New Roman"/>
          <w:color w:val="000000"/>
          <w:sz w:val="24"/>
          <w:szCs w:val="24"/>
        </w:rPr>
        <w:tab/>
        <w:t xml:space="preserve"> Úrad môže vykonať blokovanie aj na základe žiadosti subjektu podľa osobitného predpisu.</w:t>
      </w:r>
      <w:r w:rsidRPr="00DD1F8E">
        <w:rPr>
          <w:rFonts w:ascii="Times New Roman" w:eastAsia="Calibri" w:hAnsi="Times New Roman" w:cs="Times New Roman"/>
          <w:color w:val="000000"/>
          <w:sz w:val="24"/>
          <w:szCs w:val="24"/>
          <w:vertAlign w:val="superscript"/>
        </w:rPr>
        <w:t>28c</w:t>
      </w:r>
      <w:r w:rsidRPr="00035B4D">
        <w:rPr>
          <w:rFonts w:ascii="Times New Roman" w:eastAsia="Calibri" w:hAnsi="Times New Roman" w:cs="Times New Roman"/>
          <w:color w:val="000000"/>
          <w:sz w:val="24"/>
          <w:szCs w:val="24"/>
        </w:rPr>
        <w:t xml:space="preserve">) </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(2)</w:t>
      </w:r>
      <w:r w:rsidRPr="00035B4D">
        <w:rPr>
          <w:rFonts w:ascii="Times New Roman" w:eastAsia="Calibri" w:hAnsi="Times New Roman" w:cs="Times New Roman"/>
          <w:color w:val="000000"/>
          <w:sz w:val="24"/>
          <w:szCs w:val="24"/>
        </w:rPr>
        <w:tab/>
        <w:t xml:space="preserve"> Žiadosť o vykonanie blokovania musí obsahovať</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a)</w:t>
      </w:r>
      <w:r w:rsidRPr="00035B4D">
        <w:rPr>
          <w:rFonts w:ascii="Times New Roman" w:eastAsia="Calibri" w:hAnsi="Times New Roman" w:cs="Times New Roman"/>
          <w:color w:val="000000"/>
          <w:sz w:val="24"/>
          <w:szCs w:val="24"/>
        </w:rPr>
        <w:tab/>
        <w:t>identifikáciu úradu,</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b)</w:t>
      </w:r>
      <w:r w:rsidRPr="00035B4D">
        <w:rPr>
          <w:rFonts w:ascii="Times New Roman" w:eastAsia="Calibri" w:hAnsi="Times New Roman" w:cs="Times New Roman"/>
          <w:color w:val="000000"/>
          <w:sz w:val="24"/>
          <w:szCs w:val="24"/>
        </w:rPr>
        <w:tab/>
        <w:t>identifikáciu žiadateľa o výkon blokovania,</w:t>
      </w:r>
    </w:p>
    <w:p w:rsidR="00035B4D" w:rsidRPr="00035B4D" w:rsidRDefault="00035B4D" w:rsidP="00035B4D">
      <w:pPr>
        <w:ind w:left="709" w:hanging="283"/>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c)</w:t>
      </w:r>
      <w:r w:rsidRPr="00035B4D">
        <w:rPr>
          <w:rFonts w:ascii="Times New Roman" w:eastAsia="Calibri" w:hAnsi="Times New Roman" w:cs="Times New Roman"/>
          <w:color w:val="000000"/>
          <w:sz w:val="24"/>
          <w:szCs w:val="24"/>
        </w:rPr>
        <w:tab/>
        <w:t>identifikáciu osoby, ktorá prevádzkuje infraštruktúru, na ktorej je blokovanie potrebné vykonať,</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d)</w:t>
      </w:r>
      <w:r w:rsidRPr="00035B4D">
        <w:rPr>
          <w:rFonts w:ascii="Times New Roman" w:eastAsia="Calibri" w:hAnsi="Times New Roman" w:cs="Times New Roman"/>
          <w:color w:val="000000"/>
          <w:sz w:val="24"/>
          <w:szCs w:val="24"/>
        </w:rPr>
        <w:tab/>
        <w:t>identifikáciu obsahu alebo aktivity, ktoré sa majú zablokovať,</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e)</w:t>
      </w:r>
      <w:r w:rsidRPr="00035B4D">
        <w:rPr>
          <w:rFonts w:ascii="Times New Roman" w:eastAsia="Calibri" w:hAnsi="Times New Roman" w:cs="Times New Roman"/>
          <w:color w:val="000000"/>
          <w:sz w:val="24"/>
          <w:szCs w:val="24"/>
        </w:rPr>
        <w:tab/>
        <w:t>dôvod blokovania, ktorým je vykonateľné rozhodnutie žiadateľa,</w:t>
      </w:r>
      <w:r w:rsidRPr="00DD1F8E">
        <w:rPr>
          <w:rFonts w:ascii="Times New Roman" w:eastAsia="Calibri" w:hAnsi="Times New Roman" w:cs="Times New Roman"/>
          <w:color w:val="000000"/>
          <w:sz w:val="24"/>
          <w:szCs w:val="24"/>
          <w:vertAlign w:val="superscript"/>
        </w:rPr>
        <w:t>28c</w:t>
      </w:r>
      <w:r w:rsidRPr="00035B4D">
        <w:rPr>
          <w:rFonts w:ascii="Times New Roman" w:eastAsia="Calibri" w:hAnsi="Times New Roman" w:cs="Times New Roman"/>
          <w:color w:val="000000"/>
          <w:sz w:val="24"/>
          <w:szCs w:val="24"/>
        </w:rPr>
        <w:t>)</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f)</w:t>
      </w:r>
      <w:r w:rsidRPr="00035B4D">
        <w:rPr>
          <w:rFonts w:ascii="Times New Roman" w:eastAsia="Calibri" w:hAnsi="Times New Roman" w:cs="Times New Roman"/>
          <w:color w:val="000000"/>
          <w:sz w:val="24"/>
          <w:szCs w:val="24"/>
        </w:rPr>
        <w:tab/>
        <w:t xml:space="preserve">navrhovaný spôsob blokovania, </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g)</w:t>
      </w:r>
      <w:r w:rsidRPr="00035B4D">
        <w:rPr>
          <w:rFonts w:ascii="Times New Roman" w:eastAsia="Calibri" w:hAnsi="Times New Roman" w:cs="Times New Roman"/>
          <w:color w:val="000000"/>
          <w:sz w:val="24"/>
          <w:szCs w:val="24"/>
        </w:rPr>
        <w:tab/>
        <w:t>lehotu na vykonanie blokovania, trvanie blokovania a možnosti jeho odblokovania.</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(3)</w:t>
      </w:r>
      <w:r w:rsidRPr="00035B4D">
        <w:rPr>
          <w:rFonts w:ascii="Times New Roman" w:eastAsia="Calibri" w:hAnsi="Times New Roman" w:cs="Times New Roman"/>
          <w:color w:val="000000"/>
          <w:sz w:val="24"/>
          <w:szCs w:val="24"/>
        </w:rPr>
        <w:tab/>
        <w:t xml:space="preserve"> Žiadateľ o blokovanie môže požiadať úrad o poskytnutie súčinnosti na riadne identifikovanie skutočností podľa odseku 2 pred podaním žiadosti o výkon blokovania.</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(4)</w:t>
      </w:r>
      <w:r w:rsidRPr="00035B4D">
        <w:rPr>
          <w:rFonts w:ascii="Times New Roman" w:eastAsia="Calibri" w:hAnsi="Times New Roman" w:cs="Times New Roman"/>
          <w:color w:val="000000"/>
          <w:sz w:val="24"/>
          <w:szCs w:val="24"/>
        </w:rPr>
        <w:tab/>
        <w:t xml:space="preserve"> Žiadateľ o blokovanie je povinný na vykonávanie blokovania poskytnúť úradu potrebnú súčinnosť.</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(5)</w:t>
      </w:r>
      <w:r w:rsidRPr="00035B4D">
        <w:rPr>
          <w:rFonts w:ascii="Times New Roman" w:eastAsia="Calibri" w:hAnsi="Times New Roman" w:cs="Times New Roman"/>
          <w:color w:val="000000"/>
          <w:sz w:val="24"/>
          <w:szCs w:val="24"/>
        </w:rPr>
        <w:tab/>
        <w:t xml:space="preserve"> Úrad vykoná blokovanie tak, aby bolo účinné, účelné a primerané vo vzťahu k možným rizikám spojeným s blokovaním.</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(6)</w:t>
      </w:r>
      <w:r w:rsidRPr="00035B4D">
        <w:rPr>
          <w:rFonts w:ascii="Times New Roman" w:eastAsia="Calibri" w:hAnsi="Times New Roman" w:cs="Times New Roman"/>
          <w:color w:val="000000"/>
          <w:sz w:val="24"/>
          <w:szCs w:val="24"/>
        </w:rPr>
        <w:tab/>
        <w:t xml:space="preserve"> Úrad informuje žiadateľa o vykonanom blokovaní a o spôsobe jeho vykonania.</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(7)</w:t>
      </w:r>
      <w:r w:rsidRPr="00035B4D">
        <w:rPr>
          <w:rFonts w:ascii="Times New Roman" w:eastAsia="Calibri" w:hAnsi="Times New Roman" w:cs="Times New Roman"/>
          <w:color w:val="000000"/>
          <w:sz w:val="24"/>
          <w:szCs w:val="24"/>
        </w:rPr>
        <w:tab/>
        <w:t xml:space="preserve"> Náklady spojené s výkonom blokovania na základe žiadosti žiadateľa a zodpovednosť za škodu spôsobenú blokovaním znáša žiadateľ. Zodpovednosť za škodu spôsobenú vykonaním blokovania znáša úrad.</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(8)</w:t>
      </w:r>
      <w:r w:rsidRPr="00035B4D">
        <w:rPr>
          <w:rFonts w:ascii="Times New Roman" w:eastAsia="Calibri" w:hAnsi="Times New Roman" w:cs="Times New Roman"/>
          <w:color w:val="000000"/>
          <w:sz w:val="24"/>
          <w:szCs w:val="24"/>
        </w:rPr>
        <w:tab/>
        <w:t xml:space="preserve"> Úrad sa po dohode so žiadateľom môže v odôvodnených prípadoch odchýliť od navrhovaného spôsobu blokovania na zabezpečenie riadneho, efektívneho a účelného výkonu blokovania.</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(9)</w:t>
      </w:r>
      <w:r w:rsidRPr="00035B4D">
        <w:rPr>
          <w:rFonts w:ascii="Times New Roman" w:eastAsia="Calibri" w:hAnsi="Times New Roman" w:cs="Times New Roman"/>
          <w:color w:val="000000"/>
          <w:sz w:val="24"/>
          <w:szCs w:val="24"/>
        </w:rPr>
        <w:tab/>
        <w:t xml:space="preserve"> Na vykonanie blokovania sa ustanovenia § 27b ods. 5 až 7 použijú primerane.“.</w:t>
      </w:r>
    </w:p>
    <w:p w:rsidR="00035B4D" w:rsidRPr="00035B4D" w:rsidRDefault="00035B4D" w:rsidP="00035B4D">
      <w:pPr>
        <w:jc w:val="both"/>
        <w:rPr>
          <w:rFonts w:ascii="Times New Roman" w:eastAsia="Calibri" w:hAnsi="Times New Roman" w:cs="Times New Roman"/>
          <w:color w:val="000000"/>
          <w:sz w:val="24"/>
          <w:szCs w:val="24"/>
        </w:rPr>
      </w:pPr>
    </w:p>
    <w:p w:rsidR="00035B4D" w:rsidRPr="00035B4D" w:rsidRDefault="00035B4D" w:rsidP="00DD1F8E">
      <w:pPr>
        <w:ind w:left="284"/>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Poznámka pod čiarou k odkazu 28c znie:</w:t>
      </w:r>
    </w:p>
    <w:p w:rsidR="00035B4D" w:rsidRPr="00035B4D" w:rsidRDefault="00035B4D" w:rsidP="00DD1F8E">
      <w:pPr>
        <w:ind w:left="284"/>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w:t>
      </w:r>
      <w:r w:rsidRPr="00DD1F8E">
        <w:rPr>
          <w:rFonts w:ascii="Times New Roman" w:eastAsia="Calibri" w:hAnsi="Times New Roman" w:cs="Times New Roman"/>
          <w:color w:val="000000"/>
          <w:sz w:val="24"/>
          <w:szCs w:val="24"/>
          <w:vertAlign w:val="superscript"/>
        </w:rPr>
        <w:t>28c</w:t>
      </w:r>
      <w:r w:rsidRPr="00035B4D">
        <w:rPr>
          <w:rFonts w:ascii="Times New Roman" w:eastAsia="Calibri" w:hAnsi="Times New Roman" w:cs="Times New Roman"/>
          <w:color w:val="000000"/>
          <w:sz w:val="24"/>
          <w:szCs w:val="24"/>
        </w:rPr>
        <w:t>) Napríklad zákon Národnej rady Slovenskej republiky č. 46/1993 Z. z. v znení neskorších</w:t>
      </w:r>
      <w:bookmarkStart w:id="0" w:name="_GoBack"/>
      <w:bookmarkEnd w:id="0"/>
      <w:r w:rsidRPr="00035B4D">
        <w:rPr>
          <w:rFonts w:ascii="Times New Roman" w:eastAsia="Calibri" w:hAnsi="Times New Roman" w:cs="Times New Roman"/>
          <w:color w:val="000000"/>
          <w:sz w:val="24"/>
          <w:szCs w:val="24"/>
        </w:rPr>
        <w:t xml:space="preserve"> predpisov, zákon č. 30/2019 Z. z. o hazardných hrách a o zmene a doplnení niektorých zákonov v znení neskorších predpisov.“.</w:t>
      </w:r>
    </w:p>
    <w:p w:rsidR="00035B4D" w:rsidRPr="00035B4D" w:rsidRDefault="00035B4D" w:rsidP="00035B4D">
      <w:pPr>
        <w:jc w:val="both"/>
        <w:rPr>
          <w:rFonts w:ascii="Times New Roman" w:eastAsia="Calibri" w:hAnsi="Times New Roman" w:cs="Times New Roman"/>
          <w:color w:val="000000"/>
          <w:sz w:val="24"/>
          <w:szCs w:val="24"/>
        </w:rPr>
      </w:pPr>
    </w:p>
    <w:p w:rsidR="00035B4D" w:rsidRPr="00035B4D" w:rsidRDefault="00035B4D" w:rsidP="00035B4D">
      <w:pPr>
        <w:ind w:left="284" w:hanging="284"/>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3.</w:t>
      </w:r>
      <w:r w:rsidRPr="00035B4D">
        <w:rPr>
          <w:rFonts w:ascii="Times New Roman" w:eastAsia="Calibri" w:hAnsi="Times New Roman" w:cs="Times New Roman"/>
          <w:color w:val="000000"/>
          <w:sz w:val="24"/>
          <w:szCs w:val="24"/>
        </w:rPr>
        <w:tab/>
        <w:t>V § 32 sa odsek 1 dopĺňa písmenom i), ktoré znie:</w:t>
      </w:r>
    </w:p>
    <w:p w:rsidR="00035B4D" w:rsidRDefault="00035B4D" w:rsidP="00035B4D">
      <w:pPr>
        <w:ind w:left="284" w:hanging="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035B4D">
        <w:rPr>
          <w:rFonts w:ascii="Times New Roman" w:eastAsia="Calibri" w:hAnsi="Times New Roman" w:cs="Times New Roman"/>
          <w:color w:val="000000"/>
          <w:sz w:val="24"/>
          <w:szCs w:val="24"/>
        </w:rPr>
        <w:t>„i) pravidlá blokovania.“.</w:t>
      </w:r>
    </w:p>
    <w:p w:rsidR="00035B4D" w:rsidRDefault="00035B4D" w:rsidP="00035B4D">
      <w:pPr>
        <w:ind w:left="284" w:hanging="284"/>
        <w:jc w:val="both"/>
        <w:rPr>
          <w:rFonts w:ascii="Times New Roman" w:eastAsia="Calibri" w:hAnsi="Times New Roman" w:cs="Times New Roman"/>
          <w:color w:val="000000"/>
          <w:sz w:val="24"/>
          <w:szCs w:val="24"/>
        </w:rPr>
      </w:pPr>
    </w:p>
    <w:p w:rsidR="00035B4D" w:rsidRPr="00035B4D" w:rsidRDefault="00035B4D" w:rsidP="00035B4D">
      <w:pPr>
        <w:ind w:left="284" w:hanging="284"/>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4.</w:t>
      </w:r>
      <w:r w:rsidRPr="00035B4D">
        <w:rPr>
          <w:rFonts w:ascii="Times New Roman" w:eastAsia="Calibri" w:hAnsi="Times New Roman" w:cs="Times New Roman"/>
          <w:color w:val="000000"/>
          <w:sz w:val="24"/>
          <w:szCs w:val="24"/>
        </w:rPr>
        <w:tab/>
        <w:t>V § 33 ods. 1 sa slová „§ 17, § 21 a § 27“ nahrádzajú slovami „§ 17, § 21, § 27 až 27c“.</w:t>
      </w:r>
    </w:p>
    <w:p w:rsidR="00035B4D" w:rsidRPr="00035B4D" w:rsidRDefault="00035B4D" w:rsidP="00035B4D">
      <w:pPr>
        <w:jc w:val="both"/>
        <w:rPr>
          <w:rFonts w:ascii="Times New Roman" w:eastAsia="Calibri" w:hAnsi="Times New Roman" w:cs="Times New Roman"/>
          <w:color w:val="000000"/>
          <w:sz w:val="24"/>
          <w:szCs w:val="24"/>
        </w:rPr>
      </w:pPr>
    </w:p>
    <w:p w:rsidR="00035B4D" w:rsidRPr="00035B4D" w:rsidRDefault="00035B4D" w:rsidP="00035B4D">
      <w:pPr>
        <w:jc w:val="center"/>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 xml:space="preserve">Čl. </w:t>
      </w:r>
      <w:r w:rsidR="006E04AB">
        <w:rPr>
          <w:rFonts w:ascii="Times New Roman" w:eastAsia="Calibri" w:hAnsi="Times New Roman" w:cs="Times New Roman"/>
          <w:color w:val="000000"/>
          <w:sz w:val="24"/>
          <w:szCs w:val="24"/>
        </w:rPr>
        <w:t>I</w:t>
      </w:r>
      <w:r w:rsidRPr="00035B4D">
        <w:rPr>
          <w:rFonts w:ascii="Times New Roman" w:eastAsia="Calibri" w:hAnsi="Times New Roman" w:cs="Times New Roman"/>
          <w:color w:val="000000"/>
          <w:sz w:val="24"/>
          <w:szCs w:val="24"/>
        </w:rPr>
        <w:t>V</w:t>
      </w:r>
    </w:p>
    <w:p w:rsidR="00035B4D" w:rsidRPr="00035B4D" w:rsidRDefault="00035B4D" w:rsidP="00035B4D">
      <w:pPr>
        <w:jc w:val="both"/>
        <w:rPr>
          <w:rFonts w:ascii="Times New Roman" w:eastAsia="Calibri" w:hAnsi="Times New Roman" w:cs="Times New Roman"/>
          <w:color w:val="000000"/>
          <w:sz w:val="24"/>
          <w:szCs w:val="24"/>
        </w:rPr>
      </w:pPr>
    </w:p>
    <w:p w:rsidR="00035B4D" w:rsidRPr="00EE1E20" w:rsidRDefault="00035B4D" w:rsidP="00035B4D">
      <w:pPr>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Tento zákon nadobúda účinnosť dňom vyhlásenia.</w:t>
      </w:r>
    </w:p>
    <w:sectPr w:rsidR="00035B4D" w:rsidRPr="00EE1E20" w:rsidSect="00CF5102">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2B9" w:rsidRDefault="00D732B9" w:rsidP="00CF5102">
      <w:r>
        <w:separator/>
      </w:r>
    </w:p>
  </w:endnote>
  <w:endnote w:type="continuationSeparator" w:id="0">
    <w:p w:rsidR="00D732B9" w:rsidRDefault="00D732B9" w:rsidP="00CF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02" w:rsidRPr="00CF5102" w:rsidRDefault="00CF5102" w:rsidP="00CF5102">
    <w:pPr>
      <w:pStyle w:val="Pta"/>
      <w:jc w:val="center"/>
      <w:rPr>
        <w:rFonts w:ascii="Times New Roman" w:hAnsi="Times New Roman" w:cs="Times New Roman"/>
      </w:rPr>
    </w:pPr>
    <w:r w:rsidRPr="00CF5102">
      <w:rPr>
        <w:rFonts w:ascii="Times New Roman" w:hAnsi="Times New Roman" w:cs="Times New Roman"/>
      </w:rPr>
      <w:fldChar w:fldCharType="begin"/>
    </w:r>
    <w:r w:rsidRPr="00CF5102">
      <w:rPr>
        <w:rFonts w:ascii="Times New Roman" w:hAnsi="Times New Roman" w:cs="Times New Roman"/>
      </w:rPr>
      <w:instrText>PAGE   \* MERGEFORMAT</w:instrText>
    </w:r>
    <w:r w:rsidRPr="00CF5102">
      <w:rPr>
        <w:rFonts w:ascii="Times New Roman" w:hAnsi="Times New Roman" w:cs="Times New Roman"/>
      </w:rPr>
      <w:fldChar w:fldCharType="separate"/>
    </w:r>
    <w:r w:rsidR="00DD1F8E">
      <w:rPr>
        <w:rFonts w:ascii="Times New Roman" w:hAnsi="Times New Roman" w:cs="Times New Roman"/>
        <w:noProof/>
      </w:rPr>
      <w:t>1</w:t>
    </w:r>
    <w:r w:rsidRPr="00CF5102">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2B9" w:rsidRDefault="00D732B9" w:rsidP="00CF5102">
      <w:r>
        <w:separator/>
      </w:r>
    </w:p>
  </w:footnote>
  <w:footnote w:type="continuationSeparator" w:id="0">
    <w:p w:rsidR="00D732B9" w:rsidRDefault="00D732B9" w:rsidP="00CF5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7F4B"/>
    <w:multiLevelType w:val="hybridMultilevel"/>
    <w:tmpl w:val="6CD6E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065BE"/>
    <w:multiLevelType w:val="hybridMultilevel"/>
    <w:tmpl w:val="0064538E"/>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
    <w:nsid w:val="327C6E3C"/>
    <w:multiLevelType w:val="hybridMultilevel"/>
    <w:tmpl w:val="1BD059C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3C833B6"/>
    <w:multiLevelType w:val="hybridMultilevel"/>
    <w:tmpl w:val="6BF28EAE"/>
    <w:lvl w:ilvl="0" w:tplc="2684DD1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nsid w:val="540E522E"/>
    <w:multiLevelType w:val="hybridMultilevel"/>
    <w:tmpl w:val="2A3C97B4"/>
    <w:lvl w:ilvl="0" w:tplc="A2A65AEC">
      <w:start w:val="1"/>
      <w:numFmt w:val="decimal"/>
      <w:lvlText w:val="%1."/>
      <w:lvlJc w:val="left"/>
      <w:pPr>
        <w:tabs>
          <w:tab w:val="num" w:pos="502"/>
        </w:tabs>
        <w:ind w:left="502" w:hanging="360"/>
      </w:pPr>
      <w:rPr>
        <w:rFonts w:hint="default"/>
        <w:color w:val="000000"/>
      </w:rPr>
    </w:lvl>
    <w:lvl w:ilvl="1" w:tplc="BEE01EDE">
      <w:start w:val="1"/>
      <w:numFmt w:val="lowerLetter"/>
      <w:lvlText w:val="%2)"/>
      <w:lvlJc w:val="left"/>
      <w:pPr>
        <w:tabs>
          <w:tab w:val="num" w:pos="1380"/>
        </w:tabs>
        <w:ind w:left="1380" w:hanging="360"/>
      </w:pPr>
      <w:rPr>
        <w:rFonts w:hint="default"/>
        <w:color w:val="auto"/>
      </w:r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rPr>
        <w:rFonts w:hint="default"/>
      </w:r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5">
    <w:nsid w:val="61BD5E14"/>
    <w:multiLevelType w:val="multilevel"/>
    <w:tmpl w:val="53AC7D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835085F"/>
    <w:multiLevelType w:val="hybridMultilevel"/>
    <w:tmpl w:val="0AC0D616"/>
    <w:lvl w:ilvl="0" w:tplc="041B000F">
      <w:start w:val="1"/>
      <w:numFmt w:val="decimal"/>
      <w:lvlText w:val="%1."/>
      <w:lvlJc w:val="left"/>
      <w:pPr>
        <w:ind w:left="1724" w:hanging="360"/>
      </w:pPr>
    </w:lvl>
    <w:lvl w:ilvl="1" w:tplc="041B0019">
      <w:start w:val="1"/>
      <w:numFmt w:val="lowerLetter"/>
      <w:lvlText w:val="%2."/>
      <w:lvlJc w:val="left"/>
      <w:pPr>
        <w:ind w:left="2444" w:hanging="360"/>
      </w:pPr>
    </w:lvl>
    <w:lvl w:ilvl="2" w:tplc="041B001B">
      <w:start w:val="1"/>
      <w:numFmt w:val="lowerRoman"/>
      <w:lvlText w:val="%3."/>
      <w:lvlJc w:val="right"/>
      <w:pPr>
        <w:ind w:left="3164" w:hanging="180"/>
      </w:pPr>
    </w:lvl>
    <w:lvl w:ilvl="3" w:tplc="041B000F">
      <w:start w:val="1"/>
      <w:numFmt w:val="decimal"/>
      <w:lvlText w:val="%4."/>
      <w:lvlJc w:val="left"/>
      <w:pPr>
        <w:ind w:left="3884" w:hanging="360"/>
      </w:pPr>
    </w:lvl>
    <w:lvl w:ilvl="4" w:tplc="041B0019">
      <w:start w:val="1"/>
      <w:numFmt w:val="lowerLetter"/>
      <w:lvlText w:val="%5."/>
      <w:lvlJc w:val="left"/>
      <w:pPr>
        <w:ind w:left="4604" w:hanging="360"/>
      </w:pPr>
    </w:lvl>
    <w:lvl w:ilvl="5" w:tplc="041B001B">
      <w:start w:val="1"/>
      <w:numFmt w:val="lowerRoman"/>
      <w:lvlText w:val="%6."/>
      <w:lvlJc w:val="right"/>
      <w:pPr>
        <w:ind w:left="5324" w:hanging="180"/>
      </w:pPr>
    </w:lvl>
    <w:lvl w:ilvl="6" w:tplc="041B000F">
      <w:start w:val="1"/>
      <w:numFmt w:val="decimal"/>
      <w:lvlText w:val="%7."/>
      <w:lvlJc w:val="left"/>
      <w:pPr>
        <w:ind w:left="6044" w:hanging="360"/>
      </w:pPr>
    </w:lvl>
    <w:lvl w:ilvl="7" w:tplc="041B0019">
      <w:start w:val="1"/>
      <w:numFmt w:val="lowerLetter"/>
      <w:lvlText w:val="%8."/>
      <w:lvlJc w:val="left"/>
      <w:pPr>
        <w:ind w:left="6764" w:hanging="360"/>
      </w:pPr>
    </w:lvl>
    <w:lvl w:ilvl="8" w:tplc="041B001B">
      <w:start w:val="1"/>
      <w:numFmt w:val="lowerRoman"/>
      <w:lvlText w:val="%9."/>
      <w:lvlJc w:val="right"/>
      <w:pPr>
        <w:ind w:left="7484" w:hanging="180"/>
      </w:pPr>
    </w:lvl>
  </w:abstractNum>
  <w:abstractNum w:abstractNumId="7">
    <w:nsid w:val="71C27823"/>
    <w:multiLevelType w:val="hybridMultilevel"/>
    <w:tmpl w:val="D1124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7"/>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72E"/>
    <w:rsid w:val="0000678F"/>
    <w:rsid w:val="00035B4D"/>
    <w:rsid w:val="00051B78"/>
    <w:rsid w:val="000E26C1"/>
    <w:rsid w:val="003878EB"/>
    <w:rsid w:val="003C7061"/>
    <w:rsid w:val="00454B0D"/>
    <w:rsid w:val="00537AC3"/>
    <w:rsid w:val="00567B1A"/>
    <w:rsid w:val="00673F2C"/>
    <w:rsid w:val="006C002A"/>
    <w:rsid w:val="006E04AB"/>
    <w:rsid w:val="00784EDC"/>
    <w:rsid w:val="007C5EC6"/>
    <w:rsid w:val="007E4B44"/>
    <w:rsid w:val="008B5A11"/>
    <w:rsid w:val="00903239"/>
    <w:rsid w:val="00A64FA1"/>
    <w:rsid w:val="00A6572E"/>
    <w:rsid w:val="00AF30E5"/>
    <w:rsid w:val="00B150AB"/>
    <w:rsid w:val="00B91DEF"/>
    <w:rsid w:val="00C25791"/>
    <w:rsid w:val="00C34580"/>
    <w:rsid w:val="00C73CC2"/>
    <w:rsid w:val="00C82838"/>
    <w:rsid w:val="00CF5102"/>
    <w:rsid w:val="00D36AD8"/>
    <w:rsid w:val="00D732B9"/>
    <w:rsid w:val="00DC4625"/>
    <w:rsid w:val="00DD1F8E"/>
    <w:rsid w:val="00DE47F7"/>
    <w:rsid w:val="00DE5A27"/>
    <w:rsid w:val="00E41D9A"/>
    <w:rsid w:val="00EC7759"/>
    <w:rsid w:val="00F4243F"/>
    <w:rsid w:val="00F67DA2"/>
    <w:rsid w:val="00FF2B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7B1A"/>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67B1A"/>
    <w:pPr>
      <w:ind w:left="720"/>
      <w:contextualSpacing/>
    </w:pPr>
  </w:style>
  <w:style w:type="paragraph" w:customStyle="1" w:styleId="p4">
    <w:name w:val="p4"/>
    <w:basedOn w:val="Normlny"/>
    <w:rsid w:val="00567B1A"/>
    <w:pPr>
      <w:jc w:val="center"/>
    </w:pPr>
    <w:rPr>
      <w:rFonts w:ascii="Times New Roman" w:eastAsia="Times New Roman" w:hAnsi="Times New Roman" w:cs="Times New Roman"/>
      <w:sz w:val="18"/>
      <w:szCs w:val="18"/>
      <w:lang w:eastAsia="sk-SK"/>
    </w:rPr>
  </w:style>
  <w:style w:type="character" w:customStyle="1" w:styleId="s1">
    <w:name w:val="s1"/>
    <w:basedOn w:val="Predvolenpsmoodseku"/>
    <w:rsid w:val="00567B1A"/>
    <w:rPr>
      <w:rFonts w:ascii="Times New Roman" w:hAnsi="Times New Roman" w:cs="Times New Roman" w:hint="default"/>
      <w:spacing w:val="23"/>
    </w:rPr>
  </w:style>
  <w:style w:type="paragraph" w:styleId="Hlavika">
    <w:name w:val="header"/>
    <w:basedOn w:val="Normlny"/>
    <w:link w:val="HlavikaChar"/>
    <w:uiPriority w:val="99"/>
    <w:unhideWhenUsed/>
    <w:rsid w:val="00CF5102"/>
    <w:pPr>
      <w:tabs>
        <w:tab w:val="center" w:pos="4536"/>
        <w:tab w:val="right" w:pos="9072"/>
      </w:tabs>
    </w:pPr>
  </w:style>
  <w:style w:type="character" w:customStyle="1" w:styleId="HlavikaChar">
    <w:name w:val="Hlavička Char"/>
    <w:basedOn w:val="Predvolenpsmoodseku"/>
    <w:link w:val="Hlavika"/>
    <w:uiPriority w:val="99"/>
    <w:rsid w:val="00CF5102"/>
  </w:style>
  <w:style w:type="paragraph" w:styleId="Pta">
    <w:name w:val="footer"/>
    <w:basedOn w:val="Normlny"/>
    <w:link w:val="PtaChar"/>
    <w:uiPriority w:val="99"/>
    <w:unhideWhenUsed/>
    <w:rsid w:val="00CF5102"/>
    <w:pPr>
      <w:tabs>
        <w:tab w:val="center" w:pos="4536"/>
        <w:tab w:val="right" w:pos="9072"/>
      </w:tabs>
    </w:pPr>
  </w:style>
  <w:style w:type="character" w:customStyle="1" w:styleId="PtaChar">
    <w:name w:val="Päta Char"/>
    <w:basedOn w:val="Predvolenpsmoodseku"/>
    <w:link w:val="Pta"/>
    <w:uiPriority w:val="99"/>
    <w:rsid w:val="00CF5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7B1A"/>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67B1A"/>
    <w:pPr>
      <w:ind w:left="720"/>
      <w:contextualSpacing/>
    </w:pPr>
  </w:style>
  <w:style w:type="paragraph" w:customStyle="1" w:styleId="p4">
    <w:name w:val="p4"/>
    <w:basedOn w:val="Normlny"/>
    <w:rsid w:val="00567B1A"/>
    <w:pPr>
      <w:jc w:val="center"/>
    </w:pPr>
    <w:rPr>
      <w:rFonts w:ascii="Times New Roman" w:eastAsia="Times New Roman" w:hAnsi="Times New Roman" w:cs="Times New Roman"/>
      <w:sz w:val="18"/>
      <w:szCs w:val="18"/>
      <w:lang w:eastAsia="sk-SK"/>
    </w:rPr>
  </w:style>
  <w:style w:type="character" w:customStyle="1" w:styleId="s1">
    <w:name w:val="s1"/>
    <w:basedOn w:val="Predvolenpsmoodseku"/>
    <w:rsid w:val="00567B1A"/>
    <w:rPr>
      <w:rFonts w:ascii="Times New Roman" w:hAnsi="Times New Roman" w:cs="Times New Roman" w:hint="default"/>
      <w:spacing w:val="23"/>
    </w:rPr>
  </w:style>
  <w:style w:type="paragraph" w:styleId="Hlavika">
    <w:name w:val="header"/>
    <w:basedOn w:val="Normlny"/>
    <w:link w:val="HlavikaChar"/>
    <w:uiPriority w:val="99"/>
    <w:unhideWhenUsed/>
    <w:rsid w:val="00CF5102"/>
    <w:pPr>
      <w:tabs>
        <w:tab w:val="center" w:pos="4536"/>
        <w:tab w:val="right" w:pos="9072"/>
      </w:tabs>
    </w:pPr>
  </w:style>
  <w:style w:type="character" w:customStyle="1" w:styleId="HlavikaChar">
    <w:name w:val="Hlavička Char"/>
    <w:basedOn w:val="Predvolenpsmoodseku"/>
    <w:link w:val="Hlavika"/>
    <w:uiPriority w:val="99"/>
    <w:rsid w:val="00CF5102"/>
  </w:style>
  <w:style w:type="paragraph" w:styleId="Pta">
    <w:name w:val="footer"/>
    <w:basedOn w:val="Normlny"/>
    <w:link w:val="PtaChar"/>
    <w:uiPriority w:val="99"/>
    <w:unhideWhenUsed/>
    <w:rsid w:val="00CF5102"/>
    <w:pPr>
      <w:tabs>
        <w:tab w:val="center" w:pos="4536"/>
        <w:tab w:val="right" w:pos="9072"/>
      </w:tabs>
    </w:pPr>
  </w:style>
  <w:style w:type="character" w:customStyle="1" w:styleId="PtaChar">
    <w:name w:val="Päta Char"/>
    <w:basedOn w:val="Predvolenpsmoodseku"/>
    <w:link w:val="Pta"/>
    <w:uiPriority w:val="99"/>
    <w:rsid w:val="00CF5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5977">
      <w:bodyDiv w:val="1"/>
      <w:marLeft w:val="0"/>
      <w:marRight w:val="0"/>
      <w:marTop w:val="0"/>
      <w:marBottom w:val="0"/>
      <w:divBdr>
        <w:top w:val="none" w:sz="0" w:space="0" w:color="auto"/>
        <w:left w:val="none" w:sz="0" w:space="0" w:color="auto"/>
        <w:bottom w:val="none" w:sz="0" w:space="0" w:color="auto"/>
        <w:right w:val="none" w:sz="0" w:space="0" w:color="auto"/>
      </w:divBdr>
    </w:div>
    <w:div w:id="199976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6A0A9-AC5F-434D-834E-658019BC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1481</Words>
  <Characters>8447</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Kriska</dc:creator>
  <cp:keywords/>
  <dc:description/>
  <cp:lastModifiedBy>Klaudia Gregušová</cp:lastModifiedBy>
  <cp:revision>28</cp:revision>
  <dcterms:created xsi:type="dcterms:W3CDTF">2022-02-04T12:16:00Z</dcterms:created>
  <dcterms:modified xsi:type="dcterms:W3CDTF">2022-02-25T10:38:00Z</dcterms:modified>
</cp:coreProperties>
</file>