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AB" w:rsidRPr="00DA2A59" w:rsidRDefault="00B466AB" w:rsidP="00B466AB">
      <w:pPr>
        <w:spacing w:after="0" w:line="240" w:lineRule="auto"/>
        <w:jc w:val="center"/>
        <w:rPr>
          <w:rFonts w:ascii="Times New Roman" w:hAnsi="Times New Roman" w:cs="Times New Roman"/>
          <w:b/>
          <w:sz w:val="24"/>
          <w:szCs w:val="24"/>
        </w:rPr>
      </w:pPr>
      <w:r w:rsidRPr="00DA2A59">
        <w:rPr>
          <w:rFonts w:ascii="Times New Roman" w:hAnsi="Times New Roman" w:cs="Times New Roman"/>
          <w:b/>
          <w:sz w:val="24"/>
          <w:szCs w:val="24"/>
        </w:rPr>
        <w:t>DÔVODOVÁ SPRÁVA</w:t>
      </w:r>
    </w:p>
    <w:p w:rsidR="00B466AB" w:rsidRPr="00DA2A59" w:rsidRDefault="00B466AB" w:rsidP="00B466AB">
      <w:pPr>
        <w:spacing w:after="0" w:line="240" w:lineRule="auto"/>
        <w:jc w:val="both"/>
        <w:rPr>
          <w:rFonts w:ascii="Times New Roman" w:hAnsi="Times New Roman" w:cs="Times New Roman"/>
          <w:sz w:val="24"/>
          <w:szCs w:val="24"/>
        </w:rPr>
      </w:pPr>
    </w:p>
    <w:p w:rsidR="00B466AB" w:rsidRPr="00DA2A59" w:rsidRDefault="00B466AB" w:rsidP="00B466AB">
      <w:pPr>
        <w:spacing w:after="0" w:line="240" w:lineRule="auto"/>
        <w:jc w:val="both"/>
        <w:rPr>
          <w:rFonts w:ascii="Times New Roman" w:hAnsi="Times New Roman" w:cs="Times New Roman"/>
          <w:b/>
          <w:sz w:val="24"/>
          <w:szCs w:val="24"/>
        </w:rPr>
      </w:pPr>
      <w:r w:rsidRPr="00DA2A59">
        <w:rPr>
          <w:rFonts w:ascii="Times New Roman" w:hAnsi="Times New Roman" w:cs="Times New Roman"/>
          <w:b/>
          <w:sz w:val="24"/>
          <w:szCs w:val="24"/>
        </w:rPr>
        <w:t>A. Všeobecná časť</w:t>
      </w:r>
    </w:p>
    <w:p w:rsidR="00B466AB" w:rsidRDefault="00B466AB" w:rsidP="00B466AB"/>
    <w:p w:rsidR="00C70A07" w:rsidRPr="00C70A07" w:rsidRDefault="00C70A07" w:rsidP="00C70A07">
      <w:pPr>
        <w:spacing w:after="0" w:line="240" w:lineRule="auto"/>
        <w:ind w:firstLine="708"/>
        <w:jc w:val="both"/>
        <w:rPr>
          <w:rFonts w:ascii="Times New Roman" w:hAnsi="Times New Roman" w:cs="Times New Roman"/>
          <w:sz w:val="24"/>
          <w:szCs w:val="24"/>
        </w:rPr>
      </w:pPr>
      <w:r w:rsidRPr="00C70A07">
        <w:rPr>
          <w:rFonts w:ascii="Times New Roman" w:hAnsi="Times New Roman" w:cs="Times New Roman"/>
          <w:sz w:val="24"/>
          <w:szCs w:val="24"/>
        </w:rPr>
        <w:t>Návrh zákona  o niektorých opatreniach v súvislosti so situáciou na Ukrajine (ďalej len „návrh zákona“) sa predkladá ako iniciatívny materiál.</w:t>
      </w:r>
    </w:p>
    <w:p w:rsidR="00C70A07" w:rsidRPr="00C70A07" w:rsidRDefault="00C70A07" w:rsidP="00C70A07">
      <w:pPr>
        <w:spacing w:after="0" w:line="240" w:lineRule="auto"/>
        <w:ind w:firstLine="708"/>
        <w:jc w:val="both"/>
        <w:rPr>
          <w:rFonts w:ascii="Times New Roman" w:hAnsi="Times New Roman" w:cs="Times New Roman"/>
          <w:sz w:val="24"/>
          <w:szCs w:val="24"/>
        </w:rPr>
      </w:pPr>
    </w:p>
    <w:p w:rsidR="00C70A07" w:rsidRPr="00C70A07" w:rsidRDefault="00C70A07" w:rsidP="00C70A07">
      <w:pPr>
        <w:spacing w:after="0" w:line="240" w:lineRule="auto"/>
        <w:ind w:firstLine="708"/>
        <w:jc w:val="both"/>
        <w:rPr>
          <w:rFonts w:ascii="Times New Roman" w:hAnsi="Times New Roman" w:cs="Times New Roman"/>
          <w:sz w:val="24"/>
          <w:szCs w:val="24"/>
        </w:rPr>
      </w:pPr>
      <w:r w:rsidRPr="00C70A07">
        <w:rPr>
          <w:rFonts w:ascii="Times New Roman" w:hAnsi="Times New Roman" w:cs="Times New Roman"/>
          <w:sz w:val="24"/>
          <w:szCs w:val="24"/>
        </w:rPr>
        <w:t>Návrh zákona reaguje na aktuálny nepriaznivý vývoj na Ukrajine po uznaní  separatistických oblastí Donecka a Luhanska na východe jej územia Ruskou federáciou a následnej ruskej vojenskej invázi</w:t>
      </w:r>
      <w:r w:rsidR="007E0186">
        <w:rPr>
          <w:rFonts w:ascii="Times New Roman" w:hAnsi="Times New Roman" w:cs="Times New Roman"/>
          <w:sz w:val="24"/>
          <w:szCs w:val="24"/>
        </w:rPr>
        <w:t>e</w:t>
      </w:r>
      <w:r w:rsidRPr="00C70A07">
        <w:rPr>
          <w:rFonts w:ascii="Times New Roman" w:hAnsi="Times New Roman" w:cs="Times New Roman"/>
          <w:sz w:val="24"/>
          <w:szCs w:val="24"/>
        </w:rPr>
        <w:t xml:space="preserve"> na Ukrajinu. Tento nepriaznivý vývoj môže vyústiť do masovej migrácie cudzincov na naše územie. V dôsledku toho bude potrebné realizovať opatrenia hospodárskej mobilizácie, a to najmä vecné plnenia s ohľadom na potrebu zabezpečenia ubytovania cudzincov, organizáciu dopravného zabezpečenia, organizáciu zdravotníckeho zabezpečenia a prípadne s tým súvisiace uloženie pracovnej povinnosti. Realizácii týchto opatrení musí predchádzať vyhlásenie príslušnej krízovej situácie. Navrhuje sa preto zakotviť do zákona o civilnej ochrane hromadný prílev cudzincov ako udalosť, ktorá umožňuje vyhlásenie mimoriadnej situácie. Súčasťou návrhu zákona je aj novela zákona o azyle, ktorá umožní vláde Slovenskej republiky vyhlásiť poskytovanie dočasného útočiska aj bez rozhodnutia Rady Európskej únie a precizujú sa ustanovenia, ktoré upravujú poskytnutie dočasného útočiska. Úpravou zákona o kybernetickej bezpečnosti sa sleduje cieľ zamedziť šíreniu škodlivého obsahu na internete prostredníctvom nového inštitútu „blokovania“.</w:t>
      </w:r>
    </w:p>
    <w:p w:rsidR="00C70A07" w:rsidRDefault="00C70A07" w:rsidP="00C70A07">
      <w:pPr>
        <w:spacing w:after="0" w:line="240" w:lineRule="auto"/>
        <w:ind w:firstLine="708"/>
        <w:jc w:val="both"/>
        <w:rPr>
          <w:rFonts w:ascii="Times New Roman" w:hAnsi="Times New Roman" w:cs="Times New Roman"/>
          <w:sz w:val="24"/>
          <w:szCs w:val="24"/>
        </w:rPr>
      </w:pPr>
    </w:p>
    <w:p w:rsidR="00C70A07" w:rsidRPr="00C70A07" w:rsidRDefault="00C70A07" w:rsidP="00C70A07">
      <w:pPr>
        <w:spacing w:after="0" w:line="240" w:lineRule="auto"/>
        <w:ind w:firstLine="708"/>
        <w:jc w:val="both"/>
        <w:rPr>
          <w:rFonts w:ascii="Times New Roman" w:hAnsi="Times New Roman" w:cs="Times New Roman"/>
          <w:sz w:val="24"/>
          <w:szCs w:val="24"/>
        </w:rPr>
      </w:pPr>
      <w:r w:rsidRPr="00C70A07">
        <w:rPr>
          <w:rFonts w:ascii="Times New Roman" w:hAnsi="Times New Roman" w:cs="Times New Roman"/>
          <w:sz w:val="24"/>
          <w:szCs w:val="24"/>
        </w:rPr>
        <w:t xml:space="preserve">Návrh  zákona bude mať negatívny vplyv na rozpočet verejnej správy. Nebude mať vplyv na podnikateľské prostredie, sociálne vplyvy, vplyvy na informatizáciu, na služby pre občana, na životné prostredie a manželstvo, rodičovstvo a rodinu. </w:t>
      </w:r>
    </w:p>
    <w:p w:rsidR="00C70A07" w:rsidRPr="00C70A07" w:rsidRDefault="00C70A07" w:rsidP="00C70A07">
      <w:pPr>
        <w:spacing w:after="0" w:line="240" w:lineRule="auto"/>
        <w:ind w:firstLine="708"/>
        <w:jc w:val="both"/>
        <w:rPr>
          <w:rFonts w:ascii="Times New Roman" w:hAnsi="Times New Roman" w:cs="Times New Roman"/>
          <w:sz w:val="24"/>
          <w:szCs w:val="24"/>
        </w:rPr>
      </w:pPr>
    </w:p>
    <w:p w:rsidR="00C70A07" w:rsidRPr="00C70A07" w:rsidRDefault="00C70A07" w:rsidP="00C70A07">
      <w:pPr>
        <w:spacing w:after="0" w:line="240" w:lineRule="auto"/>
        <w:ind w:firstLine="708"/>
        <w:jc w:val="both"/>
        <w:rPr>
          <w:rFonts w:ascii="Times New Roman" w:hAnsi="Times New Roman" w:cs="Times New Roman"/>
          <w:sz w:val="24"/>
          <w:szCs w:val="24"/>
        </w:rPr>
      </w:pPr>
      <w:r w:rsidRPr="00C70A07">
        <w:rPr>
          <w:rFonts w:ascii="Times New Roman" w:hAnsi="Times New Roman" w:cs="Times New Roman"/>
          <w:sz w:val="24"/>
          <w:szCs w:val="24"/>
        </w:rPr>
        <w:t>Negatívny vplyv na rozpočet verejnej správy je vyvolaný potrebou navýšenia štyroch funkčných miest pre Národný bezpečnostný úrad v súvislosti s novo navrhovaným inštitútom „blokovania“ škodlivého obsahu na internete.</w:t>
      </w:r>
    </w:p>
    <w:p w:rsidR="00C70A07" w:rsidRPr="00C70A07" w:rsidRDefault="00C70A07" w:rsidP="00C70A07">
      <w:pPr>
        <w:spacing w:after="0" w:line="240" w:lineRule="auto"/>
        <w:ind w:firstLine="708"/>
        <w:jc w:val="both"/>
        <w:rPr>
          <w:rFonts w:ascii="Times New Roman" w:hAnsi="Times New Roman" w:cs="Times New Roman"/>
          <w:sz w:val="24"/>
          <w:szCs w:val="24"/>
        </w:rPr>
      </w:pPr>
    </w:p>
    <w:p w:rsidR="00B466AB" w:rsidRDefault="00C70A07" w:rsidP="00C70A07">
      <w:pPr>
        <w:spacing w:after="0" w:line="240" w:lineRule="auto"/>
        <w:ind w:firstLine="708"/>
        <w:jc w:val="both"/>
      </w:pPr>
      <w:r w:rsidRPr="00C70A07">
        <w:rPr>
          <w:rFonts w:ascii="Times New Roman" w:hAnsi="Times New Roman" w:cs="Times New Roman"/>
          <w:sz w:val="24"/>
          <w:szCs w:val="24"/>
        </w:rPr>
        <w:t>Návrh zákona je v súlade s Ústavou Slovenskej republiky, ústavnými zákonmi, nálezmi Ústavného súdu Slovenskej republiky, medzinárodnými zmluvami, ktorými je Slovenská republika viazaná, zákonmi a ostatnými všeobecne záväznými právnymi predpismi a súčasne je v súlade s právom Európskej únie.</w:t>
      </w:r>
      <w:r w:rsidRPr="00C70A07">
        <w:rPr>
          <w:rFonts w:ascii="Times New Roman" w:hAnsi="Times New Roman" w:cs="Times New Roman"/>
          <w:sz w:val="24"/>
          <w:szCs w:val="24"/>
        </w:rPr>
        <w:tab/>
      </w:r>
      <w:r w:rsidR="00B466AB" w:rsidRPr="00DA2A59">
        <w:rPr>
          <w:rFonts w:ascii="Times New Roman" w:hAnsi="Times New Roman" w:cs="Times New Roman"/>
          <w:sz w:val="24"/>
          <w:szCs w:val="24"/>
        </w:rPr>
        <w:tab/>
      </w: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466AB" w:rsidRDefault="00B466AB" w:rsidP="00EB6AED">
      <w:pPr>
        <w:spacing w:after="0" w:line="240" w:lineRule="auto"/>
        <w:jc w:val="center"/>
        <w:rPr>
          <w:rFonts w:ascii="Times New Roman" w:eastAsia="Times New Roman" w:hAnsi="Times New Roman" w:cs="Times New Roman"/>
          <w:b/>
          <w:smallCaps/>
          <w:sz w:val="24"/>
          <w:szCs w:val="24"/>
        </w:rPr>
      </w:pPr>
    </w:p>
    <w:p w:rsidR="00BB55DC" w:rsidRDefault="00BB55DC">
      <w:pPr>
        <w:spacing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403A0" w:rsidRPr="006045CB" w:rsidRDefault="00F403A0" w:rsidP="00F403A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w:t>
      </w:r>
      <w:r w:rsidRPr="006045CB">
        <w:rPr>
          <w:rFonts w:ascii="Times New Roman" w:eastAsia="Times New Roman" w:hAnsi="Times New Roman" w:cs="Times New Roman"/>
          <w:b/>
          <w:sz w:val="28"/>
          <w:szCs w:val="28"/>
        </w:rPr>
        <w:t>oložka vybraných vplyvov</w:t>
      </w:r>
    </w:p>
    <w:p w:rsidR="00F403A0" w:rsidRPr="00B043B4" w:rsidRDefault="00F403A0" w:rsidP="00F403A0">
      <w:pPr>
        <w:spacing w:after="200" w:line="276" w:lineRule="auto"/>
        <w:ind w:left="426"/>
        <w:contextualSpacing/>
        <w:rPr>
          <w:rFonts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403A0" w:rsidRPr="00B043B4" w:rsidTr="007E0186">
        <w:tc>
          <w:tcPr>
            <w:tcW w:w="9180" w:type="dxa"/>
            <w:gridSpan w:val="11"/>
            <w:tcBorders>
              <w:bottom w:val="single" w:sz="4" w:space="0" w:color="FFFFFF"/>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Základné údaje</w:t>
            </w:r>
          </w:p>
        </w:tc>
      </w:tr>
      <w:tr w:rsidR="00F403A0" w:rsidRPr="00B043B4" w:rsidTr="007E0186">
        <w:tc>
          <w:tcPr>
            <w:tcW w:w="9180" w:type="dxa"/>
            <w:gridSpan w:val="11"/>
            <w:tcBorders>
              <w:bottom w:val="single" w:sz="4" w:space="0" w:color="FFFFFF"/>
            </w:tcBorders>
            <w:shd w:val="clear" w:color="auto" w:fill="E2E2E2"/>
          </w:tcPr>
          <w:p w:rsidR="00F403A0" w:rsidRPr="00B043B4" w:rsidRDefault="00F403A0" w:rsidP="007E0186">
            <w:pPr>
              <w:spacing w:after="200" w:line="276" w:lineRule="auto"/>
              <w:ind w:left="142"/>
              <w:contextualSpacing/>
              <w:rPr>
                <w:rFonts w:ascii="Times New Roman" w:hAnsi="Times New Roman" w:cs="Times New Roman"/>
                <w:b/>
              </w:rPr>
            </w:pPr>
            <w:r w:rsidRPr="00B043B4">
              <w:rPr>
                <w:rFonts w:ascii="Times New Roman" w:hAnsi="Times New Roman" w:cs="Times New Roman"/>
                <w:b/>
              </w:rPr>
              <w:t>Názov materiálu</w:t>
            </w:r>
          </w:p>
        </w:tc>
      </w:tr>
      <w:tr w:rsidR="00F403A0" w:rsidRPr="00B043B4" w:rsidTr="007E0186">
        <w:tc>
          <w:tcPr>
            <w:tcW w:w="9180" w:type="dxa"/>
            <w:gridSpan w:val="11"/>
            <w:tcBorders>
              <w:top w:val="single" w:sz="4" w:space="0" w:color="FFFFFF"/>
              <w:bottom w:val="single" w:sz="4" w:space="0" w:color="auto"/>
            </w:tcBorders>
          </w:tcPr>
          <w:p w:rsidR="00F403A0" w:rsidRDefault="00F403A0" w:rsidP="007E0186">
            <w:pPr>
              <w:jc w:val="both"/>
              <w:rPr>
                <w:rFonts w:ascii="Times New Roman" w:hAnsi="Times New Roman"/>
                <w:sz w:val="20"/>
                <w:szCs w:val="20"/>
              </w:rPr>
            </w:pPr>
            <w:r w:rsidRPr="00BA7DB0">
              <w:rPr>
                <w:rFonts w:ascii="Times New Roman" w:eastAsia="Times New Roman" w:hAnsi="Times New Roman" w:cs="Times New Roman"/>
                <w:sz w:val="20"/>
                <w:szCs w:val="20"/>
              </w:rPr>
              <w:t xml:space="preserve">Návrh zákona </w:t>
            </w:r>
            <w:r w:rsidRPr="00BA7DB0">
              <w:rPr>
                <w:rFonts w:ascii="Times New Roman" w:hAnsi="Times New Roman"/>
                <w:sz w:val="20"/>
                <w:szCs w:val="20"/>
              </w:rPr>
              <w:t>o niektorých opatreniach v súvislosti so situáciou na Ukrajine</w:t>
            </w:r>
          </w:p>
          <w:p w:rsidR="00F403A0" w:rsidRPr="00BA7DB0" w:rsidRDefault="00F403A0" w:rsidP="007E0186">
            <w:pPr>
              <w:jc w:val="both"/>
              <w:rPr>
                <w:rFonts w:ascii="Times New Roman" w:eastAsia="Times New Roman" w:hAnsi="Times New Roman" w:cs="Times New Roman"/>
                <w:sz w:val="20"/>
                <w:szCs w:val="20"/>
              </w:rPr>
            </w:pPr>
          </w:p>
        </w:tc>
      </w:tr>
      <w:tr w:rsidR="00F403A0" w:rsidRPr="00B043B4" w:rsidTr="007E0186">
        <w:tc>
          <w:tcPr>
            <w:tcW w:w="9180" w:type="dxa"/>
            <w:gridSpan w:val="11"/>
            <w:tcBorders>
              <w:top w:val="single" w:sz="4" w:space="0" w:color="auto"/>
              <w:left w:val="single" w:sz="4" w:space="0" w:color="auto"/>
              <w:bottom w:val="single" w:sz="4" w:space="0" w:color="FFFFFF"/>
            </w:tcBorders>
            <w:shd w:val="clear" w:color="auto" w:fill="E2E2E2"/>
          </w:tcPr>
          <w:p w:rsidR="00F403A0" w:rsidRPr="00B043B4" w:rsidRDefault="00F403A0" w:rsidP="007E0186">
            <w:pPr>
              <w:spacing w:after="200" w:line="276" w:lineRule="auto"/>
              <w:ind w:left="142"/>
              <w:contextualSpacing/>
              <w:rPr>
                <w:rFonts w:ascii="Times New Roman" w:hAnsi="Times New Roman" w:cs="Times New Roman"/>
                <w:b/>
              </w:rPr>
            </w:pPr>
            <w:r w:rsidRPr="00B043B4">
              <w:rPr>
                <w:rFonts w:ascii="Times New Roman" w:hAnsi="Times New Roman" w:cs="Times New Roman"/>
                <w:b/>
              </w:rPr>
              <w:t>Predkladateľ (a spolupredkladateľ)</w:t>
            </w:r>
          </w:p>
        </w:tc>
      </w:tr>
      <w:tr w:rsidR="00F403A0" w:rsidRPr="00B043B4" w:rsidTr="007E0186">
        <w:tc>
          <w:tcPr>
            <w:tcW w:w="9180" w:type="dxa"/>
            <w:gridSpan w:val="11"/>
            <w:tcBorders>
              <w:top w:val="single" w:sz="4" w:space="0" w:color="FFFFFF"/>
              <w:left w:val="single" w:sz="4" w:space="0" w:color="auto"/>
              <w:bottom w:val="single" w:sz="4" w:space="0" w:color="auto"/>
            </w:tcBorders>
            <w:shd w:val="clear" w:color="auto" w:fill="FFFFFF"/>
          </w:tcPr>
          <w:p w:rsidR="00F403A0" w:rsidRPr="00B043B4"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Minister vnútra Slovenskej republiky</w:t>
            </w:r>
          </w:p>
          <w:p w:rsidR="00F403A0" w:rsidRPr="00B043B4" w:rsidRDefault="00F403A0" w:rsidP="007E0186">
            <w:pPr>
              <w:rPr>
                <w:rFonts w:ascii="Times New Roman" w:eastAsia="Times New Roman" w:hAnsi="Times New Roman" w:cs="Times New Roman"/>
                <w:sz w:val="20"/>
                <w:szCs w:val="20"/>
              </w:rPr>
            </w:pPr>
          </w:p>
        </w:tc>
      </w:tr>
      <w:tr w:rsidR="00F403A0" w:rsidRPr="00B043B4" w:rsidTr="007E018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403A0" w:rsidRPr="00B043B4" w:rsidRDefault="00F403A0" w:rsidP="007E0186">
            <w:pPr>
              <w:spacing w:after="200" w:line="276" w:lineRule="auto"/>
              <w:ind w:left="142"/>
              <w:contextualSpacing/>
              <w:rPr>
                <w:rFonts w:ascii="Times New Roman" w:hAnsi="Times New Roman" w:cs="Times New Roman"/>
                <w:b/>
              </w:rPr>
            </w:pPr>
            <w:r w:rsidRPr="00B043B4">
              <w:rPr>
                <w:rFonts w:ascii="Times New Roman" w:hAnsi="Times New Roman" w:cs="Times New Roman"/>
                <w:b/>
              </w:rPr>
              <w:t>Charakter predkladaného materiálu</w:t>
            </w:r>
          </w:p>
        </w:tc>
        <w:sdt>
          <w:sdtPr>
            <w:rPr>
              <w:rFonts w:ascii="Times New Roman" w:eastAsia="Times New Roman" w:hAnsi="Times New Roman" w:cs="Times New Roman"/>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Materiál nelegislatívnej povahy</w:t>
            </w:r>
          </w:p>
        </w:tc>
      </w:tr>
      <w:tr w:rsidR="00F403A0" w:rsidRPr="00B043B4" w:rsidTr="007E0186">
        <w:tc>
          <w:tcPr>
            <w:tcW w:w="4212" w:type="dxa"/>
            <w:gridSpan w:val="2"/>
            <w:vMerge/>
            <w:tcBorders>
              <w:top w:val="nil"/>
              <w:left w:val="single" w:sz="4" w:space="0" w:color="auto"/>
              <w:bottom w:val="single" w:sz="4" w:space="0" w:color="FFFFFF"/>
            </w:tcBorders>
            <w:shd w:val="clear" w:color="auto" w:fill="E2E2E2"/>
          </w:tcPr>
          <w:p w:rsidR="00F403A0" w:rsidRPr="00B043B4" w:rsidRDefault="00F403A0" w:rsidP="007E0186">
            <w:pP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F403A0" w:rsidRPr="00B043B4" w:rsidRDefault="00F403A0" w:rsidP="007E0186">
            <w:pPr>
              <w:ind w:left="175" w:hanging="175"/>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Materiál legislatívnej povahy</w:t>
            </w:r>
          </w:p>
        </w:tc>
      </w:tr>
      <w:tr w:rsidR="00F403A0" w:rsidRPr="00B043B4" w:rsidTr="007E0186">
        <w:tc>
          <w:tcPr>
            <w:tcW w:w="4212" w:type="dxa"/>
            <w:gridSpan w:val="2"/>
            <w:vMerge/>
            <w:tcBorders>
              <w:top w:val="nil"/>
              <w:left w:val="single" w:sz="4" w:space="0" w:color="auto"/>
              <w:bottom w:val="single" w:sz="4" w:space="0" w:color="auto"/>
            </w:tcBorders>
            <w:shd w:val="clear" w:color="auto" w:fill="E2E2E2"/>
          </w:tcPr>
          <w:p w:rsidR="00F403A0" w:rsidRPr="00B043B4" w:rsidRDefault="00F403A0" w:rsidP="007E0186">
            <w:pP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Transpozícia práva EÚ</w:t>
            </w:r>
          </w:p>
        </w:tc>
      </w:tr>
      <w:tr w:rsidR="00F403A0" w:rsidRPr="00B043B4" w:rsidTr="007E0186">
        <w:tc>
          <w:tcPr>
            <w:tcW w:w="9180" w:type="dxa"/>
            <w:gridSpan w:val="11"/>
            <w:tcBorders>
              <w:top w:val="single" w:sz="4" w:space="0" w:color="auto"/>
              <w:left w:val="single" w:sz="4" w:space="0" w:color="auto"/>
              <w:bottom w:val="single" w:sz="4" w:space="0" w:color="FFFFFF"/>
            </w:tcBorders>
            <w:shd w:val="clear" w:color="auto" w:fill="FFFFFF"/>
          </w:tcPr>
          <w:p w:rsidR="00F403A0"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V prípade transpozície uveďte zoznam transponovaných predpisov:</w:t>
            </w:r>
          </w:p>
          <w:p w:rsidR="00F403A0" w:rsidRPr="00B043B4" w:rsidRDefault="00F403A0" w:rsidP="004C6B36">
            <w:pPr>
              <w:jc w:val="both"/>
              <w:rPr>
                <w:rFonts w:ascii="Times New Roman" w:eastAsia="Times New Roman" w:hAnsi="Times New Roman" w:cs="Times New Roman"/>
                <w:sz w:val="20"/>
                <w:szCs w:val="20"/>
              </w:rPr>
            </w:pPr>
            <w:r w:rsidRPr="002E1DF4">
              <w:rPr>
                <w:rFonts w:ascii="Times New Roman" w:eastAsia="Times New Roman" w:hAnsi="Times New Roman" w:cs="Times New Roman"/>
                <w:sz w:val="20"/>
                <w:szCs w:val="20"/>
              </w:rPr>
              <w:t>I keď je k návrhu zákona vypracovan</w:t>
            </w:r>
            <w:r>
              <w:rPr>
                <w:rFonts w:ascii="Times New Roman" w:eastAsia="Times New Roman" w:hAnsi="Times New Roman" w:cs="Times New Roman"/>
                <w:sz w:val="20"/>
                <w:szCs w:val="20"/>
              </w:rPr>
              <w:t>é</w:t>
            </w:r>
            <w:r w:rsidRPr="002E1DF4">
              <w:rPr>
                <w:rFonts w:ascii="Times New Roman" w:eastAsia="Times New Roman" w:hAnsi="Times New Roman" w:cs="Times New Roman"/>
                <w:sz w:val="20"/>
                <w:szCs w:val="20"/>
              </w:rPr>
              <w:t xml:space="preserve"> tabuľk</w:t>
            </w:r>
            <w:r>
              <w:rPr>
                <w:rFonts w:ascii="Times New Roman" w:eastAsia="Times New Roman" w:hAnsi="Times New Roman" w:cs="Times New Roman"/>
                <w:sz w:val="20"/>
                <w:szCs w:val="20"/>
              </w:rPr>
              <w:t>y</w:t>
            </w:r>
            <w:r w:rsidRPr="002E1DF4">
              <w:rPr>
                <w:rFonts w:ascii="Times New Roman" w:eastAsia="Times New Roman" w:hAnsi="Times New Roman" w:cs="Times New Roman"/>
                <w:sz w:val="20"/>
                <w:szCs w:val="20"/>
              </w:rPr>
              <w:t xml:space="preserve"> zhody, nejde o</w:t>
            </w:r>
            <w:r>
              <w:rPr>
                <w:rFonts w:ascii="Times New Roman" w:eastAsia="Times New Roman" w:hAnsi="Times New Roman" w:cs="Times New Roman"/>
                <w:sz w:val="20"/>
                <w:szCs w:val="20"/>
              </w:rPr>
              <w:t> </w:t>
            </w:r>
            <w:r w:rsidRPr="002E1DF4">
              <w:rPr>
                <w:rFonts w:ascii="Times New Roman" w:eastAsia="Times New Roman" w:hAnsi="Times New Roman" w:cs="Times New Roman"/>
                <w:sz w:val="20"/>
                <w:szCs w:val="20"/>
              </w:rPr>
              <w:t>transpozíciu</w:t>
            </w:r>
            <w:r>
              <w:rPr>
                <w:rFonts w:ascii="Times New Roman" w:eastAsia="Times New Roman" w:hAnsi="Times New Roman" w:cs="Times New Roman"/>
                <w:sz w:val="20"/>
                <w:szCs w:val="20"/>
              </w:rPr>
              <w:t>.</w:t>
            </w:r>
            <w:r w:rsidRPr="002E1DF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Ide </w:t>
            </w:r>
            <w:r w:rsidRPr="002E1DF4">
              <w:rPr>
                <w:rFonts w:ascii="Times New Roman" w:eastAsia="Times New Roman" w:hAnsi="Times New Roman" w:cs="Times New Roman"/>
                <w:sz w:val="20"/>
                <w:szCs w:val="20"/>
              </w:rPr>
              <w:t xml:space="preserve">iba sprecizovanie už prebratých ustanovení smernice </w:t>
            </w:r>
            <w:r w:rsidRPr="002E1DF4">
              <w:rPr>
                <w:rFonts w:ascii="Times New Roman" w:eastAsia="Times New Roman" w:hAnsi="Times New Roman" w:cs="Times New Roman"/>
                <w:sz w:val="20"/>
                <w:szCs w:val="20"/>
                <w:lang w:eastAsia="ar-SA"/>
              </w:rPr>
              <w:t>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w:t>
            </w:r>
            <w:r>
              <w:rPr>
                <w:rFonts w:ascii="Times New Roman" w:eastAsia="Times New Roman" w:hAnsi="Times New Roman" w:cs="Times New Roman"/>
                <w:sz w:val="20"/>
                <w:szCs w:val="20"/>
                <w:lang w:eastAsia="ar-SA"/>
              </w:rPr>
              <w:t>,</w:t>
            </w:r>
            <w:r w:rsidRPr="002E1DF4">
              <w:rPr>
                <w:rFonts w:ascii="Times New Roman" w:eastAsia="Times New Roman" w:hAnsi="Times New Roman" w:cs="Times New Roman"/>
                <w:sz w:val="20"/>
                <w:szCs w:val="20"/>
                <w:lang w:eastAsia="ar-SA"/>
              </w:rPr>
              <w:t xml:space="preserve"> vo vzťahu k</w:t>
            </w:r>
            <w:r>
              <w:rPr>
                <w:rFonts w:ascii="Times New Roman" w:eastAsia="Times New Roman" w:hAnsi="Times New Roman" w:cs="Times New Roman"/>
                <w:sz w:val="20"/>
                <w:szCs w:val="20"/>
                <w:lang w:eastAsia="ar-SA"/>
              </w:rPr>
              <w:t xml:space="preserve"> aktuálnej </w:t>
            </w:r>
            <w:r w:rsidRPr="002E1DF4">
              <w:rPr>
                <w:rFonts w:ascii="Times New Roman" w:eastAsia="Times New Roman" w:hAnsi="Times New Roman" w:cs="Times New Roman"/>
                <w:sz w:val="20"/>
                <w:szCs w:val="20"/>
                <w:lang w:eastAsia="ar-SA"/>
              </w:rPr>
              <w:t>situácii medzi Ukrajinou a Ruskom.</w:t>
            </w:r>
            <w:r>
              <w:rPr>
                <w:rFonts w:ascii="Times New Roman" w:eastAsia="Times New Roman" w:hAnsi="Times New Roman" w:cs="Times New Roman"/>
                <w:sz w:val="20"/>
                <w:szCs w:val="20"/>
                <w:lang w:eastAsia="ar-SA"/>
              </w:rPr>
              <w:t xml:space="preserve"> </w:t>
            </w:r>
          </w:p>
        </w:tc>
      </w:tr>
      <w:tr w:rsidR="00F403A0" w:rsidRPr="00B043B4" w:rsidTr="007E018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403A0" w:rsidRPr="00B043B4" w:rsidRDefault="00F403A0" w:rsidP="007E0186">
            <w:pPr>
              <w:spacing w:after="200" w:line="276" w:lineRule="auto"/>
              <w:ind w:left="142"/>
              <w:contextualSpacing/>
              <w:rPr>
                <w:rFonts w:ascii="Times New Roman" w:hAnsi="Times New Roman" w:cs="Times New Roman"/>
                <w:b/>
              </w:rPr>
            </w:pPr>
            <w:r w:rsidRPr="00B043B4">
              <w:rPr>
                <w:rFonts w:ascii="Times New Roman"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403A0" w:rsidRPr="00B043B4" w:rsidRDefault="00F403A0" w:rsidP="007E0186">
            <w:pPr>
              <w:rPr>
                <w:rFonts w:ascii="Times New Roman" w:eastAsia="Times New Roman" w:hAnsi="Times New Roman" w:cs="Times New Roman"/>
                <w:i/>
                <w:sz w:val="20"/>
                <w:szCs w:val="20"/>
              </w:rPr>
            </w:pPr>
          </w:p>
        </w:tc>
      </w:tr>
      <w:tr w:rsidR="00F403A0" w:rsidRPr="00B043B4" w:rsidTr="007E018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7E0186">
            <w:pPr>
              <w:spacing w:after="200" w:line="276" w:lineRule="auto"/>
              <w:ind w:left="142"/>
              <w:contextualSpacing/>
              <w:rPr>
                <w:rFonts w:ascii="Times New Roman" w:hAnsi="Times New Roman" w:cs="Times New Roman"/>
                <w:b/>
              </w:rPr>
            </w:pPr>
            <w:r w:rsidRPr="00B043B4">
              <w:rPr>
                <w:rFonts w:ascii="Times New Roman" w:hAnsi="Times New Roman" w:cs="Times New Roman"/>
                <w:b/>
              </w:rPr>
              <w:t>Predpokl</w:t>
            </w:r>
            <w:r>
              <w:rPr>
                <w:rFonts w:ascii="Times New Roman"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403A0" w:rsidRPr="00B043B4" w:rsidRDefault="00F403A0" w:rsidP="007E0186">
            <w:pPr>
              <w:rPr>
                <w:rFonts w:ascii="Times New Roman" w:eastAsia="Times New Roman" w:hAnsi="Times New Roman" w:cs="Times New Roman"/>
                <w:i/>
                <w:sz w:val="20"/>
                <w:szCs w:val="20"/>
              </w:rPr>
            </w:pPr>
          </w:p>
        </w:tc>
      </w:tr>
      <w:tr w:rsidR="00F403A0" w:rsidRPr="00B043B4" w:rsidTr="007E018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7E0186">
            <w:pPr>
              <w:spacing w:line="276" w:lineRule="auto"/>
              <w:ind w:left="142"/>
              <w:contextualSpacing/>
              <w:rPr>
                <w:rFonts w:cs="Times New Roman"/>
                <w:b/>
              </w:rPr>
            </w:pPr>
            <w:r w:rsidRPr="00B043B4">
              <w:rPr>
                <w:rFonts w:ascii="Times New Roman" w:hAnsi="Times New Roman" w:cs="Times New Roman"/>
                <w:b/>
              </w:rPr>
              <w:t>Predpokladaný termín začiatku a ukončenia ZP**</w:t>
            </w:r>
            <w:r w:rsidRPr="00B043B4">
              <w:rPr>
                <w:rFonts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403A0" w:rsidRPr="00B043B4" w:rsidRDefault="00F403A0" w:rsidP="007E0186">
            <w:pPr>
              <w:rPr>
                <w:rFonts w:ascii="Times New Roman" w:eastAsia="Times New Roman" w:hAnsi="Times New Roman" w:cs="Times New Roman"/>
                <w:i/>
                <w:sz w:val="20"/>
                <w:szCs w:val="20"/>
              </w:rPr>
            </w:pPr>
          </w:p>
        </w:tc>
      </w:tr>
      <w:tr w:rsidR="00F403A0" w:rsidRPr="00B043B4" w:rsidTr="007E018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7E0186">
            <w:pPr>
              <w:spacing w:after="200" w:line="276" w:lineRule="auto"/>
              <w:ind w:left="142"/>
              <w:contextualSpacing/>
              <w:jc w:val="both"/>
              <w:rPr>
                <w:rFonts w:ascii="Times New Roman" w:hAnsi="Times New Roman" w:cs="Times New Roman"/>
                <w:b/>
              </w:rPr>
            </w:pPr>
            <w:r w:rsidRPr="00B043B4">
              <w:rPr>
                <w:rFonts w:ascii="Times New Roman"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403A0" w:rsidRPr="007F6D5A"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25. február 2022</w:t>
            </w:r>
          </w:p>
        </w:tc>
      </w:tr>
      <w:tr w:rsidR="00F403A0" w:rsidRPr="00B043B4" w:rsidTr="007E0186">
        <w:tc>
          <w:tcPr>
            <w:tcW w:w="9180" w:type="dxa"/>
            <w:gridSpan w:val="11"/>
            <w:tcBorders>
              <w:top w:val="single" w:sz="4" w:space="0" w:color="auto"/>
              <w:left w:val="nil"/>
              <w:bottom w:val="single" w:sz="4" w:space="0" w:color="auto"/>
              <w:right w:val="nil"/>
            </w:tcBorders>
            <w:shd w:val="clear" w:color="auto" w:fill="FFFFFF"/>
          </w:tcPr>
          <w:p w:rsidR="00F403A0" w:rsidRPr="00B043B4" w:rsidRDefault="00F403A0" w:rsidP="007E0186">
            <w:pPr>
              <w:rPr>
                <w:rFonts w:ascii="Times New Roman" w:eastAsia="Times New Roman" w:hAnsi="Times New Roman" w:cs="Times New Roman"/>
                <w:sz w:val="20"/>
                <w:szCs w:val="20"/>
              </w:rPr>
            </w:pPr>
          </w:p>
        </w:tc>
      </w:tr>
      <w:tr w:rsidR="00F403A0" w:rsidRPr="00B043B4" w:rsidTr="007E018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Definovanie problému</w:t>
            </w:r>
          </w:p>
        </w:tc>
      </w:tr>
      <w:tr w:rsidR="00F403A0" w:rsidRPr="00B043B4" w:rsidTr="007E018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403A0" w:rsidRPr="00BA7DB0" w:rsidRDefault="00F403A0" w:rsidP="007E0186">
            <w:pPr>
              <w:jc w:val="both"/>
              <w:rPr>
                <w:rFonts w:ascii="Times New Roman" w:eastAsia="Times New Roman" w:hAnsi="Times New Roman" w:cs="Times New Roman"/>
                <w:i/>
                <w:sz w:val="20"/>
                <w:szCs w:val="20"/>
              </w:rPr>
            </w:pPr>
            <w:r w:rsidRPr="00BA7DB0">
              <w:rPr>
                <w:rFonts w:ascii="Times New Roman" w:eastAsia="Times New Roman" w:hAnsi="Times New Roman" w:cs="Times New Roman"/>
                <w:i/>
                <w:sz w:val="20"/>
                <w:szCs w:val="20"/>
              </w:rPr>
              <w:t>Uveďte základné problémy, ktoré sú dôvodom vypracovania predkladaného  materiálu (dôvody majú presne poukázať na problém, ktorý existuje a je nutné ho predloženým materiálom riešiť).</w:t>
            </w:r>
          </w:p>
          <w:p w:rsidR="00F403A0" w:rsidRPr="00BA7DB0" w:rsidRDefault="00F403A0" w:rsidP="007E0186">
            <w:pPr>
              <w:jc w:val="both"/>
              <w:rPr>
                <w:rFonts w:ascii="Times New Roman" w:eastAsia="Times New Roman" w:hAnsi="Times New Roman" w:cs="Times New Roman"/>
                <w:sz w:val="20"/>
                <w:szCs w:val="20"/>
              </w:rPr>
            </w:pPr>
          </w:p>
          <w:p w:rsidR="00F403A0" w:rsidRPr="00BA7DB0" w:rsidRDefault="00F403A0" w:rsidP="007E0186">
            <w:pPr>
              <w:jc w:val="both"/>
              <w:rPr>
                <w:rFonts w:ascii="Times New Roman" w:eastAsia="Times New Roman" w:hAnsi="Times New Roman" w:cs="Times New Roman"/>
                <w:b/>
                <w:sz w:val="20"/>
                <w:szCs w:val="20"/>
              </w:rPr>
            </w:pPr>
            <w:r w:rsidRPr="00BA7DB0">
              <w:rPr>
                <w:rFonts w:ascii="Times New Roman" w:eastAsia="Times New Roman" w:hAnsi="Times New Roman" w:cs="Times New Roman"/>
                <w:sz w:val="20"/>
                <w:szCs w:val="20"/>
              </w:rPr>
              <w:t xml:space="preserve">Problémom je nepriaznivý vývoj situácie medzi Ukrajinou a Ruskom po uznaní separatistických oblastí Donecka a Luhanska na východe Ukrajiny Ruskou federáciou </w:t>
            </w:r>
            <w:r w:rsidRPr="00BA7DB0">
              <w:rPr>
                <w:rFonts w:ascii="Times New Roman" w:hAnsi="Times New Roman"/>
                <w:sz w:val="20"/>
                <w:szCs w:val="20"/>
              </w:rPr>
              <w:t>a následnej invázii ruských vojsk na Ukrajinu</w:t>
            </w:r>
            <w:r w:rsidRPr="00BA7DB0">
              <w:rPr>
                <w:rFonts w:ascii="Times New Roman" w:eastAsia="Times New Roman" w:hAnsi="Times New Roman" w:cs="Times New Roman"/>
                <w:sz w:val="20"/>
                <w:szCs w:val="20"/>
              </w:rPr>
              <w:t xml:space="preserve">, ktorý môže v prípade ozbrojeného konfliktu vyústiť do masovej migrácie cudzincov na naše územie. V tejto súvislosti je potrebné vytvoriť legislatívny rámec na vykonanie potrebných opatrení a okamžitej reakcie Slovenskej republiky  na vzniknutú situáciu.  </w:t>
            </w:r>
          </w:p>
        </w:tc>
      </w:tr>
      <w:tr w:rsidR="00F403A0" w:rsidRPr="00B043B4" w:rsidTr="007E0186">
        <w:tc>
          <w:tcPr>
            <w:tcW w:w="9180" w:type="dxa"/>
            <w:gridSpan w:val="11"/>
            <w:tcBorders>
              <w:top w:val="single" w:sz="4" w:space="0" w:color="auto"/>
              <w:left w:val="single" w:sz="4" w:space="0" w:color="auto"/>
              <w:bottom w:val="nil"/>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Ciele a výsledný stav</w:t>
            </w:r>
          </w:p>
        </w:tc>
      </w:tr>
      <w:tr w:rsidR="00F403A0" w:rsidRPr="00B043B4" w:rsidTr="007E018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403A0"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rPr>
              <w:t>e</w:t>
            </w:r>
            <w:r w:rsidRPr="00B043B4">
              <w:rPr>
                <w:rFonts w:ascii="Times New Roman" w:eastAsia="Times New Roman" w:hAnsi="Times New Roman" w:cs="Times New Roman"/>
                <w:i/>
                <w:sz w:val="20"/>
                <w:szCs w:val="20"/>
              </w:rPr>
              <w:t xml:space="preserve"> 2. Definovanie problému). </w:t>
            </w:r>
          </w:p>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Cieľom návrhu zákona je:</w:t>
            </w:r>
          </w:p>
          <w:p w:rsidR="00F403A0" w:rsidRDefault="00F403A0" w:rsidP="00F403A0">
            <w:pPr>
              <w:pStyle w:val="Odsekzoznamu"/>
              <w:numPr>
                <w:ilvl w:val="0"/>
                <w:numId w:val="2"/>
              </w:numPr>
              <w:spacing w:after="0" w:line="240" w:lineRule="auto"/>
              <w:jc w:val="both"/>
              <w:rPr>
                <w:rFonts w:ascii="Times New Roman" w:eastAsia="Times New Roman" w:hAnsi="Times New Roman" w:cs="Times New Roman"/>
                <w:sz w:val="20"/>
                <w:szCs w:val="20"/>
                <w:lang w:eastAsia="sk-SK"/>
              </w:rPr>
            </w:pPr>
            <w:r w:rsidRPr="007F6D5A">
              <w:rPr>
                <w:rFonts w:ascii="Times New Roman" w:eastAsia="Times New Roman" w:hAnsi="Times New Roman" w:cs="Times New Roman"/>
                <w:sz w:val="20"/>
                <w:szCs w:val="20"/>
                <w:u w:val="single"/>
                <w:lang w:eastAsia="sk-SK"/>
              </w:rPr>
              <w:t>v zákone o civilnej ochrane obyvateľstva</w:t>
            </w:r>
            <w:r>
              <w:rPr>
                <w:rFonts w:ascii="Times New Roman" w:eastAsia="Times New Roman" w:hAnsi="Times New Roman" w:cs="Times New Roman"/>
                <w:sz w:val="20"/>
                <w:szCs w:val="20"/>
                <w:lang w:eastAsia="sk-SK"/>
              </w:rPr>
              <w:t xml:space="preserve"> </w:t>
            </w:r>
            <w:r w:rsidRPr="007F6D5A">
              <w:rPr>
                <w:rFonts w:ascii="Times New Roman" w:eastAsia="Times New Roman" w:hAnsi="Times New Roman" w:cs="Times New Roman"/>
                <w:sz w:val="20"/>
                <w:szCs w:val="20"/>
                <w:lang w:eastAsia="sk-SK"/>
              </w:rPr>
              <w:t>zakotviť hromadný prílev cudzincov ako udalosť, ktorá umožňuje vyhlásenie mimoriadnej situácie</w:t>
            </w:r>
            <w:r>
              <w:rPr>
                <w:rFonts w:ascii="Times New Roman" w:eastAsia="Times New Roman" w:hAnsi="Times New Roman" w:cs="Times New Roman"/>
                <w:sz w:val="20"/>
                <w:szCs w:val="20"/>
                <w:lang w:eastAsia="sk-SK"/>
              </w:rPr>
              <w:t>;</w:t>
            </w:r>
          </w:p>
          <w:p w:rsidR="00F403A0" w:rsidRDefault="00F403A0" w:rsidP="00F403A0">
            <w:pPr>
              <w:pStyle w:val="Odsekzoznamu"/>
              <w:numPr>
                <w:ilvl w:val="0"/>
                <w:numId w:val="2"/>
              </w:numPr>
              <w:spacing w:after="0" w:line="240" w:lineRule="auto"/>
              <w:jc w:val="both"/>
              <w:rPr>
                <w:rFonts w:ascii="Times New Roman" w:eastAsia="Times New Roman" w:hAnsi="Times New Roman" w:cs="Times New Roman"/>
                <w:sz w:val="20"/>
                <w:szCs w:val="20"/>
                <w:lang w:eastAsia="sk-SK"/>
              </w:rPr>
            </w:pPr>
            <w:r w:rsidRPr="007F6D5A">
              <w:rPr>
                <w:rFonts w:ascii="Times New Roman" w:eastAsia="Times New Roman" w:hAnsi="Times New Roman" w:cs="Times New Roman"/>
                <w:sz w:val="20"/>
                <w:szCs w:val="20"/>
                <w:u w:val="single"/>
                <w:lang w:eastAsia="sk-SK"/>
              </w:rPr>
              <w:t>v zákone o azyle</w:t>
            </w:r>
            <w:r>
              <w:rPr>
                <w:rFonts w:ascii="Times New Roman" w:eastAsia="Times New Roman" w:hAnsi="Times New Roman" w:cs="Times New Roman"/>
                <w:sz w:val="20"/>
                <w:szCs w:val="20"/>
                <w:lang w:eastAsia="sk-SK"/>
              </w:rPr>
              <w:t xml:space="preserve"> umožniť vláde </w:t>
            </w:r>
            <w:r w:rsidRPr="007F6D5A">
              <w:rPr>
                <w:rFonts w:ascii="Times New Roman" w:eastAsia="Times New Roman" w:hAnsi="Times New Roman" w:cs="Times New Roman"/>
                <w:sz w:val="20"/>
                <w:szCs w:val="20"/>
                <w:lang w:eastAsia="sk-SK"/>
              </w:rPr>
              <w:t>vyhlásiť poskytovanie dočasného útočiska aj bez rozhodnutia Rady Európskej únie</w:t>
            </w:r>
            <w:r>
              <w:rPr>
                <w:rFonts w:ascii="Times New Roman" w:eastAsia="Times New Roman" w:hAnsi="Times New Roman" w:cs="Times New Roman"/>
                <w:sz w:val="20"/>
                <w:szCs w:val="20"/>
                <w:lang w:eastAsia="sk-SK"/>
              </w:rPr>
              <w:t>;</w:t>
            </w:r>
          </w:p>
          <w:p w:rsidR="00F403A0" w:rsidRDefault="00F403A0" w:rsidP="00F403A0">
            <w:pPr>
              <w:pStyle w:val="Odsekzoznamu"/>
              <w:numPr>
                <w:ilvl w:val="0"/>
                <w:numId w:val="2"/>
              </w:numPr>
              <w:spacing w:after="0" w:line="240" w:lineRule="auto"/>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upraviť ustanovenia, ktoré sa týkajú poskytnutia dočasného útočiska na území SR;</w:t>
            </w:r>
          </w:p>
          <w:p w:rsidR="00F403A0" w:rsidRPr="000A416C" w:rsidRDefault="00F403A0" w:rsidP="000A416C">
            <w:pPr>
              <w:pStyle w:val="Odsekzoznamu"/>
              <w:numPr>
                <w:ilvl w:val="0"/>
                <w:numId w:val="2"/>
              </w:numPr>
              <w:spacing w:after="0" w:line="240" w:lineRule="auto"/>
              <w:jc w:val="both"/>
              <w:rPr>
                <w:rFonts w:ascii="Times New Roman" w:eastAsia="Times New Roman" w:hAnsi="Times New Roman" w:cs="Times New Roman"/>
                <w:sz w:val="20"/>
                <w:szCs w:val="20"/>
                <w:lang w:eastAsia="sk-SK"/>
              </w:rPr>
            </w:pPr>
            <w:r w:rsidRPr="00BA7DB0">
              <w:rPr>
                <w:rFonts w:ascii="Times New Roman" w:eastAsia="Times New Roman" w:hAnsi="Times New Roman" w:cs="Times New Roman"/>
                <w:sz w:val="20"/>
                <w:szCs w:val="20"/>
                <w:u w:val="single"/>
                <w:lang w:eastAsia="sk-SK"/>
              </w:rPr>
              <w:lastRenderedPageBreak/>
              <w:t>v zákone o kybernetickej bezpečnosti</w:t>
            </w:r>
            <w:r w:rsidRPr="00BA7DB0">
              <w:rPr>
                <w:rFonts w:ascii="Times New Roman" w:eastAsia="Times New Roman" w:hAnsi="Times New Roman" w:cs="Times New Roman"/>
                <w:sz w:val="20"/>
                <w:szCs w:val="20"/>
                <w:lang w:eastAsia="sk-SK"/>
              </w:rPr>
              <w:t xml:space="preserve"> </w:t>
            </w:r>
            <w:r w:rsidRPr="00BA7DB0">
              <w:rPr>
                <w:rFonts w:ascii="Times New Roman" w:eastAsia="Times New Roman" w:hAnsi="Times New Roman"/>
                <w:sz w:val="20"/>
                <w:szCs w:val="20"/>
                <w:lang w:eastAsia="sk-SK"/>
              </w:rPr>
              <w:t>sa sleduje cieľ zamedziť šíreniu škodlivého obsahu na internete prostredníctvom nového inštitútu „blokovania“</w:t>
            </w:r>
            <w:r w:rsidR="000A416C">
              <w:rPr>
                <w:rFonts w:ascii="Times New Roman" w:eastAsia="Times New Roman" w:hAnsi="Times New Roman"/>
                <w:sz w:val="20"/>
                <w:szCs w:val="20"/>
                <w:lang w:eastAsia="sk-SK"/>
              </w:rPr>
              <w:t>.</w:t>
            </w:r>
          </w:p>
          <w:p w:rsidR="00F403A0" w:rsidRPr="00B043B4" w:rsidRDefault="00F403A0" w:rsidP="007E0186">
            <w:pPr>
              <w:rPr>
                <w:rFonts w:ascii="Times New Roman" w:eastAsia="Times New Roman" w:hAnsi="Times New Roman" w:cs="Times New Roman"/>
                <w:sz w:val="20"/>
                <w:szCs w:val="20"/>
              </w:rPr>
            </w:pPr>
          </w:p>
        </w:tc>
      </w:tr>
      <w:tr w:rsidR="00F403A0" w:rsidRPr="00B043B4" w:rsidTr="007E0186">
        <w:tc>
          <w:tcPr>
            <w:tcW w:w="9180" w:type="dxa"/>
            <w:gridSpan w:val="11"/>
            <w:tcBorders>
              <w:top w:val="single" w:sz="4" w:space="0" w:color="auto"/>
              <w:left w:val="single" w:sz="4" w:space="0" w:color="auto"/>
              <w:bottom w:val="nil"/>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lastRenderedPageBreak/>
              <w:t>Dotknuté subjekty</w:t>
            </w:r>
          </w:p>
        </w:tc>
      </w:tr>
      <w:tr w:rsidR="00F403A0" w:rsidRPr="00B043B4" w:rsidTr="007E0186">
        <w:tc>
          <w:tcPr>
            <w:tcW w:w="9180" w:type="dxa"/>
            <w:gridSpan w:val="11"/>
            <w:tcBorders>
              <w:top w:val="nil"/>
              <w:left w:val="single" w:sz="4" w:space="0" w:color="auto"/>
              <w:bottom w:val="single" w:sz="4" w:space="0" w:color="auto"/>
              <w:right w:val="single" w:sz="4" w:space="0" w:color="auto"/>
            </w:tcBorders>
            <w:shd w:val="clear" w:color="auto" w:fill="FFFFFF"/>
          </w:tcPr>
          <w:p w:rsidR="00F403A0" w:rsidRPr="00484375"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i/>
                <w:sz w:val="20"/>
                <w:szCs w:val="20"/>
              </w:rPr>
              <w:t xml:space="preserve">Uveďte subjekty, ktorých sa zmeny predkladaného materiálu dotknú priamo aj nepriamo: </w:t>
            </w:r>
          </w:p>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subjekty civilnej ochrany obyvateľstva,</w:t>
            </w:r>
          </w:p>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vláda SR, </w:t>
            </w:r>
          </w:p>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Národný bezpečnostný úrad,</w:t>
            </w:r>
          </w:p>
          <w:p w:rsidR="00F403A0" w:rsidRPr="00484375" w:rsidRDefault="00F403A0" w:rsidP="007E018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cudzinci žiadajúci o dočasné útočisko v SR.</w:t>
            </w:r>
          </w:p>
          <w:p w:rsidR="00F403A0" w:rsidRPr="00B043B4" w:rsidRDefault="00F403A0" w:rsidP="007E0186">
            <w:pPr>
              <w:rPr>
                <w:rFonts w:ascii="Times New Roman" w:eastAsia="Times New Roman" w:hAnsi="Times New Roman" w:cs="Times New Roman"/>
                <w:i/>
                <w:sz w:val="20"/>
                <w:szCs w:val="20"/>
              </w:rPr>
            </w:pPr>
          </w:p>
        </w:tc>
      </w:tr>
      <w:tr w:rsidR="00F403A0" w:rsidRPr="00B043B4" w:rsidTr="007E0186">
        <w:tc>
          <w:tcPr>
            <w:tcW w:w="9180" w:type="dxa"/>
            <w:gridSpan w:val="11"/>
            <w:tcBorders>
              <w:top w:val="single" w:sz="4" w:space="0" w:color="auto"/>
              <w:left w:val="single" w:sz="4" w:space="0" w:color="auto"/>
              <w:bottom w:val="nil"/>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Alternatívne riešenia</w:t>
            </w:r>
          </w:p>
        </w:tc>
      </w:tr>
      <w:tr w:rsidR="00F403A0" w:rsidRPr="00B043B4" w:rsidTr="007E018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F403A0" w:rsidRDefault="00F403A0" w:rsidP="007E0186">
            <w:pPr>
              <w:jc w:val="both"/>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Aké alternatívne riešenia vedúce k stanovenému cieľu boli identifikované a posudzované pre riešenie definovaného problému?</w:t>
            </w:r>
          </w:p>
          <w:p w:rsidR="00F403A0" w:rsidRDefault="00F403A0" w:rsidP="007E0186">
            <w:pPr>
              <w:jc w:val="both"/>
              <w:rPr>
                <w:rFonts w:ascii="Times New Roman" w:eastAsia="Times New Roman" w:hAnsi="Times New Roman" w:cs="Times New Roman"/>
                <w:sz w:val="20"/>
                <w:szCs w:val="20"/>
              </w:rPr>
            </w:pPr>
          </w:p>
          <w:p w:rsidR="00F403A0" w:rsidRPr="00484375" w:rsidRDefault="00F403A0" w:rsidP="007E0186">
            <w:pPr>
              <w:jc w:val="both"/>
              <w:rPr>
                <w:rFonts w:ascii="Times New Roman" w:eastAsia="Times New Roman" w:hAnsi="Times New Roman" w:cs="Times New Roman"/>
                <w:sz w:val="20"/>
                <w:szCs w:val="20"/>
              </w:rPr>
            </w:pPr>
            <w:r w:rsidRPr="00484375">
              <w:rPr>
                <w:rFonts w:ascii="Times New Roman" w:eastAsia="Times New Roman" w:hAnsi="Times New Roman" w:cs="Times New Roman"/>
                <w:sz w:val="20"/>
                <w:szCs w:val="20"/>
              </w:rPr>
              <w:t xml:space="preserve">Alternatívne </w:t>
            </w:r>
            <w:r>
              <w:rPr>
                <w:rFonts w:ascii="Times New Roman" w:eastAsia="Times New Roman" w:hAnsi="Times New Roman" w:cs="Times New Roman"/>
                <w:sz w:val="20"/>
                <w:szCs w:val="20"/>
              </w:rPr>
              <w:t>riešenia neboli posudzované.</w:t>
            </w:r>
          </w:p>
          <w:p w:rsidR="00F403A0" w:rsidRPr="00B043B4" w:rsidRDefault="00F403A0" w:rsidP="007E0186">
            <w:pPr>
              <w:rPr>
                <w:rFonts w:ascii="Times New Roman" w:eastAsia="Times New Roman" w:hAnsi="Times New Roman" w:cs="Times New Roman"/>
                <w:i/>
                <w:sz w:val="20"/>
                <w:szCs w:val="20"/>
              </w:rPr>
            </w:pPr>
          </w:p>
          <w:p w:rsidR="00F403A0" w:rsidRDefault="00F403A0" w:rsidP="007E0186">
            <w:pPr>
              <w:jc w:val="both"/>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Nulový variant - uveďte dôsledky, ku ktorým by došlo v prípade nevykonania úprav v predkladanom materiáli a alternatívne riešenia/spôsoby dosiahnutia cieľov uvedených v bode 3.</w:t>
            </w:r>
          </w:p>
          <w:p w:rsidR="00F403A0" w:rsidRDefault="00F403A0" w:rsidP="007E0186">
            <w:pPr>
              <w:jc w:val="both"/>
              <w:rPr>
                <w:rFonts w:ascii="Times New Roman" w:eastAsia="Times New Roman" w:hAnsi="Times New Roman" w:cs="Times New Roman"/>
                <w:sz w:val="20"/>
                <w:szCs w:val="20"/>
              </w:rPr>
            </w:pPr>
          </w:p>
          <w:p w:rsidR="00F403A0" w:rsidRPr="00484375" w:rsidRDefault="00F403A0" w:rsidP="007E018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 prípade zachovania nulového variantu by vláda SR pri hromadnom príleve cudzincov v dôsledku vojnového konfliktu nemohla vyhlásiť mimoriadnu situáciu, a tým</w:t>
            </w:r>
            <w:r w:rsidRPr="00F77234">
              <w:rPr>
                <w:rFonts w:ascii="Times New Roman" w:hAnsi="Times New Roman" w:cs="Times New Roman"/>
                <w:sz w:val="24"/>
                <w:szCs w:val="24"/>
              </w:rPr>
              <w:t xml:space="preserve"> </w:t>
            </w:r>
            <w:r w:rsidRPr="00484375">
              <w:rPr>
                <w:rFonts w:ascii="Times New Roman" w:eastAsia="Times New Roman" w:hAnsi="Times New Roman" w:cs="Times New Roman"/>
                <w:sz w:val="20"/>
                <w:szCs w:val="20"/>
              </w:rPr>
              <w:t>realizovať príslušné opatrenia hospodárskej mobilizácie, a to najmä vecné plnenia s ohľadom na potrebu zabezpečenia ubytovania cudzincov, organizáciu dopravného zabezpečenia alebo organizáciu zdravotníckeho zabezpečenia, prípadne s tým súvisiace uloženie pracovnej povinnosti.</w:t>
            </w:r>
            <w:r>
              <w:rPr>
                <w:rFonts w:ascii="Times New Roman" w:eastAsia="Times New Roman" w:hAnsi="Times New Roman" w:cs="Times New Roman"/>
                <w:sz w:val="20"/>
                <w:szCs w:val="20"/>
              </w:rPr>
              <w:t xml:space="preserve"> Rovnako by nemohla vyhlásiť poskytovanie dočasného útočiska bez rozhodnutia Rady Európskej únie.</w:t>
            </w:r>
          </w:p>
        </w:tc>
      </w:tr>
      <w:tr w:rsidR="00F403A0" w:rsidRPr="00B043B4" w:rsidTr="007E018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Vykonávacie predpisy</w:t>
            </w:r>
          </w:p>
        </w:tc>
      </w:tr>
      <w:tr w:rsidR="00F403A0" w:rsidRPr="00B043B4" w:rsidTr="007E0186">
        <w:tc>
          <w:tcPr>
            <w:tcW w:w="6203" w:type="dxa"/>
            <w:gridSpan w:val="7"/>
            <w:tcBorders>
              <w:top w:val="single" w:sz="4" w:space="0" w:color="FFFFFF"/>
              <w:left w:val="single" w:sz="4" w:space="0" w:color="auto"/>
              <w:bottom w:val="nil"/>
              <w:right w:val="nil"/>
            </w:tcBorders>
            <w:shd w:val="clear" w:color="auto" w:fill="FFFFFF"/>
          </w:tcPr>
          <w:p w:rsidR="00F403A0" w:rsidRPr="00B043B4"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403A0" w:rsidRPr="00B043B4" w:rsidRDefault="00FD427A" w:rsidP="007E0186">
            <w:pPr>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929613764"/>
                <w14:checkbox>
                  <w14:checked w14:val="1"/>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sidRPr="00B043B4">
              <w:rPr>
                <w:rFonts w:ascii="Times New Roman" w:eastAsia="Times New Roman" w:hAnsi="Times New Roman" w:cs="Times New Roman"/>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403A0" w:rsidRPr="00B043B4" w:rsidRDefault="00FD427A" w:rsidP="007E0186">
            <w:pPr>
              <w:jc w:val="cente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594626508"/>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sidRPr="00B043B4">
              <w:rPr>
                <w:rFonts w:ascii="Times New Roman" w:eastAsia="Times New Roman" w:hAnsi="Times New Roman" w:cs="Times New Roman"/>
                <w:b/>
                <w:sz w:val="20"/>
                <w:szCs w:val="20"/>
              </w:rPr>
              <w:t xml:space="preserve">  Nie</w:t>
            </w:r>
          </w:p>
        </w:tc>
      </w:tr>
      <w:tr w:rsidR="00F403A0" w:rsidRPr="00B043B4" w:rsidTr="007E0186">
        <w:tc>
          <w:tcPr>
            <w:tcW w:w="9180" w:type="dxa"/>
            <w:gridSpan w:val="11"/>
            <w:tcBorders>
              <w:top w:val="nil"/>
              <w:left w:val="single" w:sz="4" w:space="0" w:color="auto"/>
              <w:bottom w:val="single" w:sz="4" w:space="0" w:color="auto"/>
              <w:right w:val="single" w:sz="4" w:space="0" w:color="auto"/>
            </w:tcBorders>
            <w:shd w:val="clear" w:color="auto" w:fill="FFFFFF"/>
          </w:tcPr>
          <w:p w:rsidR="00F403A0"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Ak áno, uveďte ktoré oblasti budú nimi upravené, resp. ktorých vykonávacích predpisov sa zmena dotkne:</w:t>
            </w:r>
          </w:p>
          <w:p w:rsidR="00F403A0" w:rsidRPr="00BA7DB0" w:rsidRDefault="00F403A0" w:rsidP="007E0186">
            <w:pPr>
              <w:rPr>
                <w:rFonts w:ascii="Times New Roman" w:eastAsia="Times New Roman" w:hAnsi="Times New Roman" w:cs="Times New Roman"/>
                <w:iCs/>
                <w:sz w:val="20"/>
                <w:szCs w:val="20"/>
              </w:rPr>
            </w:pPr>
            <w:r w:rsidRPr="00BA7DB0">
              <w:rPr>
                <w:rFonts w:ascii="Times New Roman" w:eastAsia="Times New Roman" w:hAnsi="Times New Roman" w:cs="Times New Roman"/>
                <w:iCs/>
                <w:sz w:val="20"/>
                <w:szCs w:val="20"/>
              </w:rPr>
              <w:t>Postup blokovania v oblasti kybernetickej bezpečnosti.</w:t>
            </w:r>
          </w:p>
          <w:p w:rsidR="00F403A0" w:rsidRPr="00B043B4" w:rsidRDefault="00F403A0" w:rsidP="007E0186">
            <w:pPr>
              <w:rPr>
                <w:rFonts w:ascii="Times New Roman" w:eastAsia="Times New Roman" w:hAnsi="Times New Roman" w:cs="Times New Roman"/>
                <w:sz w:val="20"/>
                <w:szCs w:val="20"/>
              </w:rPr>
            </w:pPr>
          </w:p>
        </w:tc>
      </w:tr>
      <w:tr w:rsidR="00F403A0" w:rsidRPr="00B043B4" w:rsidTr="007E018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 xml:space="preserve">Transpozícia práva EÚ </w:t>
            </w:r>
          </w:p>
        </w:tc>
      </w:tr>
      <w:tr w:rsidR="00F403A0" w:rsidRPr="00B043B4" w:rsidTr="007E0186">
        <w:trPr>
          <w:trHeight w:val="157"/>
        </w:trPr>
        <w:tc>
          <w:tcPr>
            <w:tcW w:w="9180" w:type="dxa"/>
            <w:gridSpan w:val="11"/>
            <w:tcBorders>
              <w:top w:val="nil"/>
              <w:left w:val="single" w:sz="4" w:space="0" w:color="000000"/>
              <w:bottom w:val="nil"/>
              <w:right w:val="single" w:sz="4" w:space="0" w:color="auto"/>
            </w:tcBorders>
            <w:shd w:val="clear" w:color="auto" w:fill="FFFFFF"/>
          </w:tcPr>
          <w:p w:rsidR="00F403A0" w:rsidRPr="00B043B4" w:rsidRDefault="00F403A0" w:rsidP="007E0186">
            <w:pPr>
              <w:jc w:val="both"/>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v ktorých konkrétnych ustanoveniach (paragrafy, články, body, atď.) ide národná právna úprava nad rámec minimálnych požiadaviek EÚ (tzv. goldplating) spolu s odôvodnením opodstatnenosti presahu.</w:t>
            </w:r>
          </w:p>
        </w:tc>
      </w:tr>
      <w:tr w:rsidR="00F403A0" w:rsidRPr="00B043B4" w:rsidTr="007E018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403A0" w:rsidRPr="00B043B4" w:rsidRDefault="00F403A0" w:rsidP="007E0186">
            <w:pPr>
              <w:jc w:val="both"/>
              <w:rPr>
                <w:rFonts w:ascii="Times New Roman" w:eastAsia="Times New Roman" w:hAnsi="Times New Roman" w:cs="Times New Roman"/>
                <w:sz w:val="20"/>
                <w:szCs w:val="20"/>
              </w:rPr>
            </w:pPr>
          </w:p>
        </w:tc>
      </w:tr>
      <w:tr w:rsidR="00F403A0" w:rsidRPr="00B043B4" w:rsidTr="007E018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Preskúmanie účelnosti</w:t>
            </w:r>
          </w:p>
        </w:tc>
      </w:tr>
      <w:tr w:rsidR="00F403A0" w:rsidRPr="00B043B4" w:rsidTr="007E018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403A0" w:rsidRPr="00B043B4"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termín, kedy by malo dôjsť k preskúmaniu účinnosti a účelnosti predkladaného materiálu.</w:t>
            </w:r>
          </w:p>
          <w:p w:rsidR="00F403A0"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kritériá, na základe ktorých bude preskúmanie vykonané.</w:t>
            </w:r>
          </w:p>
          <w:p w:rsidR="00F403A0" w:rsidRDefault="00F403A0" w:rsidP="007E0186">
            <w:pPr>
              <w:rPr>
                <w:rFonts w:ascii="Times New Roman" w:eastAsia="Times New Roman" w:hAnsi="Times New Roman" w:cs="Times New Roman"/>
                <w:sz w:val="20"/>
                <w:szCs w:val="20"/>
              </w:rPr>
            </w:pPr>
          </w:p>
          <w:p w:rsidR="00F403A0" w:rsidRPr="00484375"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Účelnosť zákona bude preskúmaná najneskôr 2 roky po zrušení mimoriadnej situácie vyvolanej ozbrojeným konfliktom.</w:t>
            </w:r>
          </w:p>
          <w:p w:rsidR="00F403A0" w:rsidRPr="00B043B4" w:rsidRDefault="00F403A0" w:rsidP="007E0186">
            <w:pPr>
              <w:rPr>
                <w:rFonts w:ascii="Times New Roman" w:eastAsia="Times New Roman" w:hAnsi="Times New Roman" w:cs="Times New Roman"/>
                <w:i/>
                <w:sz w:val="20"/>
                <w:szCs w:val="20"/>
              </w:rPr>
            </w:pPr>
          </w:p>
        </w:tc>
      </w:tr>
      <w:tr w:rsidR="00F403A0" w:rsidRPr="00B043B4" w:rsidTr="007E0186">
        <w:tc>
          <w:tcPr>
            <w:tcW w:w="9180" w:type="dxa"/>
            <w:gridSpan w:val="11"/>
            <w:tcBorders>
              <w:top w:val="nil"/>
              <w:left w:val="nil"/>
              <w:bottom w:val="single" w:sz="4" w:space="0" w:color="auto"/>
              <w:right w:val="nil"/>
            </w:tcBorders>
            <w:shd w:val="clear" w:color="auto" w:fill="FFFFFF"/>
          </w:tcPr>
          <w:p w:rsidR="00F403A0" w:rsidRPr="00B043B4" w:rsidRDefault="00F403A0" w:rsidP="007E0186">
            <w:pPr>
              <w:ind w:left="142" w:hanging="142"/>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lastRenderedPageBreak/>
              <w:t xml:space="preserve">* vyplniť iba v prípade, ak materiál nie je zahrnutý do Plánu práce vlády Slovenskej republiky alebo Plánu        legislatívnych úloh vlády Slovenskej republiky. </w:t>
            </w:r>
          </w:p>
          <w:p w:rsidR="00F403A0"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 vyplniť iba v prípade, ak sa záverečné posúdenie</w:t>
            </w:r>
            <w:r>
              <w:rPr>
                <w:rFonts w:ascii="Times New Roman" w:eastAsia="Times New Roman" w:hAnsi="Times New Roman" w:cs="Times New Roman"/>
                <w:sz w:val="20"/>
                <w:szCs w:val="20"/>
              </w:rPr>
              <w:t xml:space="preserve"> vybraných vplyvov</w:t>
            </w:r>
            <w:r w:rsidRPr="00B043B4">
              <w:rPr>
                <w:rFonts w:ascii="Times New Roman" w:eastAsia="Times New Roman" w:hAnsi="Times New Roman" w:cs="Times New Roman"/>
                <w:sz w:val="20"/>
                <w:szCs w:val="20"/>
              </w:rPr>
              <w:t xml:space="preserve"> uskutočnilo v zmysle bodu 9.1. </w:t>
            </w:r>
            <w:r>
              <w:rPr>
                <w:rFonts w:ascii="Times New Roman" w:eastAsia="Times New Roman" w:hAnsi="Times New Roman" w:cs="Times New Roman"/>
                <w:sz w:val="20"/>
                <w:szCs w:val="20"/>
              </w:rPr>
              <w:t>j</w:t>
            </w:r>
            <w:r w:rsidRPr="00B043B4">
              <w:rPr>
                <w:rFonts w:ascii="Times New Roman" w:eastAsia="Times New Roman" w:hAnsi="Times New Roman" w:cs="Times New Roman"/>
                <w:sz w:val="20"/>
                <w:szCs w:val="20"/>
              </w:rPr>
              <w:t>ednotnej metodiky</w:t>
            </w:r>
            <w:r>
              <w:rPr>
                <w:rFonts w:ascii="Times New Roman" w:eastAsia="Times New Roman" w:hAnsi="Times New Roman" w:cs="Times New Roman"/>
                <w:sz w:val="20"/>
                <w:szCs w:val="20"/>
              </w:rPr>
              <w:t>.</w:t>
            </w:r>
          </w:p>
          <w:p w:rsidR="00F403A0" w:rsidRPr="00B043B4" w:rsidRDefault="00F403A0" w:rsidP="007E0186">
            <w:pPr>
              <w:rPr>
                <w:rFonts w:ascii="Times New Roman" w:eastAsia="Times New Roman" w:hAnsi="Times New Roman" w:cs="Times New Roman"/>
                <w:b/>
                <w:sz w:val="20"/>
                <w:szCs w:val="20"/>
              </w:rPr>
            </w:pPr>
          </w:p>
        </w:tc>
      </w:tr>
      <w:tr w:rsidR="00F403A0" w:rsidRPr="00B043B4" w:rsidTr="007E018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Vybrané vplyvy  materiálu</w:t>
            </w:r>
          </w:p>
        </w:tc>
      </w:tr>
      <w:tr w:rsidR="00F403A0" w:rsidRPr="00B043B4" w:rsidTr="007E0186">
        <w:tc>
          <w:tcPr>
            <w:tcW w:w="3812" w:type="dxa"/>
            <w:tcBorders>
              <w:top w:val="single" w:sz="4" w:space="0" w:color="auto"/>
              <w:left w:val="single" w:sz="4" w:space="0" w:color="auto"/>
              <w:bottom w:val="nil"/>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Vplyvy na rozpočet verejnej správy</w:t>
            </w:r>
          </w:p>
        </w:tc>
        <w:sdt>
          <w:sdtPr>
            <w:rPr>
              <w:rFonts w:ascii="Times New Roman" w:eastAsia="Times New Roman" w:hAnsi="Times New Roman" w:cs="Times New Roman"/>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dotted" w:sz="4" w:space="0" w:color="auto"/>
              <w:right w:val="nil"/>
            </w:tcBorders>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dotted" w:sz="4" w:space="0" w:color="auto"/>
              <w:right w:val="nil"/>
            </w:tcBorders>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F403A0" w:rsidRPr="00B043B4" w:rsidRDefault="00F403A0" w:rsidP="007E0186">
                <w:pPr>
                  <w:ind w:left="-107" w:right="-108"/>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F403A0" w:rsidRPr="00B043B4" w:rsidRDefault="00F403A0" w:rsidP="007E0186">
            <w:pPr>
              <w:ind w:left="3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r w:rsidR="00F403A0" w:rsidRPr="00B043B4" w:rsidTr="007E0186">
        <w:tc>
          <w:tcPr>
            <w:tcW w:w="3812" w:type="dxa"/>
            <w:tcBorders>
              <w:top w:val="nil"/>
              <w:left w:val="single" w:sz="4" w:space="0" w:color="auto"/>
              <w:bottom w:val="single" w:sz="4" w:space="0" w:color="000000"/>
              <w:right w:val="single" w:sz="4" w:space="0" w:color="auto"/>
            </w:tcBorders>
            <w:shd w:val="clear" w:color="auto" w:fill="E2E2E2"/>
          </w:tcPr>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340BB">
              <w:rPr>
                <w:rFonts w:ascii="Times New Roman" w:eastAsia="Times New Roman" w:hAnsi="Times New Roman" w:cs="Times New Roman"/>
                <w:sz w:val="20"/>
                <w:szCs w:val="20"/>
              </w:rPr>
              <w:t xml:space="preserve">z toho rozpočtovo zabezpečené vplyvy,     </w:t>
            </w:r>
            <w:r>
              <w:rPr>
                <w:rFonts w:ascii="Times New Roman" w:eastAsia="Times New Roman" w:hAnsi="Times New Roman" w:cs="Times New Roman"/>
                <w:sz w:val="20"/>
                <w:szCs w:val="20"/>
              </w:rPr>
              <w:t xml:space="preserve">    </w:t>
            </w:r>
          </w:p>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340BB">
              <w:rPr>
                <w:rFonts w:ascii="Times New Roman" w:eastAsia="Times New Roman" w:hAnsi="Times New Roman" w:cs="Times New Roman"/>
                <w:sz w:val="20"/>
                <w:szCs w:val="20"/>
              </w:rPr>
              <w:t xml:space="preserve">v prípade identifikovaného negatívneho </w:t>
            </w:r>
          </w:p>
          <w:p w:rsidR="00F403A0" w:rsidRPr="00A340BB"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A340BB">
              <w:rPr>
                <w:rFonts w:ascii="Times New Roman" w:eastAsia="Times New Roman" w:hAnsi="Times New Roman" w:cs="Times New Roman"/>
                <w:sz w:val="20"/>
                <w:szCs w:val="20"/>
              </w:rPr>
              <w:t>vplyvu</w:t>
            </w:r>
          </w:p>
        </w:tc>
        <w:sdt>
          <w:sdtPr>
            <w:rPr>
              <w:rFonts w:ascii="Times New Roman" w:eastAsia="Times New Roman" w:hAnsi="Times New Roman" w:cs="Times New Roman"/>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Áno</w:t>
            </w:r>
          </w:p>
        </w:tc>
        <w:sdt>
          <w:sdtPr>
            <w:rPr>
              <w:rFonts w:ascii="Times New Roman" w:eastAsia="Times New Roman" w:hAnsi="Times New Roman" w:cs="Times New Roman"/>
              <w:sz w:val="20"/>
              <w:szCs w:val="20"/>
            </w:rPr>
            <w:id w:val="40579842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133" w:type="dxa"/>
            <w:tcBorders>
              <w:top w:val="dotted" w:sz="4" w:space="0" w:color="auto"/>
              <w:left w:val="nil"/>
              <w:bottom w:val="single" w:sz="4" w:space="0" w:color="auto"/>
              <w:right w:val="nil"/>
            </w:tcBorders>
            <w:vAlign w:val="center"/>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Nie</w:t>
            </w:r>
          </w:p>
        </w:tc>
        <w:sdt>
          <w:sdtPr>
            <w:rPr>
              <w:rFonts w:ascii="Times New Roman" w:eastAsia="Times New Roman" w:hAnsi="Times New Roman" w:cs="Times New Roman"/>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403A0" w:rsidRPr="00B043B4" w:rsidRDefault="00F403A0" w:rsidP="007E0186">
                <w:pPr>
                  <w:ind w:left="-107" w:right="-108"/>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F403A0" w:rsidRPr="00B043B4" w:rsidRDefault="00F403A0" w:rsidP="007E0186">
            <w:pPr>
              <w:ind w:left="34"/>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Čiastočne</w:t>
            </w:r>
          </w:p>
        </w:tc>
      </w:tr>
      <w:tr w:rsidR="00F403A0" w:rsidRPr="00B043B4" w:rsidTr="007E0186">
        <w:tc>
          <w:tcPr>
            <w:tcW w:w="3812" w:type="dxa"/>
            <w:tcBorders>
              <w:top w:val="single" w:sz="4" w:space="0" w:color="000000"/>
              <w:left w:val="single" w:sz="4" w:space="0" w:color="auto"/>
              <w:bottom w:val="nil"/>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Vplyvy na podnikateľské prostredie</w:t>
            </w:r>
          </w:p>
        </w:tc>
        <w:sdt>
          <w:sdtPr>
            <w:rPr>
              <w:rFonts w:ascii="Times New Roman" w:eastAsia="Times New Roman" w:hAnsi="Times New Roman" w:cs="Times New Roman"/>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r w:rsidR="00F403A0" w:rsidRPr="00B043B4" w:rsidTr="007E0186">
        <w:tc>
          <w:tcPr>
            <w:tcW w:w="3812" w:type="dxa"/>
            <w:tcBorders>
              <w:top w:val="nil"/>
              <w:left w:val="single" w:sz="4" w:space="0" w:color="000000"/>
              <w:bottom w:val="nil"/>
              <w:right w:val="single" w:sz="4" w:space="0" w:color="000000"/>
            </w:tcBorders>
            <w:shd w:val="clear" w:color="auto" w:fill="E2E2E2"/>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B043B4">
              <w:rPr>
                <w:rFonts w:ascii="Times New Roman" w:eastAsia="Times New Roman" w:hAnsi="Times New Roman" w:cs="Times New Roman"/>
                <w:sz w:val="20"/>
                <w:szCs w:val="20"/>
              </w:rPr>
              <w:t>z toho vplyvy na MSP</w:t>
            </w:r>
          </w:p>
          <w:p w:rsidR="00F403A0" w:rsidRPr="00B043B4" w:rsidRDefault="00F403A0" w:rsidP="007E0186">
            <w:pP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F403A0" w:rsidRPr="00B043B4" w:rsidRDefault="00F403A0" w:rsidP="007E0186">
            <w:pPr>
              <w:ind w:right="-108"/>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Pozitívne</w:t>
            </w:r>
          </w:p>
        </w:tc>
        <w:sdt>
          <w:sdtPr>
            <w:rPr>
              <w:rFonts w:ascii="Times New Roman" w:eastAsia="Times New Roman" w:hAnsi="Times New Roman" w:cs="Times New Roman"/>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133" w:type="dxa"/>
            <w:tcBorders>
              <w:top w:val="dotted" w:sz="4" w:space="0" w:color="auto"/>
              <w:left w:val="nil"/>
              <w:bottom w:val="dotted" w:sz="4" w:space="0" w:color="auto"/>
              <w:right w:val="nil"/>
            </w:tcBorders>
            <w:vAlign w:val="center"/>
          </w:tcPr>
          <w:p w:rsidR="00F403A0" w:rsidRPr="00B043B4" w:rsidRDefault="00F403A0" w:rsidP="007E0186">
            <w:pPr>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Žiadne</w:t>
            </w:r>
          </w:p>
        </w:tc>
        <w:sdt>
          <w:sdtPr>
            <w:rPr>
              <w:rFonts w:ascii="Times New Roman" w:eastAsia="Times New Roman" w:hAnsi="Times New Roman" w:cs="Times New Roman"/>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F403A0" w:rsidRPr="00B043B4" w:rsidRDefault="00F403A0" w:rsidP="007E0186">
                <w:pPr>
                  <w:jc w:val="center"/>
                  <w:rPr>
                    <w:rFonts w:ascii="Times New Roman" w:eastAsia="Times New Roman" w:hAnsi="Times New Roman" w:cs="Times New Roman"/>
                    <w:sz w:val="20"/>
                    <w:szCs w:val="20"/>
                  </w:rPr>
                </w:pPr>
                <w:r>
                  <w:rPr>
                    <w:rFonts w:ascii="MS Gothic" w:eastAsia="MS Gothic" w:hAnsi="MS Gothic" w:cs="Times New Roman"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F403A0" w:rsidRPr="00B043B4" w:rsidRDefault="00F403A0" w:rsidP="007E0186">
            <w:pPr>
              <w:ind w:left="54"/>
              <w:rPr>
                <w:rFonts w:ascii="Times New Roman" w:eastAsia="Times New Roman" w:hAnsi="Times New Roman" w:cs="Times New Roman"/>
                <w:sz w:val="20"/>
                <w:szCs w:val="20"/>
              </w:rPr>
            </w:pPr>
            <w:r w:rsidRPr="00B043B4">
              <w:rPr>
                <w:rFonts w:ascii="Times New Roman" w:eastAsia="Times New Roman" w:hAnsi="Times New Roman" w:cs="Times New Roman"/>
                <w:sz w:val="20"/>
                <w:szCs w:val="20"/>
              </w:rPr>
              <w:t>Negatívne</w:t>
            </w:r>
          </w:p>
        </w:tc>
      </w:tr>
      <w:tr w:rsidR="00F403A0" w:rsidRPr="00B043B4" w:rsidTr="007E0186">
        <w:tc>
          <w:tcPr>
            <w:tcW w:w="3812" w:type="dxa"/>
            <w:tcBorders>
              <w:top w:val="nil"/>
              <w:left w:val="single" w:sz="4" w:space="0" w:color="auto"/>
              <w:bottom w:val="single" w:sz="4" w:space="0" w:color="auto"/>
              <w:right w:val="single" w:sz="4" w:space="0" w:color="auto"/>
            </w:tcBorders>
            <w:shd w:val="clear" w:color="auto" w:fill="E2E2E2"/>
          </w:tcPr>
          <w:p w:rsidR="00F403A0" w:rsidRDefault="00F403A0" w:rsidP="007E018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B043B4">
              <w:rPr>
                <w:rFonts w:ascii="Times New Roman" w:eastAsia="Times New Roman" w:hAnsi="Times New Roman" w:cs="Times New Roman"/>
                <w:sz w:val="20"/>
                <w:szCs w:val="20"/>
              </w:rPr>
              <w:t xml:space="preserve">Mechanizmus znižovania byrokracie </w:t>
            </w:r>
            <w:r>
              <w:rPr>
                <w:rFonts w:ascii="Times New Roman" w:eastAsia="Times New Roman" w:hAnsi="Times New Roman" w:cs="Times New Roman"/>
                <w:sz w:val="20"/>
                <w:szCs w:val="20"/>
              </w:rPr>
              <w:t xml:space="preserve">   </w:t>
            </w:r>
          </w:p>
          <w:p w:rsidR="00F403A0" w:rsidRPr="00B043B4" w:rsidRDefault="00F403A0" w:rsidP="007E0186">
            <w:pPr>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sidRPr="00B043B4">
              <w:rPr>
                <w:rFonts w:ascii="Times New Roman" w:eastAsia="Times New Roman" w:hAnsi="Times New Roman" w:cs="Times New Roman"/>
                <w:sz w:val="20"/>
                <w:szCs w:val="20"/>
              </w:rPr>
              <w:t>a nákladov sa uplatňuje:</w:t>
            </w:r>
          </w:p>
        </w:tc>
        <w:sdt>
          <w:sdtPr>
            <w:rPr>
              <w:rFonts w:ascii="Times New Roman" w:eastAsia="Times New Roman" w:hAnsi="Times New Roman" w:cs="Times New Roman"/>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sz w:val="20"/>
                <w:szCs w:val="20"/>
              </w:rPr>
              <w:t>Áno</w:t>
            </w:r>
          </w:p>
        </w:tc>
        <w:tc>
          <w:tcPr>
            <w:tcW w:w="254" w:type="dxa"/>
            <w:tcBorders>
              <w:top w:val="dotted"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p>
        </w:tc>
        <w:tc>
          <w:tcPr>
            <w:tcW w:w="1133" w:type="dxa"/>
            <w:tcBorders>
              <w:top w:val="dotted"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p>
        </w:tc>
        <w:sdt>
          <w:sdtPr>
            <w:rPr>
              <w:rFonts w:ascii="Times New Roman" w:eastAsia="Times New Roman" w:hAnsi="Times New Roman" w:cs="Times New Roman"/>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sz w:val="20"/>
                <w:szCs w:val="20"/>
              </w:rPr>
              <w:t>Nie</w:t>
            </w:r>
          </w:p>
        </w:tc>
      </w:tr>
      <w:tr w:rsidR="00F403A0" w:rsidRPr="00B043B4" w:rsidTr="007E0186">
        <w:tc>
          <w:tcPr>
            <w:tcW w:w="3812" w:type="dxa"/>
            <w:tcBorders>
              <w:top w:val="single" w:sz="4" w:space="0" w:color="000000"/>
              <w:left w:val="single" w:sz="4" w:space="0" w:color="auto"/>
              <w:bottom w:val="single" w:sz="4" w:space="0" w:color="auto"/>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Sociálne vplyvy</w:t>
            </w:r>
          </w:p>
        </w:tc>
        <w:sdt>
          <w:sdtPr>
            <w:rPr>
              <w:rFonts w:ascii="Times New Roman" w:eastAsia="Times New Roman" w:hAnsi="Times New Roman" w:cs="Times New Roman"/>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r w:rsidR="00F403A0" w:rsidRPr="00B043B4" w:rsidTr="007E0186">
        <w:tc>
          <w:tcPr>
            <w:tcW w:w="3812" w:type="dxa"/>
            <w:tcBorders>
              <w:top w:val="single" w:sz="4" w:space="0" w:color="auto"/>
              <w:left w:val="single" w:sz="4" w:space="0" w:color="auto"/>
              <w:bottom w:val="single" w:sz="4" w:space="0" w:color="auto"/>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Vplyvy na životné prostredie</w:t>
            </w:r>
          </w:p>
        </w:tc>
        <w:sdt>
          <w:sdtPr>
            <w:rPr>
              <w:rFonts w:ascii="Times New Roman" w:eastAsia="Times New Roman" w:hAnsi="Times New Roman" w:cs="Times New Roman"/>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r w:rsidR="00F403A0" w:rsidRPr="00B043B4" w:rsidTr="007E0186">
        <w:tc>
          <w:tcPr>
            <w:tcW w:w="3812" w:type="dxa"/>
            <w:tcBorders>
              <w:top w:val="single" w:sz="4" w:space="0" w:color="auto"/>
              <w:left w:val="single" w:sz="4" w:space="0" w:color="auto"/>
              <w:bottom w:val="single" w:sz="4" w:space="0" w:color="auto"/>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Vplyvy na informatizáciu</w:t>
            </w:r>
            <w:r>
              <w:rPr>
                <w:rFonts w:ascii="Times New Roman" w:eastAsia="Times New Roman" w:hAnsi="Times New Roman" w:cs="Times New Roman"/>
                <w:b/>
                <w:sz w:val="20"/>
                <w:szCs w:val="20"/>
              </w:rPr>
              <w:t xml:space="preserve"> spoločnosti</w:t>
            </w:r>
          </w:p>
        </w:tc>
        <w:sdt>
          <w:sdtPr>
            <w:rPr>
              <w:rFonts w:ascii="Times New Roman" w:eastAsia="Times New Roman" w:hAnsi="Times New Roman" w:cs="Times New Roman"/>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single" w:sz="4" w:space="0" w:color="auto"/>
              <w:left w:val="nil"/>
              <w:bottom w:val="single" w:sz="4" w:space="0" w:color="auto"/>
              <w:right w:val="nil"/>
            </w:tcBorders>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403A0" w:rsidRPr="00B043B4" w:rsidTr="007E0186">
        <w:tc>
          <w:tcPr>
            <w:tcW w:w="3812" w:type="dxa"/>
            <w:tcBorders>
              <w:top w:val="single" w:sz="4" w:space="0" w:color="auto"/>
              <w:left w:val="single" w:sz="4" w:space="0" w:color="auto"/>
              <w:bottom w:val="nil"/>
              <w:right w:val="single" w:sz="4" w:space="0" w:color="auto"/>
            </w:tcBorders>
            <w:shd w:val="clear" w:color="auto" w:fill="E2E2E2"/>
          </w:tcPr>
          <w:p w:rsidR="00F403A0" w:rsidRPr="00B043B4" w:rsidRDefault="00F403A0" w:rsidP="007E0186">
            <w:pPr>
              <w:spacing w:after="0" w:line="240" w:lineRule="auto"/>
              <w:rPr>
                <w:rFonts w:ascii="Times New Roman" w:eastAsia="Times New Roman" w:hAnsi="Times New Roman" w:cs="Times New Roman"/>
                <w:b/>
                <w:sz w:val="20"/>
                <w:szCs w:val="20"/>
              </w:rPr>
            </w:pPr>
            <w:r w:rsidRPr="00B043B4">
              <w:rPr>
                <w:rFonts w:ascii="Times New Roman" w:hAnsi="Times New Roman" w:cs="Times New Roman"/>
                <w:b/>
                <w:sz w:val="20"/>
                <w:szCs w:val="20"/>
              </w:rPr>
              <w:t>Vplyvy na služby verejnej správy pre občana, z</w:t>
            </w:r>
            <w:r>
              <w:rPr>
                <w:rFonts w:ascii="Times New Roman" w:hAnsi="Times New Roman" w:cs="Times New Roman"/>
                <w:b/>
                <w:sz w:val="20"/>
                <w:szCs w:val="20"/>
              </w:rPr>
              <w:t> </w:t>
            </w:r>
            <w:r w:rsidRPr="00B043B4">
              <w:rPr>
                <w:rFonts w:ascii="Times New Roman"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F403A0" w:rsidRPr="00B043B4" w:rsidRDefault="00F403A0" w:rsidP="007E0186">
            <w:pPr>
              <w:spacing w:after="0" w:line="240" w:lineRule="auto"/>
              <w:jc w:val="center"/>
              <w:rPr>
                <w:rFonts w:ascii="Times New Roman" w:eastAsia="MS Mincho" w:hAnsi="Times New Roman" w:cs="Times New Roman"/>
                <w:b/>
                <w:sz w:val="20"/>
                <w:szCs w:val="20"/>
              </w:rPr>
            </w:pPr>
          </w:p>
        </w:tc>
        <w:tc>
          <w:tcPr>
            <w:tcW w:w="1281" w:type="dxa"/>
            <w:tcBorders>
              <w:top w:val="single" w:sz="4" w:space="0" w:color="auto"/>
              <w:left w:val="nil"/>
              <w:bottom w:val="nil"/>
              <w:right w:val="nil"/>
            </w:tcBorders>
            <w:shd w:val="clear" w:color="auto" w:fill="auto"/>
          </w:tcPr>
          <w:p w:rsidR="00F403A0" w:rsidRPr="00B043B4" w:rsidRDefault="00F403A0" w:rsidP="007E0186">
            <w:pPr>
              <w:spacing w:after="0" w:line="240" w:lineRule="auto"/>
              <w:ind w:right="-108"/>
              <w:rPr>
                <w:rFonts w:ascii="Times New Roman" w:eastAsia="Times New Roman" w:hAnsi="Times New Roman" w:cs="Times New Roman"/>
                <w:b/>
                <w:sz w:val="20"/>
                <w:szCs w:val="20"/>
              </w:rPr>
            </w:pPr>
          </w:p>
        </w:tc>
        <w:tc>
          <w:tcPr>
            <w:tcW w:w="569" w:type="dxa"/>
            <w:gridSpan w:val="2"/>
            <w:tcBorders>
              <w:top w:val="single" w:sz="4" w:space="0" w:color="auto"/>
              <w:left w:val="nil"/>
              <w:bottom w:val="nil"/>
              <w:right w:val="nil"/>
            </w:tcBorders>
            <w:shd w:val="clear" w:color="auto" w:fill="auto"/>
          </w:tcPr>
          <w:p w:rsidR="00F403A0" w:rsidRPr="00B043B4" w:rsidRDefault="00F403A0" w:rsidP="007E0186">
            <w:pPr>
              <w:spacing w:after="0" w:line="240" w:lineRule="auto"/>
              <w:jc w:val="center"/>
              <w:rPr>
                <w:rFonts w:ascii="Times New Roman" w:eastAsia="MS Mincho" w:hAnsi="Times New Roman" w:cs="Times New Roman"/>
                <w:b/>
                <w:sz w:val="20"/>
                <w:szCs w:val="20"/>
              </w:rPr>
            </w:pPr>
          </w:p>
        </w:tc>
        <w:tc>
          <w:tcPr>
            <w:tcW w:w="1133" w:type="dxa"/>
            <w:tcBorders>
              <w:top w:val="single" w:sz="4" w:space="0" w:color="auto"/>
              <w:left w:val="nil"/>
              <w:bottom w:val="nil"/>
              <w:right w:val="nil"/>
            </w:tcBorders>
            <w:shd w:val="clear" w:color="auto" w:fill="auto"/>
          </w:tcPr>
          <w:p w:rsidR="00F403A0" w:rsidRPr="00B043B4" w:rsidRDefault="00F403A0" w:rsidP="007E0186">
            <w:pPr>
              <w:spacing w:after="0" w:line="240" w:lineRule="auto"/>
              <w:rPr>
                <w:rFonts w:ascii="Times New Roman" w:eastAsia="Times New Roman" w:hAnsi="Times New Roman" w:cs="Times New Roman"/>
                <w:b/>
                <w:sz w:val="20"/>
                <w:szCs w:val="20"/>
              </w:rPr>
            </w:pPr>
          </w:p>
        </w:tc>
        <w:tc>
          <w:tcPr>
            <w:tcW w:w="547" w:type="dxa"/>
            <w:tcBorders>
              <w:top w:val="single" w:sz="4" w:space="0" w:color="auto"/>
              <w:left w:val="nil"/>
              <w:bottom w:val="nil"/>
              <w:right w:val="nil"/>
            </w:tcBorders>
            <w:shd w:val="clear" w:color="auto" w:fill="auto"/>
          </w:tcPr>
          <w:p w:rsidR="00F403A0" w:rsidRPr="00B043B4" w:rsidRDefault="00F403A0" w:rsidP="007E0186">
            <w:pPr>
              <w:spacing w:after="0" w:line="240" w:lineRule="auto"/>
              <w:jc w:val="center"/>
              <w:rPr>
                <w:rFonts w:ascii="Times New Roman" w:eastAsia="MS Mincho" w:hAnsi="Times New Roman" w:cs="Times New Roman"/>
                <w:b/>
                <w:sz w:val="20"/>
                <w:szCs w:val="20"/>
              </w:rPr>
            </w:pPr>
          </w:p>
        </w:tc>
        <w:tc>
          <w:tcPr>
            <w:tcW w:w="1297" w:type="dxa"/>
            <w:tcBorders>
              <w:top w:val="single" w:sz="4" w:space="0" w:color="auto"/>
              <w:left w:val="nil"/>
              <w:bottom w:val="nil"/>
              <w:right w:val="single" w:sz="4" w:space="0" w:color="auto"/>
            </w:tcBorders>
            <w:shd w:val="clear" w:color="auto" w:fill="auto"/>
          </w:tcPr>
          <w:p w:rsidR="00F403A0" w:rsidRPr="00B043B4" w:rsidRDefault="00F403A0" w:rsidP="007E0186">
            <w:pPr>
              <w:spacing w:after="0" w:line="240" w:lineRule="auto"/>
              <w:ind w:left="54"/>
              <w:rPr>
                <w:rFonts w:ascii="Times New Roman" w:eastAsia="Times New Roman" w:hAnsi="Times New Roman" w:cs="Times New Roman"/>
                <w:b/>
                <w:sz w:val="20"/>
                <w:szCs w:val="20"/>
              </w:rPr>
            </w:pPr>
          </w:p>
        </w:tc>
      </w:tr>
      <w:tr w:rsidR="00F403A0" w:rsidRPr="00B043B4" w:rsidTr="007E0186">
        <w:tc>
          <w:tcPr>
            <w:tcW w:w="3812" w:type="dxa"/>
            <w:tcBorders>
              <w:top w:val="nil"/>
              <w:left w:val="single" w:sz="4" w:space="0" w:color="auto"/>
              <w:bottom w:val="nil"/>
              <w:right w:val="single" w:sz="4" w:space="0" w:color="auto"/>
            </w:tcBorders>
            <w:shd w:val="clear" w:color="auto" w:fill="E2E2E2"/>
          </w:tcPr>
          <w:p w:rsidR="00F403A0" w:rsidRPr="00B043B4" w:rsidRDefault="00F403A0" w:rsidP="007E0186">
            <w:pPr>
              <w:spacing w:after="0" w:line="240" w:lineRule="auto"/>
              <w:ind w:left="196" w:hanging="196"/>
              <w:rPr>
                <w:rFonts w:ascii="Times New Roman" w:hAnsi="Times New Roman" w:cs="Times New Roman"/>
                <w:b/>
                <w:sz w:val="20"/>
                <w:szCs w:val="20"/>
              </w:rPr>
            </w:pPr>
            <w:r w:rsidRPr="00B043B4">
              <w:rPr>
                <w:rFonts w:ascii="Times New Roman"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F403A0" w:rsidRPr="00B043B4" w:rsidRDefault="00F403A0" w:rsidP="007E0186">
            <w:pPr>
              <w:spacing w:after="0" w:line="240" w:lineRule="auto"/>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nil"/>
              <w:left w:val="nil"/>
              <w:bottom w:val="dotted" w:sz="4" w:space="0" w:color="auto"/>
              <w:right w:val="nil"/>
            </w:tcBorders>
            <w:shd w:val="clear" w:color="auto" w:fill="auto"/>
          </w:tcPr>
          <w:p w:rsidR="00F403A0" w:rsidRPr="00B043B4" w:rsidRDefault="00F403A0" w:rsidP="007E0186">
            <w:pPr>
              <w:spacing w:after="0" w:line="240" w:lineRule="auto"/>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F403A0" w:rsidRPr="00B043B4" w:rsidRDefault="00F403A0" w:rsidP="007E0186">
            <w:pPr>
              <w:spacing w:after="0" w:line="240" w:lineRule="auto"/>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r w:rsidR="00F403A0" w:rsidRPr="00B043B4" w:rsidTr="007E0186">
        <w:tc>
          <w:tcPr>
            <w:tcW w:w="3812" w:type="dxa"/>
            <w:tcBorders>
              <w:top w:val="nil"/>
              <w:left w:val="single" w:sz="4" w:space="0" w:color="auto"/>
              <w:bottom w:val="nil"/>
              <w:right w:val="single" w:sz="4" w:space="0" w:color="auto"/>
            </w:tcBorders>
            <w:shd w:val="clear" w:color="auto" w:fill="E2E2E2"/>
          </w:tcPr>
          <w:p w:rsidR="00F403A0" w:rsidRPr="00B043B4" w:rsidRDefault="00F403A0" w:rsidP="007E0186">
            <w:pPr>
              <w:spacing w:after="0" w:line="240" w:lineRule="auto"/>
              <w:ind w:left="168" w:hanging="168"/>
              <w:rPr>
                <w:rFonts w:ascii="Times New Roman" w:hAnsi="Times New Roman" w:cs="Times New Roman"/>
                <w:b/>
                <w:sz w:val="20"/>
                <w:szCs w:val="20"/>
              </w:rPr>
            </w:pPr>
            <w:r w:rsidRPr="00B043B4">
              <w:rPr>
                <w:rFonts w:ascii="Times New Roman"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403A0" w:rsidRPr="00B043B4" w:rsidRDefault="00F403A0" w:rsidP="007E0186">
            <w:pPr>
              <w:spacing w:after="0" w:line="240" w:lineRule="auto"/>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F403A0" w:rsidRPr="00B043B4" w:rsidRDefault="00F403A0" w:rsidP="007E0186">
            <w:pPr>
              <w:spacing w:after="0" w:line="240" w:lineRule="auto"/>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F403A0" w:rsidRPr="00B043B4" w:rsidRDefault="00F403A0" w:rsidP="007E0186">
                <w:pPr>
                  <w:spacing w:after="0" w:line="240" w:lineRule="auto"/>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403A0" w:rsidRPr="00B043B4" w:rsidRDefault="00F403A0" w:rsidP="007E0186">
            <w:pPr>
              <w:spacing w:after="0" w:line="240" w:lineRule="auto"/>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403A0" w:rsidRPr="00B043B4" w:rsidTr="007E0186">
        <w:tc>
          <w:tcPr>
            <w:tcW w:w="3812" w:type="dxa"/>
            <w:tcBorders>
              <w:top w:val="single" w:sz="4" w:space="0" w:color="000000"/>
              <w:left w:val="single" w:sz="4" w:space="0" w:color="auto"/>
              <w:bottom w:val="single" w:sz="4" w:space="0" w:color="auto"/>
              <w:right w:val="single" w:sz="4" w:space="0" w:color="auto"/>
            </w:tcBorders>
            <w:shd w:val="clear" w:color="auto" w:fill="E2E2E2"/>
          </w:tcPr>
          <w:p w:rsidR="00F403A0" w:rsidRPr="00B043B4" w:rsidRDefault="00F403A0" w:rsidP="007E0186">
            <w:pPr>
              <w:rPr>
                <w:rFonts w:ascii="Times New Roman" w:eastAsia="Times New Roman" w:hAnsi="Times New Roman" w:cs="Times New Roman"/>
                <w:b/>
                <w:sz w:val="20"/>
                <w:szCs w:val="20"/>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F403A0" w:rsidRPr="00B043B4" w:rsidRDefault="00F403A0" w:rsidP="007E0186">
            <w:pPr>
              <w:ind w:right="-108"/>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Pozitívne</w:t>
            </w:r>
          </w:p>
        </w:tc>
        <w:sdt>
          <w:sdtPr>
            <w:rPr>
              <w:rFonts w:ascii="Times New Roman" w:eastAsia="Times New Roman" w:hAnsi="Times New Roman" w:cs="Times New Roman"/>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F403A0" w:rsidRPr="00B043B4" w:rsidRDefault="00F403A0" w:rsidP="007E0186">
            <w:pPr>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Žiadne</w:t>
            </w:r>
          </w:p>
        </w:tc>
        <w:sdt>
          <w:sdtPr>
            <w:rPr>
              <w:rFonts w:ascii="Times New Roman" w:eastAsia="Times New Roman" w:hAnsi="Times New Roman" w:cs="Times New Roman"/>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F403A0" w:rsidRPr="00B043B4" w:rsidRDefault="00F403A0" w:rsidP="007E0186">
                <w:pPr>
                  <w:jc w:val="center"/>
                  <w:rPr>
                    <w:rFonts w:ascii="Times New Roman" w:eastAsia="Times New Roman" w:hAnsi="Times New Roman" w:cs="Times New Roman"/>
                    <w:b/>
                    <w:sz w:val="20"/>
                    <w:szCs w:val="20"/>
                  </w:rPr>
                </w:pPr>
                <w:r>
                  <w:rPr>
                    <w:rFonts w:ascii="MS Gothic" w:eastAsia="MS Gothic" w:hAnsi="MS Gothic" w:cs="Times New Roman"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F403A0" w:rsidRPr="00B043B4" w:rsidRDefault="00F403A0" w:rsidP="007E0186">
            <w:pPr>
              <w:ind w:left="54"/>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Negatívne</w:t>
            </w:r>
          </w:p>
        </w:tc>
      </w:tr>
    </w:tbl>
    <w:p w:rsidR="00F403A0" w:rsidRPr="00B043B4" w:rsidRDefault="00F403A0" w:rsidP="00F403A0">
      <w:pPr>
        <w:spacing w:after="0" w:line="240" w:lineRule="auto"/>
        <w:ind w:right="141"/>
        <w:rPr>
          <w:rFonts w:ascii="Times New Roman" w:eastAsia="Times New Roman" w:hAnsi="Times New Roman" w:cs="Times New Roman"/>
          <w:b/>
          <w:sz w:val="20"/>
          <w:szCs w:val="20"/>
        </w:rPr>
      </w:pPr>
    </w:p>
    <w:tbl>
      <w:tblPr>
        <w:tblStyle w:val="Mriekatabuky1"/>
        <w:tblW w:w="9176" w:type="dxa"/>
        <w:tblLayout w:type="fixed"/>
        <w:tblLook w:val="04A0" w:firstRow="1" w:lastRow="0" w:firstColumn="1" w:lastColumn="0" w:noHBand="0" w:noVBand="1"/>
      </w:tblPr>
      <w:tblGrid>
        <w:gridCol w:w="9176"/>
      </w:tblGrid>
      <w:tr w:rsidR="00F403A0" w:rsidRPr="00B043B4" w:rsidTr="007E0186">
        <w:tc>
          <w:tcPr>
            <w:tcW w:w="9176" w:type="dxa"/>
            <w:tcBorders>
              <w:top w:val="single" w:sz="4" w:space="0" w:color="auto"/>
              <w:left w:val="single" w:sz="4" w:space="0" w:color="auto"/>
              <w:bottom w:val="nil"/>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Poznámky</w:t>
            </w:r>
          </w:p>
        </w:tc>
      </w:tr>
      <w:tr w:rsidR="00F403A0" w:rsidRPr="00B043B4" w:rsidTr="007E0186">
        <w:trPr>
          <w:trHeight w:val="713"/>
        </w:trPr>
        <w:tc>
          <w:tcPr>
            <w:tcW w:w="9176" w:type="dxa"/>
            <w:tcBorders>
              <w:top w:val="nil"/>
              <w:left w:val="single" w:sz="4" w:space="0" w:color="auto"/>
              <w:bottom w:val="single" w:sz="4" w:space="0" w:color="FFFFFF"/>
              <w:right w:val="single" w:sz="4" w:space="0" w:color="auto"/>
            </w:tcBorders>
            <w:shd w:val="clear" w:color="auto" w:fill="auto"/>
          </w:tcPr>
          <w:p w:rsidR="00F403A0" w:rsidRPr="00B043B4" w:rsidRDefault="00F403A0" w:rsidP="007E0186">
            <w:pPr>
              <w:jc w:val="both"/>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V prípade potreby uveďte doplňujúce informácie k identifikovaným vplyvom a ich analýzam. Informácie v tejto časti slúžia na zhrnutie vplyvov a nie ako náhrada za vypracovanie príslušných analýz vybraných vplyvov.</w:t>
            </w:r>
          </w:p>
          <w:p w:rsidR="00F403A0" w:rsidRPr="00B043B4" w:rsidRDefault="00F403A0" w:rsidP="007E0186">
            <w:pPr>
              <w:ind w:left="426"/>
              <w:contextualSpacing/>
              <w:rPr>
                <w:rFonts w:ascii="Times New Roman" w:hAnsi="Times New Roman" w:cs="Times New Roman"/>
                <w:b/>
              </w:rPr>
            </w:pPr>
          </w:p>
        </w:tc>
      </w:tr>
      <w:tr w:rsidR="00F403A0" w:rsidRPr="00B043B4" w:rsidTr="007E0186">
        <w:tc>
          <w:tcPr>
            <w:tcW w:w="9176" w:type="dxa"/>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Kontakt na spracovateľa</w:t>
            </w:r>
          </w:p>
        </w:tc>
      </w:tr>
      <w:tr w:rsidR="00F403A0" w:rsidRPr="00B043B4" w:rsidTr="007E018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03A0" w:rsidRDefault="00F403A0" w:rsidP="007E0186">
            <w:pPr>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údaje na kontaktnú osobu, ktorú je možné kontaktovať v súvislosti s posúdením vybraných vplyvov.</w:t>
            </w:r>
          </w:p>
          <w:p w:rsidR="00F403A0" w:rsidRPr="000A4EE7" w:rsidRDefault="00F403A0" w:rsidP="007E0186">
            <w:pPr>
              <w:shd w:val="clear" w:color="auto" w:fill="FFFFFF"/>
              <w:rPr>
                <w:rFonts w:ascii="Times New Roman" w:eastAsia="Times New Roman" w:hAnsi="Times New Roman" w:cs="Times New Roman"/>
                <w:sz w:val="20"/>
                <w:szCs w:val="20"/>
              </w:rPr>
            </w:pPr>
            <w:r w:rsidRPr="000A4EE7">
              <w:rPr>
                <w:rFonts w:ascii="Times New Roman" w:hAnsi="Times New Roman" w:cs="Times New Roman"/>
                <w:sz w:val="20"/>
                <w:szCs w:val="20"/>
              </w:rPr>
              <w:t xml:space="preserve">Mgr. Ján Kušnárik, riaditeľ organizačného a právneho odboru Migračného úradu MV SR, tel.: +421 2 48254102,  </w:t>
            </w:r>
            <w:hyperlink r:id="rId8" w:history="1">
              <w:r w:rsidRPr="000A4EE7">
                <w:rPr>
                  <w:rFonts w:ascii="Times New Roman" w:hAnsi="Times New Roman" w:cs="Times New Roman"/>
                  <w:sz w:val="20"/>
                  <w:szCs w:val="20"/>
                  <w:u w:val="single"/>
                </w:rPr>
                <w:t>jan.kusnarik@minv.sk</w:t>
              </w:r>
            </w:hyperlink>
            <w:r>
              <w:rPr>
                <w:rFonts w:ascii="Times New Roman" w:hAnsi="Times New Roman" w:cs="Times New Roman"/>
                <w:sz w:val="20"/>
                <w:szCs w:val="20"/>
              </w:rPr>
              <w:t xml:space="preserve">; </w:t>
            </w:r>
          </w:p>
        </w:tc>
      </w:tr>
      <w:tr w:rsidR="00F403A0" w:rsidRPr="00B043B4" w:rsidTr="007E0186">
        <w:tc>
          <w:tcPr>
            <w:tcW w:w="9176" w:type="dxa"/>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26"/>
              <w:contextualSpacing/>
              <w:rPr>
                <w:rFonts w:ascii="Times New Roman" w:hAnsi="Times New Roman" w:cs="Times New Roman"/>
                <w:b/>
              </w:rPr>
            </w:pPr>
            <w:r w:rsidRPr="00B043B4">
              <w:rPr>
                <w:rFonts w:ascii="Times New Roman" w:hAnsi="Times New Roman" w:cs="Times New Roman"/>
                <w:b/>
              </w:rPr>
              <w:t>Zdroje</w:t>
            </w:r>
          </w:p>
        </w:tc>
      </w:tr>
      <w:tr w:rsidR="00F403A0" w:rsidRPr="00B043B4" w:rsidTr="007E018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03A0" w:rsidRPr="00B043B4" w:rsidRDefault="00F403A0" w:rsidP="007E0186">
            <w:pPr>
              <w:jc w:val="both"/>
              <w:rPr>
                <w:rFonts w:ascii="Times New Roman" w:eastAsia="Times New Roman" w:hAnsi="Times New Roman" w:cs="Times New Roman"/>
                <w:i/>
                <w:sz w:val="20"/>
                <w:szCs w:val="20"/>
              </w:rPr>
            </w:pPr>
            <w:r w:rsidRPr="00B043B4">
              <w:rPr>
                <w:rFonts w:ascii="Times New Roman" w:eastAsia="Times New Roman" w:hAnsi="Times New Roman" w:cs="Times New Roman"/>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hAnsi="Times New Roman" w:cs="Times New Roman"/>
                <w:sz w:val="24"/>
                <w:szCs w:val="24"/>
              </w:rPr>
              <w:t xml:space="preserve"> </w:t>
            </w:r>
          </w:p>
          <w:p w:rsidR="00F403A0" w:rsidRPr="00B043B4" w:rsidRDefault="00F403A0" w:rsidP="007E0186">
            <w:pPr>
              <w:rPr>
                <w:rFonts w:ascii="Times New Roman" w:eastAsia="Times New Roman" w:hAnsi="Times New Roman" w:cs="Times New Roman"/>
                <w:i/>
                <w:sz w:val="20"/>
                <w:szCs w:val="20"/>
              </w:rPr>
            </w:pPr>
          </w:p>
          <w:p w:rsidR="00F403A0" w:rsidRPr="00B043B4" w:rsidRDefault="00F403A0" w:rsidP="007E0186">
            <w:pPr>
              <w:rPr>
                <w:rFonts w:ascii="Times New Roman" w:eastAsia="Times New Roman" w:hAnsi="Times New Roman" w:cs="Times New Roman"/>
                <w:b/>
                <w:sz w:val="20"/>
                <w:szCs w:val="20"/>
              </w:rPr>
            </w:pPr>
          </w:p>
        </w:tc>
      </w:tr>
      <w:tr w:rsidR="00F403A0" w:rsidRPr="00B043B4" w:rsidTr="007E0186">
        <w:tc>
          <w:tcPr>
            <w:tcW w:w="9176" w:type="dxa"/>
            <w:tcBorders>
              <w:top w:val="single" w:sz="4" w:space="0" w:color="auto"/>
              <w:left w:val="single" w:sz="4" w:space="0" w:color="auto"/>
              <w:bottom w:val="single" w:sz="4" w:space="0" w:color="FFFFFF"/>
              <w:right w:val="single" w:sz="4" w:space="0" w:color="auto"/>
            </w:tcBorders>
            <w:shd w:val="clear" w:color="auto" w:fill="E2E2E2"/>
          </w:tcPr>
          <w:p w:rsidR="00F403A0" w:rsidRPr="00B043B4" w:rsidRDefault="00F403A0" w:rsidP="00F403A0">
            <w:pPr>
              <w:numPr>
                <w:ilvl w:val="0"/>
                <w:numId w:val="1"/>
              </w:numPr>
              <w:spacing w:after="0" w:line="240" w:lineRule="auto"/>
              <w:ind w:left="447" w:hanging="425"/>
              <w:contextualSpacing/>
              <w:rPr>
                <w:rFonts w:ascii="Times New Roman" w:hAnsi="Times New Roman" w:cs="Times New Roman"/>
                <w:b/>
              </w:rPr>
            </w:pPr>
            <w:r w:rsidRPr="00B043B4">
              <w:rPr>
                <w:rFonts w:ascii="Times New Roman" w:hAnsi="Times New Roman" w:cs="Times New Roman"/>
                <w:b/>
              </w:rPr>
              <w:lastRenderedPageBreak/>
              <w:t>Stanovisko Komisie na posudzovanie vybraných vplyvov z PPK č. ..........</w:t>
            </w:r>
            <w:r w:rsidRPr="00B043B4">
              <w:rPr>
                <w:rFonts w:cs="Times New Roman"/>
              </w:rPr>
              <w:t xml:space="preserve"> </w:t>
            </w:r>
          </w:p>
          <w:p w:rsidR="00F403A0" w:rsidRPr="00B043B4" w:rsidRDefault="00F403A0" w:rsidP="007E0186">
            <w:pPr>
              <w:ind w:left="502"/>
              <w:rPr>
                <w:rFonts w:ascii="Times New Roman" w:eastAsia="Times New Roman" w:hAnsi="Times New Roman" w:cs="Times New Roman"/>
                <w:b/>
                <w:sz w:val="20"/>
                <w:szCs w:val="20"/>
              </w:rPr>
            </w:pPr>
            <w:r w:rsidRPr="00B043B4">
              <w:rPr>
                <w:rFonts w:ascii="Times New Roman" w:hAnsi="Times New Roman" w:cs="Times New Roman"/>
              </w:rPr>
              <w:t>(v prípade, ak sa uskutočnilo v zmysle bodu 8.1 Jednotnej metodiky)</w:t>
            </w:r>
          </w:p>
        </w:tc>
      </w:tr>
      <w:tr w:rsidR="00F403A0" w:rsidRPr="00B043B4" w:rsidTr="007E0186">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403A0" w:rsidRPr="00B043B4" w:rsidRDefault="00F403A0" w:rsidP="007E0186">
            <w:pPr>
              <w:rPr>
                <w:rFonts w:ascii="Times New Roman" w:eastAsia="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03A0" w:rsidRPr="00B043B4" w:rsidTr="007E0186">
              <w:trPr>
                <w:trHeight w:val="396"/>
              </w:trPr>
              <w:tc>
                <w:tcPr>
                  <w:tcW w:w="2552" w:type="dxa"/>
                </w:tcPr>
                <w:p w:rsidR="00F403A0" w:rsidRPr="00B043B4" w:rsidRDefault="00FD427A" w:rsidP="007E0186">
                  <w:pP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874910888"/>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 xml:space="preserve">Súhlasné </w:t>
                  </w:r>
                </w:p>
              </w:tc>
              <w:tc>
                <w:tcPr>
                  <w:tcW w:w="3827" w:type="dxa"/>
                </w:tcPr>
                <w:p w:rsidR="00F403A0" w:rsidRPr="00B043B4" w:rsidRDefault="00FD427A" w:rsidP="007E0186">
                  <w:pP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1697888127"/>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Súhlasné s návrhom na dopracovanie</w:t>
                  </w:r>
                </w:p>
              </w:tc>
              <w:tc>
                <w:tcPr>
                  <w:tcW w:w="2534" w:type="dxa"/>
                </w:tcPr>
                <w:p w:rsidR="00F403A0" w:rsidRPr="00B043B4" w:rsidRDefault="00FD427A" w:rsidP="007E0186">
                  <w:pPr>
                    <w:ind w:right="459"/>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647822913"/>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Nesúhlasné</w:t>
                  </w:r>
                </w:p>
              </w:tc>
            </w:tr>
          </w:tbl>
          <w:p w:rsidR="00F403A0" w:rsidRPr="00B043B4" w:rsidRDefault="00F403A0" w:rsidP="007E0186">
            <w:pPr>
              <w:jc w:val="both"/>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Uveďte pripomienky zo stanoviska Komisie z časti II. spolu s Vaším vyhodnotením:</w:t>
            </w:r>
          </w:p>
          <w:p w:rsidR="00F403A0" w:rsidRPr="00B043B4" w:rsidRDefault="00F403A0" w:rsidP="007E0186">
            <w:pPr>
              <w:rPr>
                <w:rFonts w:ascii="Times New Roman" w:eastAsia="Times New Roman" w:hAnsi="Times New Roman" w:cs="Times New Roman"/>
                <w:b/>
                <w:sz w:val="20"/>
                <w:szCs w:val="20"/>
              </w:rPr>
            </w:pPr>
          </w:p>
          <w:p w:rsidR="00F403A0" w:rsidRPr="007F6D5A" w:rsidRDefault="00F403A0" w:rsidP="007E0186">
            <w:pPr>
              <w:jc w:val="both"/>
              <w:rPr>
                <w:rFonts w:ascii="Times New Roman" w:eastAsia="Times New Roman" w:hAnsi="Times New Roman" w:cs="Times New Roman"/>
                <w:sz w:val="20"/>
                <w:szCs w:val="20"/>
              </w:rPr>
            </w:pPr>
            <w:r w:rsidRPr="007F6D5A">
              <w:rPr>
                <w:rFonts w:ascii="Times New Roman" w:eastAsia="Times New Roman" w:hAnsi="Times New Roman" w:cs="Times New Roman"/>
                <w:sz w:val="20"/>
                <w:szCs w:val="20"/>
              </w:rPr>
              <w:t>Podľa bodu 2.5</w:t>
            </w:r>
            <w:r>
              <w:rPr>
                <w:rFonts w:ascii="Times New Roman" w:eastAsia="Times New Roman" w:hAnsi="Times New Roman" w:cs="Times New Roman"/>
                <w:sz w:val="20"/>
                <w:szCs w:val="20"/>
              </w:rPr>
              <w:t xml:space="preserve">. písm. a) </w:t>
            </w:r>
            <w:r w:rsidRPr="007F6D5A">
              <w:rPr>
                <w:rFonts w:ascii="Times New Roman" w:eastAsia="Times New Roman" w:hAnsi="Times New Roman" w:cs="Times New Roman"/>
                <w:sz w:val="20"/>
                <w:szCs w:val="20"/>
              </w:rPr>
              <w:t xml:space="preserve"> Jednotnej metodiky na posudzovanie vybraných vplyvov sa jednotná metodika neuplatňuje na návrh zákona, ktorý má byť predmetom skráteného legislatívneho konania.</w:t>
            </w:r>
          </w:p>
          <w:p w:rsidR="00F403A0" w:rsidRPr="00B043B4" w:rsidRDefault="00F403A0" w:rsidP="007E0186">
            <w:pPr>
              <w:rPr>
                <w:rFonts w:ascii="Times New Roman" w:eastAsia="Times New Roman" w:hAnsi="Times New Roman" w:cs="Times New Roman"/>
                <w:b/>
                <w:sz w:val="20"/>
                <w:szCs w:val="20"/>
              </w:rPr>
            </w:pPr>
          </w:p>
          <w:p w:rsidR="00F403A0" w:rsidRPr="00B043B4" w:rsidRDefault="00F403A0" w:rsidP="007E0186">
            <w:pPr>
              <w:rPr>
                <w:rFonts w:ascii="Times New Roman" w:eastAsia="Times New Roman" w:hAnsi="Times New Roman" w:cs="Times New Roman"/>
                <w:b/>
                <w:sz w:val="20"/>
                <w:szCs w:val="20"/>
              </w:rPr>
            </w:pPr>
          </w:p>
        </w:tc>
      </w:tr>
      <w:tr w:rsidR="00F403A0" w:rsidRPr="00B043B4" w:rsidTr="007E0186">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403A0" w:rsidRPr="00B043B4" w:rsidRDefault="00F403A0" w:rsidP="00F403A0">
            <w:pPr>
              <w:numPr>
                <w:ilvl w:val="0"/>
                <w:numId w:val="1"/>
              </w:numPr>
              <w:spacing w:after="0" w:line="240" w:lineRule="auto"/>
              <w:ind w:left="450" w:hanging="425"/>
              <w:contextualSpacing/>
              <w:jc w:val="both"/>
              <w:rPr>
                <w:rFonts w:ascii="Times New Roman" w:hAnsi="Times New Roman" w:cs="Times New Roman"/>
                <w:b/>
              </w:rPr>
            </w:pPr>
            <w:r w:rsidRPr="00B043B4">
              <w:rPr>
                <w:rFonts w:ascii="Times New Roman" w:hAnsi="Times New Roman" w:cs="Times New Roman"/>
                <w:b/>
              </w:rPr>
              <w:t>Stanovisko Komisie na posudzovanie vybraných vplyvov zo záverečného posúdenia č. ..........</w:t>
            </w:r>
            <w:r w:rsidRPr="00B043B4">
              <w:rPr>
                <w:rFonts w:ascii="Times New Roman" w:hAnsi="Times New Roman" w:cs="Times New Roman"/>
              </w:rPr>
              <w:t xml:space="preserve"> (v prípade, ak sa uskutočnilo v zmysle bodu 9.1. Jednotnej metodiky) </w:t>
            </w:r>
          </w:p>
        </w:tc>
      </w:tr>
      <w:tr w:rsidR="00F403A0" w:rsidRPr="00B043B4" w:rsidTr="007E0186">
        <w:tblPrEx>
          <w:tblBorders>
            <w:insideH w:val="single" w:sz="4" w:space="0" w:color="FFFFFF"/>
            <w:insideV w:val="single" w:sz="4" w:space="0" w:color="FFFFFF"/>
          </w:tblBorders>
        </w:tblPrEx>
        <w:tc>
          <w:tcPr>
            <w:tcW w:w="9176" w:type="dxa"/>
            <w:shd w:val="clear" w:color="auto" w:fill="FFFFFF"/>
          </w:tcPr>
          <w:p w:rsidR="00F403A0" w:rsidRPr="00B043B4" w:rsidRDefault="00F403A0" w:rsidP="007E0186">
            <w:pPr>
              <w:rPr>
                <w:rFonts w:ascii="Times New Roman" w:eastAsia="Times New Roman" w:hAnsi="Times New Roman" w:cs="Times New Roman"/>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403A0" w:rsidRPr="00B043B4" w:rsidTr="007E0186">
              <w:trPr>
                <w:trHeight w:val="396"/>
              </w:trPr>
              <w:tc>
                <w:tcPr>
                  <w:tcW w:w="2552" w:type="dxa"/>
                </w:tcPr>
                <w:p w:rsidR="00F403A0" w:rsidRPr="00B043B4" w:rsidRDefault="00FD427A" w:rsidP="007E0186">
                  <w:pP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888232876"/>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 xml:space="preserve">Súhlasné </w:t>
                  </w:r>
                </w:p>
              </w:tc>
              <w:tc>
                <w:tcPr>
                  <w:tcW w:w="3827" w:type="dxa"/>
                </w:tcPr>
                <w:p w:rsidR="00F403A0" w:rsidRPr="00B043B4" w:rsidRDefault="00FD427A" w:rsidP="007E0186">
                  <w:pPr>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953831761"/>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Súhlasné s  návrhom na dopracovanie</w:t>
                  </w:r>
                </w:p>
              </w:tc>
              <w:tc>
                <w:tcPr>
                  <w:tcW w:w="2534" w:type="dxa"/>
                </w:tcPr>
                <w:p w:rsidR="00F403A0" w:rsidRPr="00B043B4" w:rsidRDefault="00FD427A" w:rsidP="007E0186">
                  <w:pPr>
                    <w:ind w:right="459"/>
                    <w:rPr>
                      <w:rFonts w:ascii="Times New Roman" w:eastAsia="Times New Roman" w:hAnsi="Times New Roman" w:cs="Times New Roman"/>
                      <w:b/>
                      <w:sz w:val="20"/>
                      <w:szCs w:val="20"/>
                    </w:rPr>
                  </w:pPr>
                  <w:sdt>
                    <w:sdtPr>
                      <w:rPr>
                        <w:rFonts w:ascii="Times New Roman" w:eastAsia="Times New Roman" w:hAnsi="Times New Roman" w:cs="Times New Roman"/>
                        <w:b/>
                        <w:sz w:val="20"/>
                        <w:szCs w:val="20"/>
                      </w:rPr>
                      <w:id w:val="-361740452"/>
                      <w14:checkbox>
                        <w14:checked w14:val="0"/>
                        <w14:checkedState w14:val="2612" w14:font="MS Gothic"/>
                        <w14:uncheckedState w14:val="2610" w14:font="MS Gothic"/>
                      </w14:checkbox>
                    </w:sdtPr>
                    <w:sdtEndPr/>
                    <w:sdtContent>
                      <w:r w:rsidR="00F403A0">
                        <w:rPr>
                          <w:rFonts w:ascii="MS Gothic" w:eastAsia="MS Gothic" w:hAnsi="MS Gothic" w:cs="Times New Roman" w:hint="eastAsia"/>
                          <w:b/>
                          <w:sz w:val="20"/>
                          <w:szCs w:val="20"/>
                        </w:rPr>
                        <w:t>☐</w:t>
                      </w:r>
                    </w:sdtContent>
                  </w:sdt>
                  <w:r w:rsidR="00F403A0">
                    <w:rPr>
                      <w:rFonts w:ascii="Times New Roman" w:eastAsia="Times New Roman" w:hAnsi="Times New Roman" w:cs="Times New Roman"/>
                      <w:b/>
                      <w:sz w:val="20"/>
                      <w:szCs w:val="20"/>
                    </w:rPr>
                    <w:t xml:space="preserve">  </w:t>
                  </w:r>
                  <w:r w:rsidR="00F403A0" w:rsidRPr="00B043B4">
                    <w:rPr>
                      <w:rFonts w:ascii="Times New Roman" w:eastAsia="Times New Roman" w:hAnsi="Times New Roman" w:cs="Times New Roman"/>
                      <w:b/>
                      <w:sz w:val="20"/>
                      <w:szCs w:val="20"/>
                    </w:rPr>
                    <w:t>Nesúhlasné</w:t>
                  </w:r>
                </w:p>
              </w:tc>
            </w:tr>
          </w:tbl>
          <w:p w:rsidR="00F403A0" w:rsidRPr="00B043B4" w:rsidRDefault="00F403A0" w:rsidP="007E0186">
            <w:pPr>
              <w:jc w:val="both"/>
              <w:rPr>
                <w:rFonts w:ascii="Times New Roman" w:eastAsia="Times New Roman" w:hAnsi="Times New Roman" w:cs="Times New Roman"/>
                <w:b/>
                <w:sz w:val="20"/>
                <w:szCs w:val="20"/>
              </w:rPr>
            </w:pPr>
            <w:r w:rsidRPr="00B043B4">
              <w:rPr>
                <w:rFonts w:ascii="Times New Roman" w:eastAsia="Times New Roman" w:hAnsi="Times New Roman" w:cs="Times New Roman"/>
                <w:b/>
                <w:sz w:val="20"/>
                <w:szCs w:val="20"/>
              </w:rPr>
              <w:t>Uveďte pripomienky zo stanoviska Komisie z časti II. spolu s Vaším vyhodnotením:</w:t>
            </w:r>
          </w:p>
          <w:p w:rsidR="00F403A0" w:rsidRPr="00B043B4" w:rsidRDefault="00F403A0" w:rsidP="007E0186">
            <w:pPr>
              <w:rPr>
                <w:rFonts w:ascii="Times New Roman" w:eastAsia="Times New Roman" w:hAnsi="Times New Roman" w:cs="Times New Roman"/>
                <w:b/>
                <w:sz w:val="20"/>
                <w:szCs w:val="20"/>
              </w:rPr>
            </w:pPr>
          </w:p>
          <w:p w:rsidR="00F403A0" w:rsidRPr="00B043B4" w:rsidRDefault="00F403A0" w:rsidP="007E0186">
            <w:pPr>
              <w:rPr>
                <w:rFonts w:ascii="Times New Roman" w:eastAsia="Times New Roman" w:hAnsi="Times New Roman" w:cs="Times New Roman"/>
                <w:b/>
                <w:sz w:val="20"/>
                <w:szCs w:val="20"/>
              </w:rPr>
            </w:pPr>
          </w:p>
        </w:tc>
      </w:tr>
    </w:tbl>
    <w:p w:rsidR="00F403A0" w:rsidRDefault="00F403A0" w:rsidP="00F403A0"/>
    <w:p w:rsidR="00F403A0" w:rsidRDefault="00F403A0" w:rsidP="00F403A0">
      <w:r>
        <w:br w:type="page"/>
      </w:r>
    </w:p>
    <w:p w:rsidR="00F403A0" w:rsidRPr="000F5F74" w:rsidRDefault="00F403A0" w:rsidP="00F403A0">
      <w:pPr>
        <w:spacing w:after="0" w:line="240" w:lineRule="auto"/>
        <w:jc w:val="center"/>
        <w:rPr>
          <w:rFonts w:ascii="Times New Roman" w:eastAsia="Times New Roman" w:hAnsi="Times New Roman" w:cs="Times New Roman"/>
          <w:b/>
          <w:bCs/>
          <w:sz w:val="28"/>
          <w:szCs w:val="28"/>
        </w:rPr>
      </w:pPr>
      <w:r w:rsidRPr="000F5F74">
        <w:rPr>
          <w:rFonts w:ascii="Times New Roman" w:eastAsia="Times New Roman" w:hAnsi="Times New Roman" w:cs="Times New Roman"/>
          <w:b/>
          <w:bCs/>
          <w:sz w:val="28"/>
          <w:szCs w:val="28"/>
        </w:rPr>
        <w:lastRenderedPageBreak/>
        <w:t>Analýza vplyvov na rozpočet verejnej správy,</w:t>
      </w:r>
    </w:p>
    <w:p w:rsidR="00F403A0" w:rsidRPr="000F5F74" w:rsidRDefault="00F403A0" w:rsidP="00F403A0">
      <w:pPr>
        <w:spacing w:after="0" w:line="240" w:lineRule="auto"/>
        <w:jc w:val="center"/>
        <w:rPr>
          <w:rFonts w:ascii="Times New Roman" w:eastAsia="Times New Roman" w:hAnsi="Times New Roman" w:cs="Times New Roman"/>
          <w:b/>
          <w:bCs/>
          <w:sz w:val="28"/>
          <w:szCs w:val="28"/>
        </w:rPr>
      </w:pPr>
      <w:r w:rsidRPr="000F5F74">
        <w:rPr>
          <w:rFonts w:ascii="Times New Roman" w:eastAsia="Times New Roman" w:hAnsi="Times New Roman" w:cs="Times New Roman"/>
          <w:b/>
          <w:bCs/>
          <w:sz w:val="28"/>
          <w:szCs w:val="28"/>
        </w:rPr>
        <w:t>na zamestnanosť vo verejnej správe a financovanie návrhu</w:t>
      </w:r>
    </w:p>
    <w:p w:rsidR="00F403A0" w:rsidRPr="000F5F74" w:rsidRDefault="00F403A0" w:rsidP="00F403A0">
      <w:pPr>
        <w:spacing w:after="0" w:line="240" w:lineRule="auto"/>
        <w:jc w:val="right"/>
        <w:rPr>
          <w:rFonts w:ascii="Times New Roman" w:eastAsia="Times New Roman" w:hAnsi="Times New Roman" w:cs="Times New Roman"/>
          <w:b/>
          <w:bCs/>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2.1 Zhrnutie vplyvov na rozpočet verejnej správy v návrhu</w:t>
      </w:r>
    </w:p>
    <w:p w:rsidR="00F403A0" w:rsidRPr="000F5F74" w:rsidRDefault="00F403A0" w:rsidP="00F403A0">
      <w:pPr>
        <w:spacing w:after="0" w:line="240" w:lineRule="auto"/>
        <w:jc w:val="right"/>
        <w:rPr>
          <w:rFonts w:ascii="Times New Roman" w:eastAsia="Times New Roman" w:hAnsi="Times New Roman" w:cs="Times New Roman"/>
          <w:sz w:val="20"/>
          <w:szCs w:val="20"/>
        </w:rPr>
      </w:pPr>
    </w:p>
    <w:p w:rsidR="00F403A0" w:rsidRPr="000F5F74" w:rsidRDefault="00F403A0" w:rsidP="00F403A0">
      <w:pPr>
        <w:spacing w:after="0" w:line="240" w:lineRule="auto"/>
        <w:jc w:val="right"/>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F403A0" w:rsidRPr="000F5F74" w:rsidTr="007E0186">
        <w:trPr>
          <w:cantSplit/>
          <w:trHeight w:val="194"/>
          <w:jc w:val="center"/>
        </w:trPr>
        <w:tc>
          <w:tcPr>
            <w:tcW w:w="4661" w:type="dxa"/>
            <w:vMerge w:val="restart"/>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bookmarkStart w:id="0" w:name="OLE_LINK1"/>
            <w:r w:rsidRPr="000F5F74">
              <w:rPr>
                <w:rFonts w:ascii="Times New Roman" w:eastAsia="Times New Roman" w:hAnsi="Times New Roman" w:cs="Times New Roman"/>
                <w:b/>
                <w:bCs/>
                <w:sz w:val="24"/>
                <w:szCs w:val="24"/>
              </w:rPr>
              <w:t>Vplyvy na rozpočet verejnej správy</w:t>
            </w:r>
          </w:p>
        </w:tc>
        <w:tc>
          <w:tcPr>
            <w:tcW w:w="5068" w:type="dxa"/>
            <w:gridSpan w:val="4"/>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Vplyv na rozpočet verejnej správy (v eurách)</w:t>
            </w:r>
          </w:p>
        </w:tc>
      </w:tr>
      <w:tr w:rsidR="00F403A0" w:rsidRPr="000F5F74" w:rsidTr="007E0186">
        <w:trPr>
          <w:cantSplit/>
          <w:trHeight w:val="70"/>
          <w:jc w:val="center"/>
        </w:trPr>
        <w:tc>
          <w:tcPr>
            <w:tcW w:w="4661" w:type="dxa"/>
            <w:vMerge/>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267" w:type="dxa"/>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2022</w:t>
            </w:r>
          </w:p>
        </w:tc>
        <w:tc>
          <w:tcPr>
            <w:tcW w:w="1267" w:type="dxa"/>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2023</w:t>
            </w:r>
          </w:p>
        </w:tc>
        <w:tc>
          <w:tcPr>
            <w:tcW w:w="1267" w:type="dxa"/>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2024</w:t>
            </w:r>
          </w:p>
        </w:tc>
        <w:tc>
          <w:tcPr>
            <w:tcW w:w="1267" w:type="dxa"/>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2025</w:t>
            </w:r>
          </w:p>
        </w:tc>
      </w:tr>
      <w:tr w:rsidR="00F403A0" w:rsidRPr="000F5F74" w:rsidTr="007E0186">
        <w:trPr>
          <w:trHeight w:val="70"/>
          <w:jc w:val="center"/>
        </w:trPr>
        <w:tc>
          <w:tcPr>
            <w:tcW w:w="4661"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bCs/>
                <w:sz w:val="24"/>
                <w:szCs w:val="24"/>
              </w:rPr>
              <w:t>Príjmy verejnej správy celkom</w:t>
            </w:r>
          </w:p>
        </w:tc>
        <w:tc>
          <w:tcPr>
            <w:tcW w:w="1267" w:type="dxa"/>
            <w:shd w:val="clear" w:color="auto" w:fill="C0C0C0"/>
            <w:vAlign w:val="center"/>
          </w:tcPr>
          <w:p w:rsidR="00F403A0" w:rsidRPr="000F5F74" w:rsidRDefault="00F403A0" w:rsidP="007E0186">
            <w:pPr>
              <w:spacing w:after="0" w:line="240" w:lineRule="auto"/>
              <w:jc w:val="right"/>
              <w:rPr>
                <w:rFonts w:eastAsia="Times New Roman"/>
                <w:b/>
                <w:bCs/>
                <w:sz w:val="20"/>
                <w:szCs w:val="20"/>
              </w:rPr>
            </w:pPr>
            <w:r w:rsidRPr="000F5F74">
              <w:rPr>
                <w:rFonts w:eastAsia="Times New Roman"/>
                <w:b/>
                <w:bCs/>
                <w:sz w:val="20"/>
                <w:szCs w:val="20"/>
              </w:rPr>
              <w:t>0</w:t>
            </w:r>
          </w:p>
        </w:tc>
        <w:tc>
          <w:tcPr>
            <w:tcW w:w="1267" w:type="dxa"/>
            <w:shd w:val="clear" w:color="auto" w:fill="C0C0C0"/>
            <w:vAlign w:val="center"/>
          </w:tcPr>
          <w:p w:rsidR="00F403A0" w:rsidRPr="000F5F74" w:rsidRDefault="00F403A0" w:rsidP="007E0186">
            <w:pPr>
              <w:spacing w:after="0" w:line="240" w:lineRule="auto"/>
              <w:jc w:val="right"/>
              <w:rPr>
                <w:rFonts w:eastAsia="Times New Roman"/>
                <w:b/>
                <w:bCs/>
                <w:sz w:val="20"/>
                <w:szCs w:val="20"/>
              </w:rPr>
            </w:pPr>
            <w:r w:rsidRPr="000F5F74">
              <w:rPr>
                <w:rFonts w:eastAsia="Times New Roman"/>
                <w:b/>
                <w:bCs/>
                <w:sz w:val="20"/>
                <w:szCs w:val="20"/>
              </w:rPr>
              <w:t>0</w:t>
            </w:r>
          </w:p>
        </w:tc>
        <w:tc>
          <w:tcPr>
            <w:tcW w:w="1267" w:type="dxa"/>
            <w:shd w:val="clear" w:color="auto" w:fill="C0C0C0"/>
            <w:vAlign w:val="center"/>
          </w:tcPr>
          <w:p w:rsidR="00F403A0" w:rsidRPr="000F5F74" w:rsidRDefault="00F403A0" w:rsidP="007E0186">
            <w:pPr>
              <w:spacing w:after="0" w:line="240" w:lineRule="auto"/>
              <w:jc w:val="right"/>
              <w:rPr>
                <w:rFonts w:eastAsia="Times New Roman"/>
                <w:b/>
                <w:bCs/>
                <w:sz w:val="20"/>
                <w:szCs w:val="20"/>
              </w:rPr>
            </w:pPr>
            <w:r w:rsidRPr="000F5F74">
              <w:rPr>
                <w:rFonts w:eastAsia="Times New Roman"/>
                <w:b/>
                <w:bCs/>
                <w:sz w:val="20"/>
                <w:szCs w:val="20"/>
              </w:rPr>
              <w:t>0</w:t>
            </w:r>
          </w:p>
        </w:tc>
        <w:tc>
          <w:tcPr>
            <w:tcW w:w="1267" w:type="dxa"/>
            <w:shd w:val="clear" w:color="auto" w:fill="C0C0C0"/>
            <w:vAlign w:val="center"/>
          </w:tcPr>
          <w:p w:rsidR="00F403A0" w:rsidRPr="000F5F74" w:rsidRDefault="00F403A0" w:rsidP="007E0186">
            <w:pPr>
              <w:spacing w:after="0" w:line="240" w:lineRule="auto"/>
              <w:jc w:val="right"/>
              <w:rPr>
                <w:rFonts w:eastAsia="Times New Roman"/>
                <w:b/>
                <w:bCs/>
                <w:sz w:val="20"/>
                <w:szCs w:val="20"/>
              </w:rPr>
            </w:pPr>
            <w:r w:rsidRPr="000F5F74">
              <w:rPr>
                <w:rFonts w:eastAsia="Times New Roman"/>
                <w:b/>
                <w:bCs/>
                <w:sz w:val="20"/>
                <w:szCs w:val="20"/>
              </w:rPr>
              <w:t>0</w:t>
            </w:r>
          </w:p>
        </w:tc>
      </w:tr>
      <w:tr w:rsidR="00F403A0" w:rsidRPr="000F5F74" w:rsidTr="007E0186">
        <w:trPr>
          <w:trHeight w:val="132"/>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v tom: MK SR</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xml:space="preserve">z toho:  </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ŠR</w:t>
            </w:r>
          </w:p>
        </w:tc>
        <w:tc>
          <w:tcPr>
            <w:tcW w:w="1267" w:type="dxa"/>
            <w:noWrap/>
            <w:vAlign w:val="center"/>
          </w:tcPr>
          <w:p w:rsidR="00F403A0" w:rsidRPr="000F5F74" w:rsidRDefault="00F403A0" w:rsidP="007E0186">
            <w:pPr>
              <w:spacing w:after="0" w:line="240" w:lineRule="auto"/>
              <w:jc w:val="right"/>
              <w:rPr>
                <w:rFonts w:eastAsia="Times New Roman"/>
                <w:bCs/>
                <w:iCs/>
                <w:sz w:val="20"/>
                <w:szCs w:val="20"/>
              </w:rPr>
            </w:pPr>
            <w:r w:rsidRPr="000F5F74">
              <w:rPr>
                <w:rFonts w:eastAsia="Times New Roman"/>
                <w:b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Cs/>
                <w:iCs/>
                <w:sz w:val="20"/>
                <w:szCs w:val="20"/>
              </w:rPr>
            </w:pPr>
            <w:r w:rsidRPr="000F5F74">
              <w:rPr>
                <w:rFonts w:eastAsia="Times New Roman"/>
                <w:b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Cs/>
                <w:iCs/>
                <w:sz w:val="20"/>
                <w:szCs w:val="20"/>
              </w:rPr>
            </w:pPr>
            <w:r w:rsidRPr="000F5F74">
              <w:rPr>
                <w:rFonts w:eastAsia="Times New Roman"/>
                <w:b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Cs/>
                <w:iCs/>
                <w:sz w:val="20"/>
                <w:szCs w:val="20"/>
              </w:rPr>
            </w:pPr>
            <w:r w:rsidRPr="000F5F74">
              <w:rPr>
                <w:rFonts w:eastAsia="Times New Roman"/>
                <w:bCs/>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ind w:left="259"/>
              <w:rPr>
                <w:rFonts w:ascii="Times New Roman" w:eastAsia="Times New Roman" w:hAnsi="Times New Roman" w:cs="Times New Roman"/>
                <w:b/>
                <w:bCs/>
                <w:i/>
                <w:iCs/>
                <w:sz w:val="24"/>
                <w:szCs w:val="24"/>
              </w:rPr>
            </w:pPr>
            <w:r w:rsidRPr="000F5F74">
              <w:rPr>
                <w:rFonts w:ascii="Times New Roman" w:eastAsia="Times New Roman" w:hAnsi="Times New Roman" w:cs="Times New Roman"/>
                <w:bCs/>
                <w:i/>
                <w:iCs/>
                <w:sz w:val="24"/>
                <w:szCs w:val="24"/>
              </w:rPr>
              <w:t>Rozpočtové prostriedky</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ind w:left="259"/>
              <w:rPr>
                <w:rFonts w:ascii="Times New Roman" w:eastAsia="Times New Roman" w:hAnsi="Times New Roman" w:cs="Times New Roman"/>
                <w:bCs/>
                <w:i/>
                <w:iCs/>
                <w:sz w:val="24"/>
                <w:szCs w:val="24"/>
              </w:rPr>
            </w:pPr>
            <w:r w:rsidRPr="000F5F74">
              <w:rPr>
                <w:rFonts w:ascii="Times New Roman" w:eastAsia="Times New Roman" w:hAnsi="Times New Roman" w:cs="Times New Roman"/>
                <w:bCs/>
                <w:i/>
                <w:iCs/>
                <w:sz w:val="24"/>
                <w:szCs w:val="24"/>
              </w:rPr>
              <w:t>EÚ zdroje</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sz w:val="20"/>
                <w:szCs w:val="20"/>
              </w:rPr>
            </w:pPr>
            <w:r w:rsidRPr="000F5F74">
              <w:rPr>
                <w:rFonts w:eastAsia="Times New Roman"/>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obce</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vyššie územné celky</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ostatné subjekty verejnej správy</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c>
          <w:tcPr>
            <w:tcW w:w="1267" w:type="dxa"/>
            <w:noWrap/>
            <w:vAlign w:val="center"/>
          </w:tcPr>
          <w:p w:rsidR="00F403A0" w:rsidRPr="000F5F74" w:rsidRDefault="00F403A0" w:rsidP="007E0186">
            <w:pPr>
              <w:spacing w:after="0" w:line="240" w:lineRule="auto"/>
              <w:jc w:val="right"/>
              <w:rPr>
                <w:rFonts w:eastAsia="Times New Roman"/>
                <w:b/>
                <w:bCs/>
                <w:iCs/>
                <w:sz w:val="20"/>
                <w:szCs w:val="20"/>
              </w:rPr>
            </w:pPr>
            <w:r w:rsidRPr="000F5F74">
              <w:rPr>
                <w:rFonts w:eastAsia="Times New Roman"/>
                <w:b/>
                <w:bCs/>
                <w:iCs/>
                <w:sz w:val="20"/>
                <w:szCs w:val="20"/>
              </w:rPr>
              <w:t>0</w:t>
            </w:r>
          </w:p>
        </w:tc>
      </w:tr>
      <w:tr w:rsidR="00F403A0" w:rsidRPr="000F5F74" w:rsidTr="007E0186">
        <w:trPr>
          <w:trHeight w:val="125"/>
          <w:jc w:val="center"/>
        </w:trPr>
        <w:tc>
          <w:tcPr>
            <w:tcW w:w="4661"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Výdavky verejnej správy celkom</w:t>
            </w:r>
          </w:p>
        </w:tc>
        <w:tc>
          <w:tcPr>
            <w:tcW w:w="1267"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b/>
                <w:sz w:val="20"/>
                <w:szCs w:val="20"/>
              </w:rPr>
            </w:pPr>
            <w:r w:rsidRPr="000F5F74">
              <w:rPr>
                <w:rFonts w:eastAsia="Times New Roman"/>
                <w:b/>
                <w:color w:val="000000"/>
                <w:sz w:val="20"/>
                <w:szCs w:val="20"/>
              </w:rPr>
              <w:t>197 627 €</w:t>
            </w:r>
          </w:p>
        </w:tc>
        <w:tc>
          <w:tcPr>
            <w:tcW w:w="1267"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b/>
                <w:sz w:val="20"/>
                <w:szCs w:val="20"/>
              </w:rPr>
            </w:pPr>
            <w:r w:rsidRPr="000F5F74">
              <w:rPr>
                <w:rFonts w:eastAsia="Times New Roman"/>
                <w:b/>
                <w:color w:val="000000"/>
                <w:sz w:val="20"/>
                <w:szCs w:val="20"/>
              </w:rPr>
              <w:t>197 627 €</w:t>
            </w:r>
          </w:p>
        </w:tc>
        <w:tc>
          <w:tcPr>
            <w:tcW w:w="1267"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b/>
                <w:sz w:val="20"/>
                <w:szCs w:val="20"/>
              </w:rPr>
            </w:pPr>
            <w:r w:rsidRPr="000F5F74">
              <w:rPr>
                <w:rFonts w:eastAsia="Times New Roman"/>
                <w:b/>
                <w:color w:val="000000"/>
                <w:sz w:val="20"/>
                <w:szCs w:val="20"/>
              </w:rPr>
              <w:t>197 627€</w:t>
            </w:r>
          </w:p>
        </w:tc>
        <w:tc>
          <w:tcPr>
            <w:tcW w:w="1267" w:type="dxa"/>
            <w:shd w:val="clear" w:color="auto" w:fill="C0C0C0"/>
            <w:noWrap/>
            <w:vAlign w:val="center"/>
          </w:tcPr>
          <w:p w:rsidR="00F403A0" w:rsidRPr="000F5F74" w:rsidRDefault="00F403A0" w:rsidP="007E0186">
            <w:pPr>
              <w:spacing w:after="0" w:line="240" w:lineRule="auto"/>
              <w:rPr>
                <w:rFonts w:eastAsia="Times New Roman"/>
                <w:b/>
                <w:bCs/>
                <w:color w:val="000000"/>
                <w:sz w:val="20"/>
                <w:szCs w:val="20"/>
              </w:rPr>
            </w:pPr>
            <w:r w:rsidRPr="000F5F74">
              <w:rPr>
                <w:rFonts w:eastAsia="Times New Roman"/>
                <w:b/>
                <w:color w:val="000000"/>
                <w:sz w:val="20"/>
                <w:szCs w:val="20"/>
              </w:rPr>
              <w:t>197 627€</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v tom: NBÚ</w:t>
            </w:r>
          </w:p>
        </w:tc>
        <w:tc>
          <w:tcPr>
            <w:tcW w:w="1267" w:type="dxa"/>
            <w:noWrap/>
            <w:vAlign w:val="center"/>
          </w:tcPr>
          <w:p w:rsidR="00F403A0" w:rsidRPr="000F5F74" w:rsidRDefault="00F403A0" w:rsidP="007E0186">
            <w:pPr>
              <w:spacing w:after="0" w:line="240" w:lineRule="auto"/>
              <w:rPr>
                <w:rFonts w:eastAsia="Times New Roman"/>
                <w:color w:val="000000"/>
                <w:sz w:val="20"/>
                <w:szCs w:val="20"/>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eastAsia="Times New Roman"/>
                <w:color w:val="000000"/>
                <w:sz w:val="20"/>
                <w:szCs w:val="20"/>
              </w:rPr>
              <w:t>197 627 €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xml:space="preserve">z toho: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iCs/>
                <w:sz w:val="18"/>
                <w:szCs w:val="18"/>
              </w:rPr>
            </w:pP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iCs/>
                <w:sz w:val="18"/>
                <w:szCs w:val="18"/>
              </w:rPr>
            </w:pP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iCs/>
                <w:sz w:val="18"/>
                <w:szCs w:val="18"/>
              </w:rPr>
            </w:pP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iCs/>
                <w:sz w:val="18"/>
                <w:szCs w:val="18"/>
              </w:rPr>
            </w:pP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ŠR</w:t>
            </w:r>
          </w:p>
        </w:tc>
        <w:tc>
          <w:tcPr>
            <w:tcW w:w="1267" w:type="dxa"/>
            <w:noWrap/>
            <w:vAlign w:val="center"/>
          </w:tcPr>
          <w:p w:rsidR="00F403A0" w:rsidRPr="000F5F74" w:rsidRDefault="00F403A0" w:rsidP="007E0186">
            <w:pPr>
              <w:spacing w:after="0" w:line="240" w:lineRule="auto"/>
              <w:rPr>
                <w:rFonts w:eastAsia="Times New Roman"/>
                <w:color w:val="000000"/>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ind w:left="259"/>
              <w:rPr>
                <w:rFonts w:ascii="Times New Roman" w:eastAsia="Times New Roman" w:hAnsi="Times New Roman" w:cs="Times New Roman"/>
                <w:b/>
                <w:bCs/>
                <w:i/>
                <w:iCs/>
                <w:sz w:val="24"/>
                <w:szCs w:val="24"/>
              </w:rPr>
            </w:pPr>
            <w:r w:rsidRPr="000F5F74">
              <w:rPr>
                <w:rFonts w:ascii="Times New Roman" w:eastAsia="Times New Roman" w:hAnsi="Times New Roman" w:cs="Times New Roman"/>
                <w:bCs/>
                <w:i/>
                <w:iCs/>
                <w:sz w:val="24"/>
                <w:szCs w:val="24"/>
              </w:rPr>
              <w:t>Rozpočtové prostriedky</w:t>
            </w:r>
          </w:p>
        </w:tc>
        <w:tc>
          <w:tcPr>
            <w:tcW w:w="1267" w:type="dxa"/>
            <w:noWrap/>
            <w:vAlign w:val="center"/>
          </w:tcPr>
          <w:p w:rsidR="00F403A0" w:rsidRPr="000F5F74" w:rsidRDefault="00F403A0" w:rsidP="007E0186">
            <w:pPr>
              <w:spacing w:after="0" w:line="240" w:lineRule="auto"/>
              <w:rPr>
                <w:rFonts w:eastAsia="Times New Roman"/>
                <w:color w:val="000000"/>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c>
          <w:tcPr>
            <w:tcW w:w="1267" w:type="dxa"/>
            <w:noWrap/>
            <w:vAlign w:val="center"/>
          </w:tcPr>
          <w:p w:rsidR="00F403A0" w:rsidRPr="000F5F74" w:rsidRDefault="00F403A0" w:rsidP="007E0186">
            <w:pPr>
              <w:spacing w:after="0" w:line="240" w:lineRule="auto"/>
              <w:rPr>
                <w:rFonts w:ascii="Times New Roman" w:eastAsia="Times New Roman" w:hAnsi="Times New Roman" w:cs="Times New Roman"/>
                <w:sz w:val="18"/>
                <w:szCs w:val="18"/>
              </w:rPr>
            </w:pPr>
            <w:r w:rsidRPr="000F5F74">
              <w:rPr>
                <w:rFonts w:eastAsia="Times New Roman"/>
                <w:color w:val="000000"/>
                <w:sz w:val="20"/>
                <w:szCs w:val="20"/>
              </w:rPr>
              <w:t>197 627 €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Cs/>
                <w:i/>
                <w:iCs/>
                <w:sz w:val="24"/>
                <w:szCs w:val="24"/>
              </w:rPr>
            </w:pPr>
            <w:r w:rsidRPr="000F5F74">
              <w:rPr>
                <w:rFonts w:ascii="Times New Roman" w:eastAsia="Times New Roman" w:hAnsi="Times New Roman" w:cs="Times New Roman"/>
                <w:bCs/>
                <w:i/>
                <w:iCs/>
                <w:sz w:val="24"/>
                <w:szCs w:val="24"/>
              </w:rPr>
              <w:t xml:space="preserve">    EÚ zdroje</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Cs/>
                <w:i/>
                <w:iCs/>
                <w:sz w:val="24"/>
                <w:szCs w:val="24"/>
              </w:rPr>
            </w:pPr>
            <w:r w:rsidRPr="000F5F74">
              <w:rPr>
                <w:rFonts w:ascii="Times New Roman" w:eastAsia="Times New Roman" w:hAnsi="Times New Roman" w:cs="Times New Roman"/>
                <w:bCs/>
                <w:i/>
                <w:iCs/>
                <w:sz w:val="24"/>
                <w:szCs w:val="24"/>
              </w:rPr>
              <w:t xml:space="preserve">    spolufinancovanie</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obce</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125"/>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vyššie územné celky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i/>
                <w:iCs/>
                <w:sz w:val="24"/>
                <w:szCs w:val="24"/>
              </w:rPr>
              <w:t>- vplyv na ostatné subjekty verejnej správy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shd w:val="clear" w:color="auto" w:fill="BFBFBF"/>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xml:space="preserve">Vplyv na počet zamestnancov </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ŠR</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Cs/>
                <w:sz w:val="24"/>
                <w:szCs w:val="24"/>
              </w:rPr>
            </w:pPr>
            <w:r w:rsidRPr="000F5F74">
              <w:rPr>
                <w:rFonts w:eastAsia="Times New Roman"/>
                <w:sz w:val="20"/>
                <w:szCs w:val="20"/>
              </w:rPr>
              <w:t>+ 4</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Cs/>
                <w:sz w:val="24"/>
                <w:szCs w:val="24"/>
              </w:rPr>
            </w:pPr>
            <w:r w:rsidRPr="000F5F74">
              <w:rPr>
                <w:rFonts w:eastAsia="Times New Roman"/>
                <w:sz w:val="20"/>
                <w:szCs w:val="20"/>
              </w:rPr>
              <w:t>+ 4</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Cs/>
                <w:sz w:val="24"/>
                <w:szCs w:val="24"/>
              </w:rPr>
            </w:pPr>
            <w:r w:rsidRPr="000F5F74">
              <w:rPr>
                <w:rFonts w:eastAsia="Times New Roman"/>
                <w:sz w:val="20"/>
                <w:szCs w:val="20"/>
              </w:rPr>
              <w:t>+ 4</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Cs/>
                <w:sz w:val="24"/>
                <w:szCs w:val="24"/>
              </w:rPr>
            </w:pPr>
            <w:r w:rsidRPr="000F5F74">
              <w:rPr>
                <w:rFonts w:eastAsia="Times New Roman"/>
                <w:sz w:val="20"/>
                <w:szCs w:val="20"/>
              </w:rPr>
              <w:t>+ 4</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obce</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vyššie územné celky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ostatné subjekty verejnej správy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shd w:val="clear" w:color="auto" w:fill="BFBFBF"/>
            <w:noWrap/>
            <w:vAlign w:val="center"/>
          </w:tcPr>
          <w:p w:rsidR="00F403A0" w:rsidRPr="000F5F74" w:rsidRDefault="00F403A0" w:rsidP="007E0186">
            <w:pPr>
              <w:spacing w:after="0" w:line="240" w:lineRule="auto"/>
              <w:rPr>
                <w:rFonts w:ascii="Times New Roman" w:eastAsia="Times New Roman" w:hAnsi="Times New Roman" w:cs="Times New Roman"/>
                <w:b/>
                <w:sz w:val="24"/>
                <w:szCs w:val="24"/>
              </w:rPr>
            </w:pPr>
            <w:r w:rsidRPr="000F5F74">
              <w:rPr>
                <w:rFonts w:ascii="Times New Roman" w:eastAsia="Times New Roman" w:hAnsi="Times New Roman" w:cs="Times New Roman"/>
                <w:b/>
                <w:sz w:val="24"/>
                <w:szCs w:val="24"/>
              </w:rPr>
              <w:t>Vplyv na mzdové výdavky</w:t>
            </w:r>
          </w:p>
        </w:tc>
        <w:tc>
          <w:tcPr>
            <w:tcW w:w="1267" w:type="dxa"/>
            <w:shd w:val="clear" w:color="auto" w:fill="BFBFBF"/>
            <w:noWrap/>
            <w:vAlign w:val="center"/>
          </w:tcPr>
          <w:p w:rsidR="00F403A0" w:rsidRPr="000F5F74" w:rsidRDefault="00F403A0" w:rsidP="007E0186">
            <w:pPr>
              <w:spacing w:after="0" w:line="240" w:lineRule="auto"/>
              <w:rPr>
                <w:rFonts w:ascii="Times New Roman" w:eastAsia="Times New Roman" w:hAnsi="Times New Roman" w:cs="Times New Roman"/>
                <w:b/>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sz w:val="24"/>
                <w:szCs w:val="24"/>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ŠR</w:t>
            </w:r>
          </w:p>
        </w:tc>
        <w:tc>
          <w:tcPr>
            <w:tcW w:w="1267" w:type="dxa"/>
            <w:noWrap/>
            <w:vAlign w:val="center"/>
          </w:tcPr>
          <w:p w:rsidR="00F403A0" w:rsidRPr="000F5F74" w:rsidRDefault="00F403A0" w:rsidP="007E0186">
            <w:pPr>
              <w:spacing w:after="0" w:line="240" w:lineRule="auto"/>
              <w:jc w:val="right"/>
              <w:rPr>
                <w:rFonts w:eastAsia="Times New Roman"/>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noWrap/>
            <w:vAlign w:val="center"/>
          </w:tcPr>
          <w:p w:rsidR="00F403A0" w:rsidRPr="000F5F74" w:rsidRDefault="00F403A0" w:rsidP="007E0186">
            <w:pPr>
              <w:spacing w:after="0" w:line="240" w:lineRule="auto"/>
              <w:jc w:val="right"/>
              <w:rPr>
                <w:rFonts w:eastAsia="Times New Roman"/>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noWrap/>
            <w:vAlign w:val="center"/>
          </w:tcPr>
          <w:p w:rsidR="00F403A0" w:rsidRPr="000F5F74" w:rsidRDefault="00F403A0" w:rsidP="007E0186">
            <w:pPr>
              <w:spacing w:after="0" w:line="240" w:lineRule="auto"/>
              <w:jc w:val="right"/>
              <w:rPr>
                <w:rFonts w:eastAsia="Times New Roman"/>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noWrap/>
            <w:vAlign w:val="center"/>
          </w:tcPr>
          <w:p w:rsidR="00F403A0" w:rsidRPr="000F5F74" w:rsidRDefault="00F403A0" w:rsidP="007E0186">
            <w:pPr>
              <w:spacing w:after="0" w:line="240" w:lineRule="auto"/>
              <w:jc w:val="right"/>
              <w:rPr>
                <w:rFonts w:eastAsia="Times New Roman"/>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obce</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i/>
                <w:iCs/>
                <w:sz w:val="24"/>
                <w:szCs w:val="24"/>
              </w:rPr>
            </w:pPr>
            <w:r w:rsidRPr="000F5F74">
              <w:rPr>
                <w:rFonts w:ascii="Times New Roman" w:eastAsia="Times New Roman" w:hAnsi="Times New Roman" w:cs="Times New Roman"/>
                <w:b/>
                <w:bCs/>
                <w:i/>
                <w:iCs/>
                <w:sz w:val="24"/>
                <w:szCs w:val="24"/>
              </w:rPr>
              <w:t>- vplyv na vyššie územné celky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i/>
                <w:iCs/>
                <w:sz w:val="24"/>
                <w:szCs w:val="24"/>
              </w:rPr>
              <w:t>- vplyv na ostatné subjekty verejnej správy</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b/>
                <w:bCs/>
                <w:iCs/>
                <w:sz w:val="24"/>
                <w:szCs w:val="24"/>
              </w:rPr>
            </w:pPr>
            <w:r w:rsidRPr="000F5F74">
              <w:rPr>
                <w:rFonts w:eastAsia="Times New Roman"/>
                <w:sz w:val="20"/>
                <w:szCs w:val="20"/>
              </w:rPr>
              <w:t>0</w:t>
            </w:r>
          </w:p>
        </w:tc>
      </w:tr>
      <w:tr w:rsidR="00F403A0" w:rsidRPr="000F5F74" w:rsidTr="007E0186">
        <w:trPr>
          <w:trHeight w:val="70"/>
          <w:jc w:val="center"/>
        </w:trPr>
        <w:tc>
          <w:tcPr>
            <w:tcW w:w="4661" w:type="dxa"/>
            <w:shd w:val="clear" w:color="auto" w:fill="C0C0C0"/>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Financovanie zabezpečené v rozpočte</w:t>
            </w:r>
          </w:p>
        </w:tc>
        <w:tc>
          <w:tcPr>
            <w:tcW w:w="1267" w:type="dxa"/>
            <w:shd w:val="clear" w:color="auto" w:fill="C0C0C0"/>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b/>
                <w:color w:val="000000"/>
                <w:sz w:val="20"/>
                <w:szCs w:val="20"/>
              </w:rPr>
              <w:t>0 €</w:t>
            </w:r>
          </w:p>
        </w:tc>
        <w:tc>
          <w:tcPr>
            <w:tcW w:w="1267" w:type="dxa"/>
            <w:shd w:val="clear" w:color="auto" w:fill="C0C0C0"/>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b/>
                <w:color w:val="000000"/>
                <w:sz w:val="20"/>
                <w:szCs w:val="20"/>
              </w:rPr>
              <w:t>0 €</w:t>
            </w:r>
          </w:p>
        </w:tc>
        <w:tc>
          <w:tcPr>
            <w:tcW w:w="1267" w:type="dxa"/>
            <w:shd w:val="clear" w:color="auto" w:fill="C0C0C0"/>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b/>
                <w:color w:val="000000"/>
                <w:sz w:val="20"/>
                <w:szCs w:val="20"/>
              </w:rPr>
              <w:t>0 €</w:t>
            </w:r>
          </w:p>
        </w:tc>
        <w:tc>
          <w:tcPr>
            <w:tcW w:w="1267" w:type="dxa"/>
            <w:shd w:val="clear" w:color="auto" w:fill="C0C0C0"/>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b/>
                <w:color w:val="000000"/>
                <w:sz w:val="20"/>
                <w:szCs w:val="20"/>
              </w:rPr>
              <w:t>0 €</w:t>
            </w:r>
          </w:p>
        </w:tc>
      </w:tr>
      <w:tr w:rsidR="00F403A0" w:rsidRPr="000F5F74" w:rsidTr="007E0186">
        <w:trPr>
          <w:trHeight w:val="70"/>
          <w:jc w:val="center"/>
        </w:trPr>
        <w:tc>
          <w:tcPr>
            <w:tcW w:w="4661" w:type="dxa"/>
            <w:noWrap/>
            <w:vAlign w:val="center"/>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v tom: NBÚ</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color w:val="000000"/>
                <w:sz w:val="20"/>
                <w:szCs w:val="20"/>
              </w:rPr>
              <w:t>0 €</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color w:val="000000"/>
                <w:sz w:val="20"/>
                <w:szCs w:val="20"/>
              </w:rPr>
              <w:t>0 €</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color w:val="000000"/>
                <w:sz w:val="20"/>
                <w:szCs w:val="20"/>
              </w:rPr>
              <w:t>0 €</w:t>
            </w:r>
          </w:p>
        </w:tc>
        <w:tc>
          <w:tcPr>
            <w:tcW w:w="1267" w:type="dxa"/>
            <w:noWrap/>
            <w:vAlign w:val="center"/>
          </w:tcPr>
          <w:p w:rsidR="00F403A0" w:rsidRPr="000F5F74" w:rsidRDefault="00F403A0" w:rsidP="007E0186">
            <w:pPr>
              <w:spacing w:after="0" w:line="240" w:lineRule="auto"/>
              <w:jc w:val="right"/>
              <w:rPr>
                <w:rFonts w:ascii="Times New Roman" w:eastAsia="Times New Roman" w:hAnsi="Times New Roman" w:cs="Times New Roman"/>
                <w:sz w:val="24"/>
                <w:szCs w:val="24"/>
              </w:rPr>
            </w:pPr>
            <w:r w:rsidRPr="000F5F74">
              <w:rPr>
                <w:rFonts w:eastAsia="Times New Roman"/>
                <w:color w:val="000000"/>
                <w:sz w:val="20"/>
                <w:szCs w:val="20"/>
              </w:rPr>
              <w:t>0 €</w:t>
            </w:r>
          </w:p>
        </w:tc>
      </w:tr>
      <w:tr w:rsidR="00F403A0" w:rsidRPr="000F5F74" w:rsidTr="007E0186">
        <w:trPr>
          <w:trHeight w:val="70"/>
          <w:jc w:val="center"/>
        </w:trPr>
        <w:tc>
          <w:tcPr>
            <w:tcW w:w="4661" w:type="dxa"/>
            <w:shd w:val="clear" w:color="auto" w:fill="BFBFBF"/>
            <w:noWrap/>
            <w:vAlign w:val="center"/>
          </w:tcPr>
          <w:p w:rsidR="00F403A0" w:rsidRPr="000F5F74" w:rsidRDefault="00F403A0" w:rsidP="007E0186">
            <w:pPr>
              <w:spacing w:after="0" w:line="240" w:lineRule="auto"/>
              <w:rPr>
                <w:rFonts w:ascii="Times New Roman" w:eastAsia="Times New Roman" w:hAnsi="Times New Roman" w:cs="Times New Roman"/>
                <w:b/>
                <w:sz w:val="24"/>
                <w:szCs w:val="24"/>
              </w:rPr>
            </w:pPr>
            <w:r w:rsidRPr="000F5F74">
              <w:rPr>
                <w:rFonts w:ascii="Times New Roman" w:eastAsia="Times New Roman" w:hAnsi="Times New Roman" w:cs="Times New Roman"/>
                <w:b/>
                <w:sz w:val="24"/>
                <w:szCs w:val="24"/>
              </w:rPr>
              <w:t>Iné ako rozpočtové zdroje</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c>
          <w:tcPr>
            <w:tcW w:w="1267" w:type="dxa"/>
            <w:shd w:val="clear" w:color="auto" w:fill="BFBFBF"/>
            <w:noWrap/>
            <w:vAlign w:val="center"/>
          </w:tcPr>
          <w:p w:rsidR="00F403A0" w:rsidRPr="000F5F74" w:rsidRDefault="00F403A0" w:rsidP="007E0186">
            <w:pPr>
              <w:spacing w:after="0" w:line="240" w:lineRule="auto"/>
              <w:jc w:val="right"/>
              <w:rPr>
                <w:rFonts w:ascii="Times New Roman" w:eastAsia="Times New Roman" w:hAnsi="Times New Roman" w:cs="Times New Roman"/>
                <w:b/>
                <w:bCs/>
                <w:sz w:val="24"/>
                <w:szCs w:val="24"/>
              </w:rPr>
            </w:pPr>
            <w:r w:rsidRPr="000F5F74">
              <w:rPr>
                <w:rFonts w:eastAsia="Times New Roman"/>
                <w:sz w:val="20"/>
                <w:szCs w:val="20"/>
              </w:rPr>
              <w:t>0</w:t>
            </w:r>
          </w:p>
        </w:tc>
      </w:tr>
      <w:tr w:rsidR="00F403A0" w:rsidRPr="000F5F74" w:rsidTr="007E0186">
        <w:trPr>
          <w:trHeight w:val="70"/>
          <w:jc w:val="center"/>
        </w:trPr>
        <w:tc>
          <w:tcPr>
            <w:tcW w:w="4661" w:type="dxa"/>
            <w:shd w:val="clear" w:color="auto" w:fill="A6A6A6"/>
            <w:noWrap/>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xml:space="preserve">Rozpočtovo nekrytý vplyv </w:t>
            </w:r>
          </w:p>
        </w:tc>
        <w:tc>
          <w:tcPr>
            <w:tcW w:w="1267" w:type="dxa"/>
            <w:shd w:val="clear" w:color="auto" w:fill="A6A6A6"/>
            <w:noWrap/>
            <w:vAlign w:val="center"/>
          </w:tcPr>
          <w:p w:rsidR="00F403A0" w:rsidRPr="000F5F74" w:rsidRDefault="00F403A0" w:rsidP="007E0186">
            <w:pPr>
              <w:spacing w:after="0" w:line="240" w:lineRule="auto"/>
              <w:jc w:val="right"/>
              <w:rPr>
                <w:rFonts w:eastAsia="Times New Roman"/>
                <w:b/>
                <w:bCs/>
                <w:color w:val="000000"/>
                <w:sz w:val="18"/>
                <w:szCs w:val="18"/>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A6A6A6"/>
            <w:noWrap/>
            <w:vAlign w:val="center"/>
          </w:tcPr>
          <w:p w:rsidR="00F403A0" w:rsidRPr="000F5F74" w:rsidRDefault="00F403A0" w:rsidP="007E0186">
            <w:pPr>
              <w:spacing w:after="0" w:line="240" w:lineRule="auto"/>
              <w:jc w:val="right"/>
              <w:rPr>
                <w:rFonts w:eastAsia="Times New Roman"/>
                <w:b/>
                <w:bCs/>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A6A6A6"/>
            <w:noWrap/>
            <w:vAlign w:val="center"/>
          </w:tcPr>
          <w:p w:rsidR="00F403A0" w:rsidRPr="000F5F74" w:rsidRDefault="00F403A0" w:rsidP="007E0186">
            <w:pPr>
              <w:spacing w:after="0" w:line="240" w:lineRule="auto"/>
              <w:jc w:val="right"/>
              <w:rPr>
                <w:rFonts w:eastAsia="Times New Roman"/>
                <w:b/>
                <w:bCs/>
                <w:color w:val="000000"/>
                <w:sz w:val="20"/>
                <w:szCs w:val="20"/>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c>
          <w:tcPr>
            <w:tcW w:w="1267" w:type="dxa"/>
            <w:shd w:val="clear" w:color="auto" w:fill="A6A6A6"/>
            <w:noWrap/>
            <w:vAlign w:val="center"/>
          </w:tcPr>
          <w:p w:rsidR="00F403A0" w:rsidRPr="000F5F74" w:rsidRDefault="00F403A0" w:rsidP="007E0186">
            <w:pPr>
              <w:spacing w:after="0" w:line="240" w:lineRule="auto"/>
              <w:jc w:val="right"/>
              <w:rPr>
                <w:rFonts w:eastAsia="Times New Roman"/>
                <w:b/>
                <w:bCs/>
                <w:color w:val="000000"/>
                <w:sz w:val="18"/>
                <w:szCs w:val="18"/>
              </w:rPr>
            </w:pPr>
            <w:r w:rsidRPr="000F5F74">
              <w:rPr>
                <w:rFonts w:eastAsia="Times New Roman"/>
                <w:bCs/>
                <w:color w:val="000000"/>
                <w:sz w:val="20"/>
                <w:szCs w:val="20"/>
              </w:rPr>
              <w:t>197 627,00</w:t>
            </w:r>
            <w:r w:rsidRPr="000F5F74">
              <w:rPr>
                <w:rFonts w:eastAsia="Times New Roman"/>
                <w:b/>
                <w:color w:val="000000"/>
                <w:sz w:val="20"/>
                <w:szCs w:val="20"/>
              </w:rPr>
              <w:t xml:space="preserve"> €</w:t>
            </w:r>
          </w:p>
        </w:tc>
      </w:tr>
      <w:bookmarkEnd w:id="0"/>
    </w:tbl>
    <w:p w:rsidR="00F403A0" w:rsidRPr="000F5F74" w:rsidRDefault="00F403A0" w:rsidP="00F403A0">
      <w:pPr>
        <w:spacing w:after="0" w:line="240" w:lineRule="auto"/>
        <w:rPr>
          <w:rFonts w:ascii="Times New Roman" w:eastAsia="Times New Roman" w:hAnsi="Times New Roman" w:cs="Times New Roman"/>
          <w:b/>
          <w:bCs/>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br w:type="page"/>
      </w:r>
    </w:p>
    <w:p w:rsidR="00F403A0" w:rsidRPr="000F5F74" w:rsidRDefault="00F403A0" w:rsidP="00F403A0">
      <w:pPr>
        <w:spacing w:after="0" w:line="240" w:lineRule="auto"/>
        <w:jc w:val="both"/>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lastRenderedPageBreak/>
        <w:t>2.1.1. Financovanie návrhu - Návrh na riešenie úbytku príjmov alebo zvýšených výdavkov podľa § 33 ods. 1 zákona č. 523/2004 Z. z. o rozpočtových pravidlách verejnej správy:</w:t>
      </w:r>
    </w:p>
    <w:p w:rsidR="00F403A0" w:rsidRPr="000F5F74" w:rsidRDefault="00F403A0" w:rsidP="00F403A0">
      <w:pPr>
        <w:spacing w:after="0" w:line="240" w:lineRule="auto"/>
        <w:jc w:val="both"/>
        <w:rPr>
          <w:rFonts w:ascii="Times New Roman" w:eastAsia="Times New Roman" w:hAnsi="Times New Roman" w:cs="Times New Roman"/>
          <w:b/>
          <w:bCs/>
          <w:sz w:val="12"/>
          <w:szCs w:val="24"/>
        </w:rPr>
      </w:pPr>
    </w:p>
    <w:p w:rsidR="00F403A0" w:rsidRPr="000F5F74" w:rsidRDefault="00F403A0" w:rsidP="00F403A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Financovanie bude zabezpečené navýšením schválených limitov rozpočtu kapitoly NBÚ.</w:t>
      </w:r>
    </w:p>
    <w:p w:rsidR="00F403A0" w:rsidRPr="000F5F74" w:rsidRDefault="00F403A0" w:rsidP="00F403A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rPr>
      </w:pPr>
    </w:p>
    <w:p w:rsidR="00F403A0" w:rsidRPr="000F5F74" w:rsidRDefault="00F403A0" w:rsidP="00F403A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rPr>
      </w:pPr>
    </w:p>
    <w:p w:rsidR="00F403A0" w:rsidRPr="000F5F74" w:rsidRDefault="00F403A0" w:rsidP="00F403A0">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2.2. Popis a charakteristika návrhu</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jc w:val="both"/>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2.2.1. Popis návrhu:</w:t>
      </w:r>
    </w:p>
    <w:p w:rsidR="00F403A0" w:rsidRPr="000F5F74" w:rsidRDefault="00F403A0" w:rsidP="00F403A0">
      <w:pPr>
        <w:spacing w:after="0" w:line="240" w:lineRule="auto"/>
        <w:jc w:val="both"/>
        <w:rPr>
          <w:rFonts w:ascii="Times New Roman" w:eastAsia="Times New Roman" w:hAnsi="Times New Roman" w:cs="Times New Roman"/>
          <w:b/>
          <w:bCs/>
          <w:sz w:val="24"/>
          <w:szCs w:val="24"/>
        </w:rPr>
      </w:pPr>
    </w:p>
    <w:p w:rsidR="00F403A0" w:rsidRPr="000F5F74" w:rsidRDefault="00F403A0" w:rsidP="00F403A0">
      <w:pPr>
        <w:spacing w:after="0" w:line="240" w:lineRule="auto"/>
        <w:ind w:firstLine="708"/>
        <w:jc w:val="both"/>
        <w:rPr>
          <w:rFonts w:ascii="Times New Roman" w:eastAsia="Times New Roman" w:hAnsi="Times New Roman" w:cs="Times New Roman"/>
          <w:i/>
          <w:iCs/>
          <w:sz w:val="24"/>
          <w:szCs w:val="24"/>
        </w:rPr>
      </w:pPr>
      <w:r w:rsidRPr="000F5F74">
        <w:rPr>
          <w:rFonts w:ascii="Times New Roman" w:eastAsia="Times New Roman" w:hAnsi="Times New Roman" w:cs="Times New Roman"/>
          <w:i/>
          <w:iCs/>
          <w:sz w:val="24"/>
          <w:szCs w:val="24"/>
        </w:rPr>
        <w:t>Akú problematiku návrh rieši? Kto bude návrh implementovať? Kde sa budú služby poskytovať?</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ind w:firstLine="708"/>
        <w:jc w:val="both"/>
        <w:rPr>
          <w:rFonts w:ascii="Times New Roman" w:hAnsi="Times New Roman" w:cs="Times New Roman"/>
          <w:color w:val="000000"/>
          <w:sz w:val="24"/>
          <w:szCs w:val="24"/>
        </w:rPr>
      </w:pPr>
      <w:r w:rsidRPr="000F5F74">
        <w:rPr>
          <w:rFonts w:ascii="Times New Roman" w:eastAsia="Times New Roman" w:hAnsi="Times New Roman" w:cs="Times New Roman"/>
          <w:sz w:val="24"/>
          <w:szCs w:val="24"/>
        </w:rPr>
        <w:t xml:space="preserve">Návrh zákona </w:t>
      </w:r>
      <w:r w:rsidRPr="000F5F74">
        <w:rPr>
          <w:rFonts w:ascii="Times New Roman" w:hAnsi="Times New Roman" w:cs="Times New Roman"/>
          <w:color w:val="000000"/>
          <w:sz w:val="24"/>
          <w:szCs w:val="24"/>
        </w:rPr>
        <w:t xml:space="preserve">dochádza k úprave právomocí Národného bezpečnostného úradu a zavádza sa legislatívne vymedzenie inštitútu „blokovania“, ktorý slúži na efektívne zamedzenie šírenia škodlivého obsahu na internete v súlade s vznesenou spoločenskou požiadavkou v záujme zabezpečenia dôveryhodnosti služieb a aktivít poskytovaných prostredníctvom internetu a ochrany práv osôb zúčastňujúcich sa na týchto aktivitách, ako aj ochrany konečného užívateľa týchto služieb alebo škodlivého obsahu na internete, vzhľadom na to, že škodlivých aktivít na internete z roka na rok pribúda šírením škodlivého obsahu ako aj šírením dezinformácii a zavádzajúcich kampaní. </w:t>
      </w:r>
    </w:p>
    <w:p w:rsidR="00F403A0" w:rsidRPr="000F5F74" w:rsidRDefault="00F403A0" w:rsidP="00F403A0">
      <w:pPr>
        <w:spacing w:after="0" w:line="240" w:lineRule="auto"/>
        <w:jc w:val="both"/>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2.2.2. Charakteristika návrhu:</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sz w:val="24"/>
          <w:szCs w:val="24"/>
          <w:bdr w:val="single" w:sz="4" w:space="0" w:color="auto"/>
        </w:rPr>
        <w:t xml:space="preserve">     </w:t>
      </w:r>
      <w:r w:rsidRPr="000F5F74">
        <w:rPr>
          <w:rFonts w:ascii="Times New Roman" w:eastAsia="Times New Roman" w:hAnsi="Times New Roman" w:cs="Times New Roman"/>
          <w:b/>
          <w:sz w:val="24"/>
          <w:szCs w:val="24"/>
        </w:rPr>
        <w:t xml:space="preserve">  </w:t>
      </w:r>
      <w:r w:rsidRPr="000F5F74">
        <w:rPr>
          <w:rFonts w:ascii="Times New Roman" w:eastAsia="Times New Roman" w:hAnsi="Times New Roman" w:cs="Times New Roman"/>
          <w:sz w:val="24"/>
          <w:szCs w:val="24"/>
        </w:rPr>
        <w:t>zmena sadzby</w:t>
      </w: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bdr w:val="single" w:sz="4" w:space="0" w:color="auto"/>
        </w:rPr>
        <w:t xml:space="preserve">     </w:t>
      </w:r>
      <w:r w:rsidRPr="000F5F74">
        <w:rPr>
          <w:rFonts w:ascii="Times New Roman" w:eastAsia="Times New Roman" w:hAnsi="Times New Roman" w:cs="Times New Roman"/>
          <w:sz w:val="24"/>
          <w:szCs w:val="24"/>
        </w:rPr>
        <w:t xml:space="preserve">  zmena v nároku</w:t>
      </w: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bdr w:val="single" w:sz="4" w:space="0" w:color="auto"/>
        </w:rPr>
        <w:t xml:space="preserve"> x  </w:t>
      </w:r>
      <w:r w:rsidRPr="000F5F74">
        <w:rPr>
          <w:rFonts w:ascii="Times New Roman" w:eastAsia="Times New Roman" w:hAnsi="Times New Roman" w:cs="Times New Roman"/>
          <w:sz w:val="24"/>
          <w:szCs w:val="24"/>
        </w:rPr>
        <w:t xml:space="preserve">  nová služba alebo nariadenie (alebo ich zrušenie)</w:t>
      </w: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bdr w:val="single" w:sz="4" w:space="0" w:color="auto"/>
        </w:rPr>
        <w:t xml:space="preserve">     </w:t>
      </w:r>
      <w:r w:rsidRPr="000F5F74">
        <w:rPr>
          <w:rFonts w:ascii="Times New Roman" w:eastAsia="Times New Roman" w:hAnsi="Times New Roman" w:cs="Times New Roman"/>
          <w:sz w:val="24"/>
          <w:szCs w:val="24"/>
        </w:rPr>
        <w:t xml:space="preserve">  kombinovaný návrh</w:t>
      </w: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bdr w:val="single" w:sz="4" w:space="0" w:color="auto"/>
        </w:rPr>
        <w:t xml:space="preserve">     </w:t>
      </w:r>
      <w:r w:rsidRPr="000F5F74">
        <w:rPr>
          <w:rFonts w:ascii="Times New Roman" w:eastAsia="Times New Roman" w:hAnsi="Times New Roman" w:cs="Times New Roman"/>
          <w:sz w:val="24"/>
          <w:szCs w:val="24"/>
        </w:rPr>
        <w:t xml:space="preserve">  iné </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bCs/>
          <w:sz w:val="24"/>
          <w:szCs w:val="24"/>
        </w:rPr>
        <w:t>2.2.3. Predpoklady vývoja objemu aktivít:</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ind w:firstLine="708"/>
        <w:jc w:val="both"/>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Jasne popíšte, v prípade potreby použite nižšie uvedenú tabuľku. Uveďte aj odhady základov daní a/alebo poplatkov, ak sa ich táto zmena týka.</w:t>
      </w:r>
    </w:p>
    <w:p w:rsidR="00F403A0" w:rsidRPr="000F5F74" w:rsidRDefault="00F403A0" w:rsidP="00F403A0">
      <w:pPr>
        <w:spacing w:after="0" w:line="240" w:lineRule="auto"/>
        <w:ind w:firstLine="708"/>
        <w:jc w:val="both"/>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r>
      <w:r w:rsidRPr="000F5F74">
        <w:rPr>
          <w:rFonts w:ascii="Times New Roman" w:eastAsia="Times New Roman" w:hAnsi="Times New Roman" w:cs="Times New Roman"/>
          <w:sz w:val="24"/>
          <w:szCs w:val="24"/>
        </w:rPr>
        <w:tab/>
        <w:t>Tabuľka č. 2</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F403A0" w:rsidRPr="000F5F74" w:rsidTr="007E0186">
        <w:trPr>
          <w:cantSplit/>
          <w:trHeight w:val="70"/>
        </w:trPr>
        <w:tc>
          <w:tcPr>
            <w:tcW w:w="4530" w:type="dxa"/>
            <w:vMerge w:val="restart"/>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Objem aktivít</w:t>
            </w:r>
          </w:p>
        </w:tc>
        <w:tc>
          <w:tcPr>
            <w:tcW w:w="1134" w:type="dxa"/>
            <w:gridSpan w:val="4"/>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Odhadované objemy</w:t>
            </w:r>
          </w:p>
        </w:tc>
      </w:tr>
      <w:tr w:rsidR="00F403A0" w:rsidRPr="000F5F74" w:rsidTr="007E0186">
        <w:trPr>
          <w:cantSplit/>
          <w:trHeight w:val="70"/>
        </w:trPr>
        <w:tc>
          <w:tcPr>
            <w:tcW w:w="4530" w:type="dxa"/>
            <w:vMerge/>
            <w:shd w:val="clear" w:color="auto" w:fill="BFBFBF"/>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p>
        </w:tc>
        <w:tc>
          <w:tcPr>
            <w:tcW w:w="1134" w:type="dxa"/>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r</w:t>
            </w:r>
          </w:p>
        </w:tc>
        <w:tc>
          <w:tcPr>
            <w:tcW w:w="1134" w:type="dxa"/>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r + 1</w:t>
            </w:r>
          </w:p>
        </w:tc>
        <w:tc>
          <w:tcPr>
            <w:tcW w:w="1134" w:type="dxa"/>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r + 2</w:t>
            </w:r>
          </w:p>
        </w:tc>
        <w:tc>
          <w:tcPr>
            <w:tcW w:w="1134" w:type="dxa"/>
            <w:shd w:val="clear" w:color="auto" w:fill="BFBFBF"/>
            <w:vAlign w:val="center"/>
          </w:tcPr>
          <w:p w:rsidR="00F403A0" w:rsidRPr="000F5F74" w:rsidRDefault="00F403A0" w:rsidP="007E0186">
            <w:pPr>
              <w:autoSpaceDE w:val="0"/>
              <w:autoSpaceDN w:val="0"/>
              <w:adjustRightInd w:val="0"/>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r + 3</w:t>
            </w:r>
          </w:p>
        </w:tc>
      </w:tr>
      <w:tr w:rsidR="00F403A0" w:rsidRPr="000F5F74" w:rsidTr="007E0186">
        <w:trPr>
          <w:trHeight w:val="70"/>
        </w:trPr>
        <w:tc>
          <w:tcPr>
            <w:tcW w:w="4530" w:type="dxa"/>
          </w:tcPr>
          <w:p w:rsidR="00F403A0" w:rsidRPr="000F5F74" w:rsidRDefault="00F403A0" w:rsidP="007E0186">
            <w:pPr>
              <w:autoSpaceDE w:val="0"/>
              <w:autoSpaceDN w:val="0"/>
              <w:adjustRightInd w:val="0"/>
              <w:spacing w:after="0" w:line="240" w:lineRule="auto"/>
              <w:rPr>
                <w:rFonts w:ascii="Times New Roman" w:eastAsia="Times New Roman" w:hAnsi="Times New Roman" w:cs="Times New Roman"/>
                <w:color w:val="000000"/>
                <w:sz w:val="24"/>
                <w:szCs w:val="24"/>
              </w:rPr>
            </w:pPr>
            <w:r w:rsidRPr="000F5F74">
              <w:rPr>
                <w:rFonts w:ascii="Times New Roman" w:eastAsia="Times New Roman" w:hAnsi="Times New Roman" w:cs="Times New Roman"/>
                <w:color w:val="000000"/>
                <w:sz w:val="24"/>
                <w:szCs w:val="24"/>
              </w:rPr>
              <w:t>Indikátor ABC</w:t>
            </w: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r>
      <w:tr w:rsidR="00F403A0" w:rsidRPr="000F5F74" w:rsidTr="007E0186">
        <w:trPr>
          <w:trHeight w:val="70"/>
        </w:trPr>
        <w:tc>
          <w:tcPr>
            <w:tcW w:w="4530" w:type="dxa"/>
          </w:tcPr>
          <w:p w:rsidR="00F403A0" w:rsidRPr="000F5F74" w:rsidRDefault="00F403A0" w:rsidP="007E0186">
            <w:pPr>
              <w:autoSpaceDE w:val="0"/>
              <w:autoSpaceDN w:val="0"/>
              <w:adjustRightInd w:val="0"/>
              <w:spacing w:after="0" w:line="240" w:lineRule="auto"/>
              <w:rPr>
                <w:rFonts w:ascii="Times New Roman" w:eastAsia="Times New Roman" w:hAnsi="Times New Roman" w:cs="Times New Roman"/>
                <w:color w:val="000000"/>
                <w:sz w:val="24"/>
                <w:szCs w:val="24"/>
              </w:rPr>
            </w:pPr>
            <w:r w:rsidRPr="000F5F74">
              <w:rPr>
                <w:rFonts w:ascii="Times New Roman" w:eastAsia="Times New Roman" w:hAnsi="Times New Roman" w:cs="Times New Roman"/>
                <w:color w:val="000000"/>
                <w:sz w:val="24"/>
                <w:szCs w:val="24"/>
              </w:rPr>
              <w:t>Indikátor KLM</w:t>
            </w: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r>
      <w:tr w:rsidR="00F403A0" w:rsidRPr="000F5F74" w:rsidTr="007E0186">
        <w:trPr>
          <w:trHeight w:val="70"/>
        </w:trPr>
        <w:tc>
          <w:tcPr>
            <w:tcW w:w="4530" w:type="dxa"/>
          </w:tcPr>
          <w:p w:rsidR="00F403A0" w:rsidRPr="000F5F74" w:rsidRDefault="00F403A0" w:rsidP="007E0186">
            <w:pPr>
              <w:autoSpaceDE w:val="0"/>
              <w:autoSpaceDN w:val="0"/>
              <w:adjustRightInd w:val="0"/>
              <w:spacing w:after="0" w:line="240" w:lineRule="auto"/>
              <w:rPr>
                <w:rFonts w:ascii="Times New Roman" w:eastAsia="Times New Roman" w:hAnsi="Times New Roman" w:cs="Times New Roman"/>
                <w:color w:val="000000"/>
                <w:sz w:val="24"/>
                <w:szCs w:val="24"/>
              </w:rPr>
            </w:pPr>
            <w:r w:rsidRPr="000F5F74">
              <w:rPr>
                <w:rFonts w:ascii="Times New Roman" w:eastAsia="Times New Roman" w:hAnsi="Times New Roman" w:cs="Times New Roman"/>
                <w:color w:val="000000"/>
                <w:sz w:val="24"/>
                <w:szCs w:val="24"/>
              </w:rPr>
              <w:t>Indikátor XYZ</w:t>
            </w: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c>
          <w:tcPr>
            <w:tcW w:w="1134" w:type="dxa"/>
          </w:tcPr>
          <w:p w:rsidR="00F403A0" w:rsidRPr="000F5F74" w:rsidRDefault="00F403A0" w:rsidP="007E0186">
            <w:pPr>
              <w:autoSpaceDE w:val="0"/>
              <w:autoSpaceDN w:val="0"/>
              <w:adjustRightInd w:val="0"/>
              <w:spacing w:after="0" w:line="240" w:lineRule="auto"/>
              <w:jc w:val="right"/>
              <w:rPr>
                <w:rFonts w:ascii="Times New Roman" w:eastAsia="Times New Roman" w:hAnsi="Times New Roman" w:cs="Times New Roman"/>
                <w:color w:val="000000"/>
                <w:sz w:val="24"/>
                <w:szCs w:val="24"/>
              </w:rPr>
            </w:pPr>
          </w:p>
        </w:tc>
      </w:tr>
    </w:tbl>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Pr="000F5F74" w:rsidRDefault="00F403A0" w:rsidP="00F403A0">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2.2.4. Výpočty vplyvov na verejné financie</w:t>
      </w:r>
    </w:p>
    <w:p w:rsidR="00F403A0" w:rsidRPr="000F5F74" w:rsidRDefault="00F403A0" w:rsidP="00F403A0">
      <w:pPr>
        <w:spacing w:after="0" w:line="240" w:lineRule="auto"/>
        <w:rPr>
          <w:rFonts w:ascii="Times New Roman" w:eastAsia="Times New Roman" w:hAnsi="Times New Roman" w:cs="Times New Roman"/>
          <w:sz w:val="24"/>
          <w:szCs w:val="24"/>
        </w:rPr>
      </w:pPr>
    </w:p>
    <w:p w:rsidR="00F403A0" w:rsidRDefault="00F403A0" w:rsidP="00F403A0">
      <w:pPr>
        <w:spacing w:after="0" w:line="240" w:lineRule="auto"/>
        <w:ind w:firstLine="708"/>
        <w:jc w:val="both"/>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r>
        <w:rPr>
          <w:rFonts w:ascii="Times New Roman" w:eastAsia="Times New Roman" w:hAnsi="Times New Roman" w:cs="Times New Roman"/>
          <w:sz w:val="24"/>
          <w:szCs w:val="24"/>
        </w:rPr>
        <w:br w:type="page"/>
      </w:r>
    </w:p>
    <w:p w:rsidR="00F403A0" w:rsidRDefault="00F403A0" w:rsidP="00F403A0">
      <w:pPr>
        <w:spacing w:after="0" w:line="240" w:lineRule="auto"/>
        <w:ind w:firstLine="708"/>
        <w:jc w:val="both"/>
        <w:rPr>
          <w:rFonts w:ascii="Times New Roman" w:eastAsia="Times New Roman" w:hAnsi="Times New Roman" w:cs="Times New Roman"/>
          <w:sz w:val="24"/>
          <w:szCs w:val="24"/>
        </w:rPr>
        <w:sectPr w:rsidR="00F403A0" w:rsidSect="007E0186">
          <w:headerReference w:type="even"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00F403A0" w:rsidRDefault="00F403A0" w:rsidP="00F403A0">
      <w:pPr>
        <w:spacing w:after="0" w:line="240" w:lineRule="auto"/>
        <w:ind w:firstLine="708"/>
        <w:jc w:val="right"/>
        <w:rPr>
          <w:rFonts w:ascii="Times New Roman" w:eastAsia="Times New Roman" w:hAnsi="Times New Roman" w:cs="Times New Roman"/>
          <w:sz w:val="24"/>
          <w:szCs w:val="24"/>
        </w:rPr>
      </w:pPr>
      <w:r w:rsidRPr="000F5F74">
        <w:rPr>
          <w:rFonts w:ascii="Times New Roman" w:eastAsia="Times New Roman" w:hAnsi="Times New Roman" w:cs="Times New Roman"/>
          <w:bCs/>
          <w:sz w:val="24"/>
          <w:szCs w:val="20"/>
        </w:rPr>
        <w:lastRenderedPageBreak/>
        <w:t>Tabuľka č. 3</w:t>
      </w:r>
    </w:p>
    <w:p w:rsidR="00F403A0" w:rsidRDefault="00F403A0" w:rsidP="00F403A0">
      <w:pPr>
        <w:spacing w:after="0" w:line="240" w:lineRule="auto"/>
        <w:ind w:firstLine="708"/>
        <w:jc w:val="both"/>
        <w:rPr>
          <w:rFonts w:ascii="Times New Roman" w:eastAsia="Times New Roman" w:hAnsi="Times New Roman" w:cs="Times New Roman"/>
          <w:sz w:val="24"/>
          <w:szCs w:val="24"/>
        </w:rPr>
      </w:pPr>
    </w:p>
    <w:p w:rsidR="00F403A0" w:rsidRDefault="00F403A0" w:rsidP="00F403A0">
      <w:pPr>
        <w:spacing w:after="0" w:line="240" w:lineRule="auto"/>
        <w:ind w:firstLine="708"/>
        <w:jc w:val="both"/>
        <w:rPr>
          <w:rFonts w:ascii="Times New Roman" w:eastAsia="Times New Roman" w:hAnsi="Times New Roman" w:cs="Times New Roman"/>
          <w:sz w:val="24"/>
          <w:szCs w:val="24"/>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4"/>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4"/>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4"/>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4"/>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F403A0" w:rsidRPr="000F5F74" w:rsidTr="007E018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poznámka</w:t>
            </w:r>
          </w:p>
        </w:tc>
      </w:tr>
      <w:tr w:rsidR="00F403A0" w:rsidRPr="000F5F74" w:rsidTr="007E018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b/>
                <w:bCs/>
                <w:color w:val="FFFFFF"/>
                <w:sz w:val="24"/>
                <w:szCs w:val="24"/>
              </w:rPr>
            </w:pP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2022</w:t>
            </w: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2023</w:t>
            </w: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2024</w:t>
            </w: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b/>
                <w:bCs/>
                <w:color w:val="FFFFFF"/>
                <w:sz w:val="24"/>
                <w:szCs w:val="24"/>
              </w:rPr>
            </w:pP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vertAlign w:val="superscript"/>
              </w:rPr>
            </w:pPr>
            <w:r w:rsidRPr="000F5F74">
              <w:rPr>
                <w:rFonts w:ascii="Times New Roman" w:eastAsia="Times New Roman" w:hAnsi="Times New Roman" w:cs="Times New Roman"/>
                <w:b/>
                <w:bCs/>
                <w:sz w:val="24"/>
                <w:szCs w:val="24"/>
              </w:rPr>
              <w:t>Daňové príjmy (100)</w:t>
            </w:r>
            <w:r w:rsidRPr="000F5F74">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Nedaňové príjmy (200)</w:t>
            </w:r>
            <w:r w:rsidRPr="000F5F74">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Granty a transfery (300)</w:t>
            </w:r>
            <w:r w:rsidRPr="000F5F74">
              <w:rPr>
                <w:rFonts w:ascii="Times New Roman" w:eastAsia="Times New Roman" w:hAnsi="Times New Roman" w:cs="Times New Roman"/>
                <w:b/>
                <w:bCs/>
                <w:sz w:val="24"/>
                <w:szCs w:val="24"/>
                <w:vertAlign w:val="superscript"/>
              </w:rPr>
              <w:t>1</w:t>
            </w: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150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4950" w:type="dxa"/>
            <w:tcBorders>
              <w:top w:val="nil"/>
              <w:left w:val="single" w:sz="4" w:space="0" w:color="auto"/>
              <w:bottom w:val="single" w:sz="4" w:space="0" w:color="auto"/>
              <w:right w:val="single" w:sz="4" w:space="0" w:color="auto"/>
            </w:tcBorders>
            <w:shd w:val="clear" w:color="auto" w:fill="BFBFBF"/>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150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p>
        </w:tc>
        <w:tc>
          <w:tcPr>
            <w:tcW w:w="3000" w:type="dxa"/>
            <w:tcBorders>
              <w:top w:val="nil"/>
              <w:left w:val="nil"/>
              <w:bottom w:val="single" w:sz="4" w:space="0" w:color="auto"/>
              <w:right w:val="single" w:sz="4" w:space="0" w:color="auto"/>
            </w:tcBorders>
            <w:shd w:val="clear" w:color="auto" w:fill="BFBFBF"/>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bl>
    <w:p w:rsidR="00F403A0" w:rsidRPr="000F5F74" w:rsidRDefault="00F403A0" w:rsidP="00F403A0">
      <w:pPr>
        <w:tabs>
          <w:tab w:val="num" w:pos="1080"/>
        </w:tabs>
        <w:spacing w:after="0" w:line="240" w:lineRule="auto"/>
        <w:ind w:left="4956" w:firstLine="708"/>
        <w:jc w:val="both"/>
        <w:rPr>
          <w:rFonts w:ascii="Times New Roman" w:eastAsia="Times New Roman" w:hAnsi="Times New Roman" w:cs="Times New Roman"/>
          <w:bCs/>
          <w:sz w:val="24"/>
          <w:szCs w:val="20"/>
        </w:rPr>
      </w:pP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r w:rsidRPr="000F5F74">
        <w:rPr>
          <w:rFonts w:ascii="Times New Roman" w:eastAsia="Times New Roman" w:hAnsi="Times New Roman" w:cs="Times New Roman"/>
          <w:bCs/>
          <w:sz w:val="24"/>
          <w:szCs w:val="20"/>
        </w:rPr>
        <w:tab/>
      </w:r>
    </w:p>
    <w:p w:rsidR="00F403A0" w:rsidRDefault="00F403A0" w:rsidP="00F403A0">
      <w:pPr>
        <w:tabs>
          <w:tab w:val="num" w:pos="1080"/>
        </w:tabs>
        <w:spacing w:after="0" w:line="240" w:lineRule="auto"/>
        <w:jc w:val="both"/>
        <w:rPr>
          <w:rFonts w:ascii="Times New Roman" w:eastAsia="Times New Roman" w:hAnsi="Times New Roman" w:cs="Times New Roman"/>
          <w:b/>
          <w:bCs/>
          <w:sz w:val="24"/>
          <w:szCs w:val="20"/>
        </w:rPr>
      </w:pPr>
    </w:p>
    <w:p w:rsidR="00F403A0" w:rsidRPr="000F5F74" w:rsidRDefault="00F403A0" w:rsidP="00F403A0">
      <w:pPr>
        <w:tabs>
          <w:tab w:val="num" w:pos="1080"/>
        </w:tabs>
        <w:spacing w:after="0" w:line="240" w:lineRule="auto"/>
        <w:jc w:val="both"/>
        <w:rPr>
          <w:rFonts w:ascii="Times New Roman" w:eastAsia="Times New Roman" w:hAnsi="Times New Roman" w:cs="Times New Roman"/>
          <w:b/>
          <w:bCs/>
          <w:sz w:val="24"/>
          <w:szCs w:val="20"/>
        </w:rPr>
      </w:pPr>
    </w:p>
    <w:p w:rsidR="00F403A0" w:rsidRPr="000F5F74" w:rsidRDefault="00F403A0" w:rsidP="00F403A0">
      <w:pPr>
        <w:tabs>
          <w:tab w:val="num" w:pos="1080"/>
        </w:tabs>
        <w:spacing w:after="0" w:line="240" w:lineRule="auto"/>
        <w:jc w:val="both"/>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1 –  príjmy rozpísať až do položiek platnej ekonomickej klasifikácie</w:t>
      </w:r>
    </w:p>
    <w:p w:rsidR="00F403A0" w:rsidRPr="000F5F74" w:rsidRDefault="00F403A0" w:rsidP="00F403A0">
      <w:pPr>
        <w:tabs>
          <w:tab w:val="num" w:pos="1080"/>
        </w:tabs>
        <w:spacing w:after="0" w:line="240" w:lineRule="auto"/>
        <w:jc w:val="both"/>
        <w:rPr>
          <w:rFonts w:ascii="Times New Roman" w:eastAsia="Times New Roman" w:hAnsi="Times New Roman" w:cs="Times New Roman"/>
          <w:b/>
          <w:bCs/>
          <w:sz w:val="24"/>
          <w:szCs w:val="20"/>
        </w:rPr>
      </w:pPr>
    </w:p>
    <w:p w:rsidR="00F403A0" w:rsidRPr="000F5F74" w:rsidRDefault="00F403A0" w:rsidP="00F403A0">
      <w:pPr>
        <w:tabs>
          <w:tab w:val="num" w:pos="1080"/>
        </w:tabs>
        <w:spacing w:after="0" w:line="240" w:lineRule="auto"/>
        <w:jc w:val="both"/>
        <w:rPr>
          <w:rFonts w:ascii="Times New Roman" w:eastAsia="Times New Roman" w:hAnsi="Times New Roman" w:cs="Times New Roman"/>
          <w:b/>
          <w:bCs/>
          <w:sz w:val="24"/>
          <w:szCs w:val="20"/>
        </w:rPr>
      </w:pPr>
      <w:r w:rsidRPr="000F5F74">
        <w:rPr>
          <w:rFonts w:ascii="Times New Roman" w:eastAsia="Times New Roman" w:hAnsi="Times New Roman" w:cs="Times New Roman"/>
          <w:b/>
          <w:bCs/>
          <w:sz w:val="24"/>
          <w:szCs w:val="20"/>
        </w:rPr>
        <w:t>Poznámka:</w:t>
      </w:r>
    </w:p>
    <w:p w:rsidR="00F403A0" w:rsidRPr="000F5F74" w:rsidRDefault="00F403A0" w:rsidP="00F403A0">
      <w:pPr>
        <w:tabs>
          <w:tab w:val="num" w:pos="1080"/>
        </w:tabs>
        <w:spacing w:after="0" w:line="240" w:lineRule="auto"/>
        <w:jc w:val="both"/>
        <w:rPr>
          <w:rFonts w:ascii="Times New Roman" w:eastAsia="Times New Roman" w:hAnsi="Times New Roman" w:cs="Times New Roman"/>
          <w:bCs/>
          <w:sz w:val="24"/>
          <w:szCs w:val="20"/>
        </w:rPr>
      </w:pPr>
      <w:r w:rsidRPr="000F5F74">
        <w:rPr>
          <w:rFonts w:ascii="Times New Roman" w:eastAsia="Times New Roman" w:hAnsi="Times New Roman" w:cs="Times New Roman"/>
          <w:bCs/>
          <w:sz w:val="24"/>
          <w:szCs w:val="20"/>
        </w:rPr>
        <w:t>Ak sa vplyv týka viacerých subjektov verejnej správy, vypĺňa sa samostatná tabuľka za každý subjekt.</w:t>
      </w:r>
    </w:p>
    <w:p w:rsidR="00F403A0"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p>
    <w:p w:rsidR="00F403A0"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p>
    <w:p w:rsidR="00F403A0"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p>
    <w:p w:rsidR="00F403A0"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p>
    <w:p w:rsidR="00F403A0"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p>
    <w:p w:rsidR="00F403A0" w:rsidRPr="000F5F74" w:rsidRDefault="00F403A0" w:rsidP="00F403A0">
      <w:pPr>
        <w:tabs>
          <w:tab w:val="num" w:pos="1080"/>
        </w:tabs>
        <w:spacing w:after="0" w:line="240" w:lineRule="auto"/>
        <w:ind w:right="-578"/>
        <w:jc w:val="right"/>
        <w:rPr>
          <w:rFonts w:ascii="Times New Roman" w:eastAsia="Times New Roman" w:hAnsi="Times New Roman" w:cs="Times New Roman"/>
          <w:bCs/>
          <w:sz w:val="24"/>
          <w:szCs w:val="24"/>
        </w:rPr>
      </w:pPr>
      <w:r w:rsidRPr="000F5F74">
        <w:rPr>
          <w:rFonts w:ascii="Times New Roman" w:eastAsia="Times New Roman" w:hAnsi="Times New Roman" w:cs="Times New Roman"/>
          <w:bCs/>
          <w:sz w:val="24"/>
          <w:szCs w:val="24"/>
        </w:rPr>
        <w:t xml:space="preserve"> </w:t>
      </w:r>
    </w:p>
    <w:p w:rsidR="00F403A0" w:rsidRPr="000F5F74" w:rsidRDefault="00F403A0" w:rsidP="00F403A0">
      <w:pPr>
        <w:tabs>
          <w:tab w:val="num" w:pos="1080"/>
        </w:tabs>
        <w:spacing w:after="0" w:line="240" w:lineRule="auto"/>
        <w:ind w:right="-32"/>
        <w:jc w:val="right"/>
        <w:rPr>
          <w:rFonts w:ascii="Times New Roman" w:eastAsia="Times New Roman" w:hAnsi="Times New Roman" w:cs="Times New Roman"/>
          <w:bCs/>
          <w:sz w:val="24"/>
          <w:szCs w:val="24"/>
        </w:rPr>
      </w:pPr>
      <w:r w:rsidRPr="000F5F74">
        <w:rPr>
          <w:rFonts w:ascii="Times New Roman" w:eastAsia="Times New Roman" w:hAnsi="Times New Roman" w:cs="Times New Roman"/>
          <w:bCs/>
          <w:sz w:val="24"/>
          <w:szCs w:val="24"/>
        </w:rPr>
        <w:lastRenderedPageBreak/>
        <w:t xml:space="preserve">Tabuľka č. 4 </w:t>
      </w:r>
    </w:p>
    <w:p w:rsidR="00F403A0" w:rsidRPr="000F5F74" w:rsidRDefault="00F403A0" w:rsidP="00F403A0">
      <w:pPr>
        <w:tabs>
          <w:tab w:val="num" w:pos="1080"/>
        </w:tabs>
        <w:spacing w:after="0" w:line="240" w:lineRule="auto"/>
        <w:jc w:val="both"/>
        <w:rPr>
          <w:rFonts w:ascii="Times New Roman" w:eastAsia="Times New Roman" w:hAnsi="Times New Roman" w:cs="Times New Roman"/>
          <w:bCs/>
          <w:sz w:val="24"/>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F403A0" w:rsidRPr="000F5F74" w:rsidTr="007E018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poznámka</w:t>
            </w:r>
          </w:p>
        </w:tc>
      </w:tr>
      <w:tr w:rsidR="00F403A0" w:rsidRPr="000F5F74" w:rsidTr="007E018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2022</w:t>
            </w:r>
          </w:p>
        </w:tc>
        <w:tc>
          <w:tcPr>
            <w:tcW w:w="154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2023</w:t>
            </w:r>
          </w:p>
        </w:tc>
        <w:tc>
          <w:tcPr>
            <w:tcW w:w="154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2024</w:t>
            </w:r>
          </w:p>
        </w:tc>
        <w:tc>
          <w:tcPr>
            <w:tcW w:w="1540"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b/>
                <w:bCs/>
                <w:color w:val="FFFFFF"/>
                <w:sz w:val="24"/>
                <w:szCs w:val="24"/>
              </w:rPr>
            </w:pP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Bežné výdavky (600)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136 224,00 €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136 224,00 €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4"/>
                <w:szCs w:val="24"/>
              </w:rPr>
            </w:pPr>
            <w:r w:rsidRPr="000F5F74">
              <w:rPr>
                <w:rFonts w:eastAsia="Times New Roman"/>
                <w:bCs/>
                <w:color w:val="000000"/>
                <w:sz w:val="18"/>
                <w:szCs w:val="18"/>
              </w:rPr>
              <w:t>136 224,00 €</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vertAlign w:val="superscript"/>
              </w:rPr>
            </w:pPr>
            <w:r w:rsidRPr="000F5F74">
              <w:rPr>
                <w:rFonts w:ascii="Times New Roman" w:eastAsia="Times New Roman" w:hAnsi="Times New Roman" w:cs="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50 273,00 €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50 273,00 €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4"/>
                <w:szCs w:val="24"/>
              </w:rPr>
            </w:pPr>
            <w:r w:rsidRPr="000F5F74">
              <w:rPr>
                <w:rFonts w:eastAsia="Times New Roman"/>
                <w:bCs/>
                <w:color w:val="000000"/>
                <w:sz w:val="18"/>
                <w:szCs w:val="18"/>
              </w:rPr>
              <w:t>50 273,00 €</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vertAlign w:val="superscript"/>
              </w:rPr>
            </w:pPr>
            <w:r w:rsidRPr="000F5F74">
              <w:rPr>
                <w:rFonts w:ascii="Times New Roman" w:eastAsia="Times New Roman" w:hAnsi="Times New Roman" w:cs="Times New Roman"/>
                <w:sz w:val="20"/>
                <w:szCs w:val="20"/>
              </w:rPr>
              <w:t xml:space="preserve">  Tovary a služby (630)</w:t>
            </w:r>
            <w:r w:rsidRPr="000F5F74">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0 </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 xml:space="preserve">  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4"/>
                <w:szCs w:val="24"/>
              </w:rPr>
            </w:pPr>
            <w:r w:rsidRPr="000F5F74">
              <w:rPr>
                <w:rFonts w:ascii="Times New Roman" w:eastAsia="Times New Roman" w:hAnsi="Times New Roman" w:cs="Times New Roman"/>
                <w:bCs/>
                <w:sz w:val="20"/>
                <w:szCs w:val="20"/>
              </w:rPr>
              <w:t>0</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  Bežné transfery (640)</w:t>
            </w:r>
            <w:r w:rsidRPr="000F5F74">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11 130,00 €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11 130,00 €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eastAsia="Times New Roman"/>
                <w:bCs/>
                <w:color w:val="000000"/>
                <w:sz w:val="18"/>
                <w:szCs w:val="18"/>
              </w:rPr>
              <w:t>11 130,00 €</w:t>
            </w:r>
          </w:p>
        </w:tc>
        <w:tc>
          <w:tcPr>
            <w:tcW w:w="1540"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sz w:val="24"/>
                <w:szCs w:val="24"/>
              </w:rPr>
            </w:pPr>
            <w:r w:rsidRPr="000F5F74">
              <w:rPr>
                <w:rFonts w:eastAsia="Times New Roman"/>
                <w:bCs/>
                <w:color w:val="000000"/>
                <w:sz w:val="18"/>
                <w:szCs w:val="18"/>
              </w:rPr>
              <w:t>11 130,00 €</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  Splácanie úrokov a ostatné platby súvisiace s </w:t>
            </w:r>
            <w:r w:rsidRPr="000F5F74">
              <w:rPr>
                <w:rFonts w:ascii="Times New Roman" w:eastAsia="Times New Roman" w:hAnsi="Times New Roman" w:cs="Times New Roman"/>
                <w:sz w:val="24"/>
                <w:szCs w:val="24"/>
              </w:rPr>
              <w:t xml:space="preserve"> </w:t>
            </w:r>
            <w:r w:rsidRPr="000F5F74">
              <w:rPr>
                <w:rFonts w:ascii="Times New Roman" w:eastAsia="Times New Roman" w:hAnsi="Times New Roman" w:cs="Times New Roman"/>
                <w:sz w:val="20"/>
                <w:szCs w:val="20"/>
              </w:rPr>
              <w:t>úverom, pôžičkou, návratnou finančnou výpomocou a finančným prenájmom (650)</w:t>
            </w:r>
            <w:r w:rsidRPr="000F5F74">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vAlign w:val="center"/>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Ostatné služby (518)</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0</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Kapitálové výdavky (700)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sz w:val="20"/>
                <w:szCs w:val="20"/>
              </w:rPr>
              <w:t>0</w:t>
            </w:r>
          </w:p>
        </w:tc>
        <w:tc>
          <w:tcPr>
            <w:tcW w:w="1540" w:type="dxa"/>
            <w:tcBorders>
              <w:top w:val="nil"/>
              <w:left w:val="nil"/>
              <w:bottom w:val="single" w:sz="4" w:space="0" w:color="auto"/>
              <w:right w:val="single" w:sz="4" w:space="0" w:color="auto"/>
            </w:tcBorders>
            <w:vAlign w:val="bottom"/>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ascii="Times New Roman" w:eastAsia="Times New Roman" w:hAnsi="Times New Roman" w:cs="Times New Roman"/>
                <w:b/>
                <w:sz w:val="20"/>
                <w:szCs w:val="20"/>
              </w:rPr>
              <w:t>0</w:t>
            </w:r>
          </w:p>
        </w:tc>
        <w:tc>
          <w:tcPr>
            <w:tcW w:w="1540" w:type="dxa"/>
            <w:tcBorders>
              <w:top w:val="nil"/>
              <w:left w:val="nil"/>
              <w:bottom w:val="single" w:sz="4" w:space="0" w:color="auto"/>
              <w:right w:val="single" w:sz="4" w:space="0" w:color="auto"/>
            </w:tcBorders>
            <w:vAlign w:val="bottom"/>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ascii="Times New Roman" w:eastAsia="Times New Roman" w:hAnsi="Times New Roman" w:cs="Times New Roman"/>
                <w:b/>
                <w:sz w:val="20"/>
                <w:szCs w:val="20"/>
              </w:rPr>
              <w:t>0</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  Obstarávanie kapitálových aktív (710)</w:t>
            </w:r>
            <w:r w:rsidRPr="000F5F74">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eastAsia="Times New Roman"/>
                <w:bCs/>
                <w:color w:val="00000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vAlign w:val="bottom"/>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w:t>
            </w:r>
          </w:p>
        </w:tc>
        <w:tc>
          <w:tcPr>
            <w:tcW w:w="1540" w:type="dxa"/>
            <w:tcBorders>
              <w:top w:val="nil"/>
              <w:left w:val="nil"/>
              <w:bottom w:val="single" w:sz="4" w:space="0" w:color="auto"/>
              <w:right w:val="single" w:sz="4" w:space="0" w:color="auto"/>
            </w:tcBorders>
            <w:vAlign w:val="bottom"/>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0"/>
                <w:szCs w:val="20"/>
              </w:rPr>
            </w:pPr>
            <w:r w:rsidRPr="000F5F74">
              <w:rPr>
                <w:rFonts w:ascii="Times New Roman" w:eastAsia="Times New Roman" w:hAnsi="Times New Roman" w:cs="Times New Roman"/>
                <w:sz w:val="20"/>
                <w:szCs w:val="20"/>
              </w:rPr>
              <w:t xml:space="preserve">  Kapitálové transfery (720)</w:t>
            </w:r>
            <w:r w:rsidRPr="000F5F74">
              <w:rPr>
                <w:rFonts w:ascii="Times New Roman" w:eastAsia="Times New Roman" w:hAnsi="Times New Roman" w:cs="Times New Roman"/>
                <w:sz w:val="20"/>
                <w:szCs w:val="20"/>
                <w:vertAlign w:val="superscript"/>
              </w:rPr>
              <w:t>2</w:t>
            </w: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0"/>
                <w:szCs w:val="20"/>
              </w:rPr>
            </w:pPr>
          </w:p>
        </w:tc>
        <w:tc>
          <w:tcPr>
            <w:tcW w:w="1540"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sz w:val="24"/>
                <w:szCs w:val="24"/>
              </w:rPr>
            </w:pP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 </w:t>
            </w:r>
          </w:p>
        </w:tc>
        <w:tc>
          <w:tcPr>
            <w:tcW w:w="1540" w:type="dxa"/>
            <w:tcBorders>
              <w:top w:val="nil"/>
              <w:left w:val="nil"/>
              <w:bottom w:val="single" w:sz="4" w:space="0" w:color="auto"/>
              <w:right w:val="single" w:sz="4" w:space="0" w:color="auto"/>
            </w:tcBorders>
            <w:shd w:val="clear" w:color="auto" w:fill="FFFF99"/>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c>
          <w:tcPr>
            <w:tcW w:w="2220" w:type="dxa"/>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cPr>
          <w:p w:rsidR="00F403A0" w:rsidRPr="000F5F74" w:rsidRDefault="00F403A0" w:rsidP="007E0186">
            <w:pPr>
              <w:spacing w:after="0" w:line="240" w:lineRule="auto"/>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
                <w:color w:val="000000"/>
              </w:rPr>
              <w:t>197 627,00 €</w:t>
            </w:r>
          </w:p>
        </w:tc>
        <w:tc>
          <w:tcPr>
            <w:tcW w:w="1540" w:type="dxa"/>
            <w:tcBorders>
              <w:top w:val="single" w:sz="4" w:space="0" w:color="auto"/>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right"/>
              <w:rPr>
                <w:rFonts w:ascii="Times New Roman" w:eastAsia="Times New Roman" w:hAnsi="Times New Roman" w:cs="Times New Roman"/>
                <w:b/>
                <w:sz w:val="20"/>
                <w:szCs w:val="20"/>
              </w:rPr>
            </w:pPr>
            <w:r w:rsidRPr="000F5F74">
              <w:rPr>
                <w:rFonts w:eastAsia="Times New Roman"/>
                <w:b/>
                <w:color w:val="000000"/>
              </w:rPr>
              <w:t>197 627,00 €</w:t>
            </w:r>
          </w:p>
        </w:tc>
        <w:tc>
          <w:tcPr>
            <w:tcW w:w="1540" w:type="dxa"/>
            <w:tcBorders>
              <w:top w:val="single" w:sz="4" w:space="0" w:color="auto"/>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
                <w:color w:val="000000"/>
              </w:rPr>
              <w:t>197 627,00 €</w:t>
            </w:r>
          </w:p>
        </w:tc>
        <w:tc>
          <w:tcPr>
            <w:tcW w:w="1540" w:type="dxa"/>
            <w:tcBorders>
              <w:top w:val="single" w:sz="4" w:space="0" w:color="auto"/>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
                <w:color w:val="000000"/>
              </w:rPr>
              <w:t>197 627,00 €</w:t>
            </w:r>
          </w:p>
        </w:tc>
        <w:tc>
          <w:tcPr>
            <w:tcW w:w="2220" w:type="dxa"/>
            <w:tcBorders>
              <w:top w:val="single" w:sz="4" w:space="0" w:color="auto"/>
              <w:left w:val="nil"/>
              <w:bottom w:val="single" w:sz="4" w:space="0" w:color="auto"/>
              <w:right w:val="single" w:sz="4" w:space="0" w:color="auto"/>
            </w:tcBorders>
            <w:shd w:val="clear" w:color="auto" w:fill="BFBFBF"/>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bl>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2 –  výdavky rozpísať až do položiek platnej ekonomickej klasifikácie</w:t>
      </w:r>
    </w:p>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Cs/>
          <w:sz w:val="24"/>
          <w:szCs w:val="20"/>
        </w:rPr>
      </w:pPr>
    </w:p>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4"/>
          <w:szCs w:val="20"/>
        </w:rPr>
        <w:t>Poznámka:</w:t>
      </w:r>
    </w:p>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r w:rsidRPr="000F5F74">
        <w:rPr>
          <w:rFonts w:ascii="Times New Roman" w:eastAsia="Times New Roman" w:hAnsi="Times New Roman" w:cs="Times New Roman"/>
          <w:bCs/>
          <w:sz w:val="24"/>
          <w:szCs w:val="20"/>
        </w:rPr>
        <w:t>Ak sa vplyv týka viacerých subjektov verejnej správy, vypĺňa sa samostatná tabuľka za každý subjekt.</w:t>
      </w: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Pr="000F5F74" w:rsidRDefault="00F403A0" w:rsidP="00F403A0">
      <w:pPr>
        <w:tabs>
          <w:tab w:val="num" w:pos="1080"/>
        </w:tabs>
        <w:spacing w:after="0" w:line="240" w:lineRule="auto"/>
        <w:ind w:left="-900"/>
        <w:jc w:val="both"/>
        <w:rPr>
          <w:rFonts w:ascii="Times New Roman" w:eastAsia="Times New Roman" w:hAnsi="Times New Roman" w:cs="Times New Roman"/>
          <w:bCs/>
          <w:sz w:val="20"/>
          <w:szCs w:val="20"/>
        </w:rPr>
      </w:pPr>
    </w:p>
    <w:p w:rsidR="00F403A0" w:rsidRPr="000F5F74" w:rsidRDefault="00F403A0" w:rsidP="00F403A0">
      <w:pPr>
        <w:tabs>
          <w:tab w:val="num" w:pos="1080"/>
        </w:tabs>
        <w:spacing w:after="0" w:line="240" w:lineRule="auto"/>
        <w:jc w:val="right"/>
        <w:rPr>
          <w:rFonts w:ascii="Times New Roman" w:eastAsia="Times New Roman" w:hAnsi="Times New Roman" w:cs="Times New Roman"/>
          <w:bCs/>
          <w:sz w:val="24"/>
          <w:szCs w:val="24"/>
        </w:rPr>
      </w:pPr>
      <w:r w:rsidRPr="000F5F74">
        <w:rPr>
          <w:rFonts w:ascii="Times New Roman" w:eastAsia="Times New Roman" w:hAnsi="Times New Roman" w:cs="Times New Roman"/>
          <w:bCs/>
          <w:sz w:val="24"/>
          <w:szCs w:val="24"/>
        </w:rPr>
        <w:t xml:space="preserve">              Tabuľka č. 5 </w:t>
      </w:r>
    </w:p>
    <w:p w:rsidR="00F403A0" w:rsidRPr="000F5F74" w:rsidRDefault="00F403A0" w:rsidP="00F403A0">
      <w:pPr>
        <w:tabs>
          <w:tab w:val="num" w:pos="1080"/>
        </w:tabs>
        <w:spacing w:after="0" w:line="240" w:lineRule="auto"/>
        <w:jc w:val="both"/>
        <w:rPr>
          <w:rFonts w:ascii="Times New Roman" w:eastAsia="Times New Roman" w:hAnsi="Times New Roman" w:cs="Times New Roman"/>
          <w:bCs/>
          <w:sz w:val="24"/>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F403A0" w:rsidRPr="000F5F74" w:rsidTr="007E018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vAlign w:val="center"/>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poznámka</w:t>
            </w:r>
          </w:p>
        </w:tc>
      </w:tr>
      <w:tr w:rsidR="00F403A0" w:rsidRPr="000F5F74" w:rsidTr="007E018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F403A0" w:rsidRPr="000F5F74" w:rsidRDefault="00F403A0" w:rsidP="007E0186">
            <w:pPr>
              <w:spacing w:after="0" w:line="240" w:lineRule="auto"/>
              <w:rPr>
                <w:rFonts w:ascii="Times New Roman" w:eastAsia="Times New Roman" w:hAnsi="Times New Roman" w:cs="Times New Roman"/>
                <w:b/>
                <w:bCs/>
                <w:sz w:val="24"/>
                <w:szCs w:val="24"/>
              </w:rPr>
            </w:pPr>
          </w:p>
        </w:tc>
        <w:tc>
          <w:tcPr>
            <w:tcW w:w="1698"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2022</w:t>
            </w:r>
          </w:p>
        </w:tc>
        <w:tc>
          <w:tcPr>
            <w:tcW w:w="1788"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2023</w:t>
            </w:r>
          </w:p>
        </w:tc>
        <w:tc>
          <w:tcPr>
            <w:tcW w:w="2418" w:type="dxa"/>
            <w:gridSpan w:val="2"/>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0"/>
                <w:szCs w:val="20"/>
              </w:rPr>
            </w:pPr>
            <w:r w:rsidRPr="000F5F74">
              <w:rPr>
                <w:rFonts w:ascii="Times New Roman" w:eastAsia="Times New Roman" w:hAnsi="Times New Roman" w:cs="Times New Roman"/>
                <w:b/>
                <w:bCs/>
                <w:sz w:val="20"/>
                <w:szCs w:val="20"/>
              </w:rPr>
              <w:t>2024</w:t>
            </w:r>
          </w:p>
        </w:tc>
        <w:tc>
          <w:tcPr>
            <w:tcW w:w="1722" w:type="dxa"/>
            <w:tcBorders>
              <w:top w:val="nil"/>
              <w:left w:val="nil"/>
              <w:bottom w:val="single" w:sz="4" w:space="0" w:color="auto"/>
              <w:right w:val="single" w:sz="4" w:space="0" w:color="auto"/>
            </w:tcBorders>
            <w:shd w:val="clear" w:color="auto" w:fill="BFBFBF"/>
          </w:tcPr>
          <w:p w:rsidR="00F403A0" w:rsidRPr="000F5F74" w:rsidRDefault="00F403A0" w:rsidP="007E0186">
            <w:pPr>
              <w:spacing w:after="0" w:line="240" w:lineRule="auto"/>
              <w:jc w:val="center"/>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0"/>
                <w:szCs w:val="20"/>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vAlign w:val="center"/>
          </w:tcPr>
          <w:p w:rsidR="00F403A0" w:rsidRPr="000F5F74" w:rsidRDefault="00F403A0" w:rsidP="007E0186">
            <w:pPr>
              <w:spacing w:after="0" w:line="240" w:lineRule="auto"/>
              <w:rPr>
                <w:rFonts w:ascii="Times New Roman" w:eastAsia="Times New Roman" w:hAnsi="Times New Roman" w:cs="Times New Roman"/>
                <w:b/>
                <w:bCs/>
                <w:color w:val="FFFFFF"/>
                <w:sz w:val="24"/>
                <w:szCs w:val="24"/>
              </w:rPr>
            </w:pP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Počet zamestnancov celkom</w:t>
            </w:r>
          </w:p>
        </w:tc>
        <w:tc>
          <w:tcPr>
            <w:tcW w:w="1698"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+ 4</w:t>
            </w:r>
          </w:p>
        </w:tc>
        <w:tc>
          <w:tcPr>
            <w:tcW w:w="1788"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 +0 (celkovo 4)</w:t>
            </w:r>
          </w:p>
        </w:tc>
        <w:tc>
          <w:tcPr>
            <w:tcW w:w="2418" w:type="dxa"/>
            <w:gridSpan w:val="2"/>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 (celkovo 4)</w:t>
            </w:r>
          </w:p>
        </w:tc>
        <w:tc>
          <w:tcPr>
            <w:tcW w:w="1722" w:type="dxa"/>
            <w:tcBorders>
              <w:top w:val="nil"/>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 (celkovo 4)</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+ 4</w:t>
            </w:r>
          </w:p>
        </w:tc>
        <w:tc>
          <w:tcPr>
            <w:tcW w:w="178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 (celkovo 4)</w:t>
            </w:r>
          </w:p>
        </w:tc>
        <w:tc>
          <w:tcPr>
            <w:tcW w:w="2418" w:type="dxa"/>
            <w:gridSpan w:val="2"/>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 (celkovo 4)</w:t>
            </w:r>
          </w:p>
        </w:tc>
        <w:tc>
          <w:tcPr>
            <w:tcW w:w="1722"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+0 (celkovo 4)</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Priemerný mzdový výdavok (v eurách)</w:t>
            </w:r>
          </w:p>
        </w:tc>
        <w:tc>
          <w:tcPr>
            <w:tcW w:w="169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78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2418" w:type="dxa"/>
            <w:gridSpan w:val="2"/>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722"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bCs/>
                <w:sz w:val="24"/>
                <w:szCs w:val="24"/>
              </w:rPr>
              <w:t xml:space="preserve">   z toho vplyv na ŠR</w:t>
            </w:r>
          </w:p>
        </w:tc>
        <w:tc>
          <w:tcPr>
            <w:tcW w:w="169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788"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2418" w:type="dxa"/>
            <w:gridSpan w:val="2"/>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722" w:type="dxa"/>
            <w:tcBorders>
              <w:top w:val="single" w:sz="4" w:space="0" w:color="auto"/>
              <w:left w:val="nil"/>
              <w:bottom w:val="single" w:sz="4" w:space="0" w:color="auto"/>
              <w:right w:val="single" w:sz="4" w:space="0" w:color="auto"/>
            </w:tcBorders>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ascii="Times New Roman" w:eastAsia="Times New Roman" w:hAnsi="Times New Roman" w:cs="Times New Roman"/>
                <w:bCs/>
                <w:sz w:val="20"/>
                <w:szCs w:val="20"/>
              </w:rPr>
              <w:t xml:space="preserve">2838,00 </w:t>
            </w:r>
            <w:r w:rsidRPr="000F5F74">
              <w:rPr>
                <w:rFonts w:eastAsia="Times New Roman"/>
                <w:bCs/>
                <w:color w:val="000000"/>
                <w:sz w:val="18"/>
                <w:szCs w:val="18"/>
              </w:rPr>
              <w:t>€</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shd w:val="clear" w:color="auto" w:fill="BFBFBF"/>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Osobné výdavky celkom (v eurách)</w:t>
            </w:r>
          </w:p>
        </w:tc>
        <w:tc>
          <w:tcPr>
            <w:tcW w:w="1698" w:type="dxa"/>
            <w:tcBorders>
              <w:top w:val="nil"/>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Cs/>
                <w:color w:val="000000"/>
                <w:sz w:val="18"/>
                <w:szCs w:val="18"/>
              </w:rPr>
              <w:t>136 224,00 €</w:t>
            </w:r>
          </w:p>
        </w:tc>
        <w:tc>
          <w:tcPr>
            <w:tcW w:w="1788" w:type="dxa"/>
            <w:tcBorders>
              <w:top w:val="nil"/>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Cs/>
                <w:color w:val="000000"/>
                <w:sz w:val="18"/>
                <w:szCs w:val="18"/>
              </w:rPr>
              <w:t>136 224,00 €</w:t>
            </w:r>
          </w:p>
        </w:tc>
        <w:tc>
          <w:tcPr>
            <w:tcW w:w="2418" w:type="dxa"/>
            <w:gridSpan w:val="2"/>
            <w:tcBorders>
              <w:top w:val="nil"/>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Cs/>
                <w:color w:val="000000"/>
                <w:sz w:val="18"/>
                <w:szCs w:val="18"/>
              </w:rPr>
              <w:t>136 224,00 €</w:t>
            </w:r>
          </w:p>
        </w:tc>
        <w:tc>
          <w:tcPr>
            <w:tcW w:w="1722" w:type="dxa"/>
            <w:tcBorders>
              <w:top w:val="nil"/>
              <w:left w:val="nil"/>
              <w:bottom w:val="single" w:sz="4" w:space="0" w:color="auto"/>
              <w:right w:val="single" w:sz="4" w:space="0" w:color="auto"/>
            </w:tcBorders>
            <w:shd w:val="clear" w:color="auto" w:fill="BFBFBF"/>
            <w:vAlign w:val="center"/>
          </w:tcPr>
          <w:p w:rsidR="00F403A0" w:rsidRPr="000F5F74" w:rsidRDefault="00F403A0" w:rsidP="007E0186">
            <w:pPr>
              <w:spacing w:after="0" w:line="240" w:lineRule="auto"/>
              <w:jc w:val="center"/>
              <w:rPr>
                <w:rFonts w:ascii="Times New Roman" w:eastAsia="Times New Roman" w:hAnsi="Times New Roman" w:cs="Times New Roman"/>
                <w:b/>
                <w:sz w:val="20"/>
                <w:szCs w:val="20"/>
              </w:rPr>
            </w:pPr>
            <w:r w:rsidRPr="000F5F74">
              <w:rPr>
                <w:rFonts w:eastAsia="Times New Roman"/>
                <w:bCs/>
                <w:color w:val="000000"/>
                <w:sz w:val="18"/>
                <w:szCs w:val="18"/>
              </w:rPr>
              <w:t>136 224,00 €</w:t>
            </w:r>
          </w:p>
        </w:tc>
        <w:tc>
          <w:tcPr>
            <w:tcW w:w="1620" w:type="dxa"/>
            <w:gridSpan w:val="2"/>
            <w:tcBorders>
              <w:top w:val="nil"/>
              <w:left w:val="nil"/>
              <w:bottom w:val="single" w:sz="4" w:space="0" w:color="auto"/>
              <w:right w:val="single" w:sz="4" w:space="0" w:color="auto"/>
            </w:tcBorders>
            <w:shd w:val="clear" w:color="auto" w:fill="BFBFBF"/>
            <w:noWrap/>
            <w:vAlign w:val="bottom"/>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78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2418" w:type="dxa"/>
            <w:gridSpan w:val="2"/>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722"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78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2418" w:type="dxa"/>
            <w:gridSpan w:val="2"/>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722"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136 224,00 €</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Poistné a príspevok do poisťovní (620)</w:t>
            </w:r>
          </w:p>
        </w:tc>
        <w:tc>
          <w:tcPr>
            <w:tcW w:w="169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78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2418" w:type="dxa"/>
            <w:gridSpan w:val="2"/>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722"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 </w:t>
            </w:r>
          </w:p>
        </w:tc>
      </w:tr>
      <w:tr w:rsidR="00F403A0" w:rsidRPr="000F5F74" w:rsidTr="007E0186">
        <w:trPr>
          <w:trHeight w:val="255"/>
        </w:trPr>
        <w:tc>
          <w:tcPr>
            <w:tcW w:w="6188" w:type="dxa"/>
            <w:tcBorders>
              <w:top w:val="nil"/>
              <w:left w:val="single" w:sz="4" w:space="0" w:color="auto"/>
              <w:bottom w:val="single" w:sz="4" w:space="0" w:color="auto"/>
              <w:right w:val="single" w:sz="4" w:space="0" w:color="auto"/>
            </w:tcBorders>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b/>
                <w:bCs/>
                <w:sz w:val="24"/>
                <w:szCs w:val="24"/>
              </w:rPr>
              <w:t xml:space="preserve">   z toho vplyv na ŠR</w:t>
            </w:r>
          </w:p>
        </w:tc>
        <w:tc>
          <w:tcPr>
            <w:tcW w:w="169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788"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2418" w:type="dxa"/>
            <w:gridSpan w:val="2"/>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722" w:type="dxa"/>
            <w:tcBorders>
              <w:top w:val="nil"/>
              <w:left w:val="nil"/>
              <w:bottom w:val="single" w:sz="4" w:space="0" w:color="auto"/>
              <w:right w:val="single" w:sz="4" w:space="0" w:color="auto"/>
            </w:tcBorders>
            <w:vAlign w:val="center"/>
          </w:tcPr>
          <w:p w:rsidR="00F403A0" w:rsidRPr="000F5F74" w:rsidRDefault="00F403A0" w:rsidP="007E0186">
            <w:pPr>
              <w:spacing w:after="0" w:line="240" w:lineRule="auto"/>
              <w:jc w:val="center"/>
              <w:rPr>
                <w:rFonts w:ascii="Times New Roman" w:eastAsia="Times New Roman" w:hAnsi="Times New Roman" w:cs="Times New Roman"/>
                <w:bCs/>
                <w:sz w:val="20"/>
                <w:szCs w:val="20"/>
              </w:rPr>
            </w:pPr>
            <w:r w:rsidRPr="000F5F74">
              <w:rPr>
                <w:rFonts w:eastAsia="Times New Roman"/>
                <w:bCs/>
                <w:color w:val="000000"/>
                <w:sz w:val="18"/>
                <w:szCs w:val="18"/>
              </w:rPr>
              <w:t>50 273,00 €</w:t>
            </w:r>
          </w:p>
        </w:tc>
        <w:tc>
          <w:tcPr>
            <w:tcW w:w="1620" w:type="dxa"/>
            <w:gridSpan w:val="2"/>
            <w:tcBorders>
              <w:top w:val="nil"/>
              <w:left w:val="nil"/>
              <w:bottom w:val="single" w:sz="4" w:space="0" w:color="auto"/>
              <w:right w:val="single" w:sz="4" w:space="0" w:color="auto"/>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 </w:t>
            </w:r>
          </w:p>
        </w:tc>
      </w:tr>
      <w:tr w:rsidR="00F403A0" w:rsidRPr="000F5F74" w:rsidTr="007E0186">
        <w:trPr>
          <w:trHeight w:val="255"/>
        </w:trPr>
        <w:tc>
          <w:tcPr>
            <w:tcW w:w="618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Ide o navýšenie 4 tabuľkových miest príslušníkov v služobnom pomere (mzdové výdavky nezahŕňajú valorizáciu).</w:t>
            </w:r>
          </w:p>
          <w:p w:rsidR="00F403A0" w:rsidRPr="000F5F74" w:rsidRDefault="00F403A0" w:rsidP="007E0186">
            <w:pPr>
              <w:spacing w:after="0" w:line="240" w:lineRule="auto"/>
              <w:rPr>
                <w:rFonts w:ascii="Times New Roman" w:eastAsia="Times New Roman" w:hAnsi="Times New Roman" w:cs="Times New Roman"/>
                <w:sz w:val="24"/>
                <w:szCs w:val="24"/>
              </w:rPr>
            </w:pPr>
          </w:p>
        </w:tc>
        <w:tc>
          <w:tcPr>
            <w:tcW w:w="169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78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2418"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722"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620"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6188" w:type="dxa"/>
            <w:tcBorders>
              <w:top w:val="nil"/>
              <w:left w:val="nil"/>
              <w:bottom w:val="nil"/>
              <w:right w:val="nil"/>
            </w:tcBorders>
          </w:tcPr>
          <w:p w:rsidR="00F403A0" w:rsidRPr="000F5F74" w:rsidRDefault="00F403A0" w:rsidP="007E0186">
            <w:pPr>
              <w:spacing w:after="0" w:line="240" w:lineRule="auto"/>
              <w:rPr>
                <w:rFonts w:ascii="Times New Roman" w:eastAsia="Times New Roman" w:hAnsi="Times New Roman" w:cs="Times New Roman"/>
                <w:b/>
                <w:bCs/>
                <w:sz w:val="24"/>
                <w:szCs w:val="24"/>
              </w:rPr>
            </w:pPr>
            <w:r w:rsidRPr="000F5F74">
              <w:rPr>
                <w:rFonts w:ascii="Times New Roman" w:eastAsia="Times New Roman" w:hAnsi="Times New Roman" w:cs="Times New Roman"/>
                <w:b/>
                <w:bCs/>
                <w:sz w:val="24"/>
                <w:szCs w:val="24"/>
              </w:rPr>
              <w:t>Poznámky:</w:t>
            </w:r>
          </w:p>
        </w:tc>
        <w:tc>
          <w:tcPr>
            <w:tcW w:w="169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78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2418"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722"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1620"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13814" w:type="dxa"/>
            <w:gridSpan w:val="6"/>
            <w:tcBorders>
              <w:top w:val="nil"/>
              <w:left w:val="nil"/>
              <w:bottom w:val="nil"/>
              <w:right w:val="nil"/>
            </w:tcBorders>
            <w:noWrap/>
          </w:tcPr>
          <w:p w:rsidR="00F403A0" w:rsidRPr="000F5F74" w:rsidRDefault="00F403A0" w:rsidP="007E0186">
            <w:pPr>
              <w:tabs>
                <w:tab w:val="num" w:pos="1080"/>
              </w:tabs>
              <w:spacing w:after="0" w:line="240" w:lineRule="auto"/>
              <w:jc w:val="both"/>
              <w:rPr>
                <w:rFonts w:ascii="Times New Roman" w:eastAsia="Times New Roman" w:hAnsi="Times New Roman" w:cs="Times New Roman"/>
                <w:bCs/>
                <w:sz w:val="24"/>
                <w:szCs w:val="20"/>
              </w:rPr>
            </w:pPr>
            <w:r w:rsidRPr="000F5F74">
              <w:rPr>
                <w:rFonts w:ascii="Times New Roman" w:eastAsia="Times New Roman" w:hAnsi="Times New Roman" w:cs="Times New Roman"/>
                <w:bCs/>
                <w:sz w:val="24"/>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r w:rsidR="00F403A0" w:rsidRPr="000F5F74" w:rsidTr="007E0186">
        <w:trPr>
          <w:trHeight w:val="255"/>
        </w:trPr>
        <w:tc>
          <w:tcPr>
            <w:tcW w:w="10394" w:type="dxa"/>
            <w:gridSpan w:val="4"/>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r w:rsidRPr="000F5F74">
              <w:rPr>
                <w:rFonts w:ascii="Times New Roman" w:eastAsia="Times New Roman" w:hAnsi="Times New Roman" w:cs="Times New Roman"/>
                <w:sz w:val="24"/>
                <w:szCs w:val="24"/>
              </w:rPr>
              <w:t>Kategórie 610 a 620 sú z tejto prílohy prenášané do príslušných kategórií prílohy „výdavky“.</w:t>
            </w:r>
          </w:p>
        </w:tc>
        <w:tc>
          <w:tcPr>
            <w:tcW w:w="1698"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2352" w:type="dxa"/>
            <w:gridSpan w:val="2"/>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c>
          <w:tcPr>
            <w:tcW w:w="990" w:type="dxa"/>
            <w:tcBorders>
              <w:top w:val="nil"/>
              <w:left w:val="nil"/>
              <w:bottom w:val="nil"/>
              <w:right w:val="nil"/>
            </w:tcBorders>
            <w:noWrap/>
            <w:vAlign w:val="bottom"/>
          </w:tcPr>
          <w:p w:rsidR="00F403A0" w:rsidRPr="000F5F74" w:rsidRDefault="00F403A0" w:rsidP="007E0186">
            <w:pPr>
              <w:spacing w:after="0" w:line="240" w:lineRule="auto"/>
              <w:rPr>
                <w:rFonts w:ascii="Times New Roman" w:eastAsia="Times New Roman" w:hAnsi="Times New Roman" w:cs="Times New Roman"/>
                <w:sz w:val="24"/>
                <w:szCs w:val="24"/>
              </w:rPr>
            </w:pPr>
          </w:p>
        </w:tc>
      </w:tr>
    </w:tbl>
    <w:p w:rsidR="00C70A07" w:rsidRPr="00C70A07" w:rsidRDefault="00C70A07" w:rsidP="00C70A07">
      <w:pPr>
        <w:rPr>
          <w:rFonts w:cs="Times New Roman"/>
          <w:lang w:eastAsia="en-US"/>
        </w:rPr>
      </w:pPr>
    </w:p>
    <w:p w:rsidR="00B466AB" w:rsidRDefault="00B466AB">
      <w:pPr>
        <w:rPr>
          <w:rFonts w:ascii="Times New Roman" w:hAnsi="Times New Roman" w:cs="Times New Roman"/>
          <w:sz w:val="24"/>
          <w:szCs w:val="24"/>
        </w:rPr>
      </w:pPr>
    </w:p>
    <w:p w:rsidR="00AF4B0F" w:rsidRDefault="00AF4B0F">
      <w:pPr>
        <w:rPr>
          <w:rFonts w:ascii="Times New Roman" w:hAnsi="Times New Roman" w:cs="Times New Roman"/>
          <w:sz w:val="24"/>
          <w:szCs w:val="24"/>
        </w:rPr>
      </w:pPr>
    </w:p>
    <w:p w:rsidR="00F403A0" w:rsidRDefault="00F403A0">
      <w:pPr>
        <w:rPr>
          <w:rFonts w:ascii="Times New Roman" w:hAnsi="Times New Roman" w:cs="Times New Roman"/>
          <w:sz w:val="24"/>
          <w:szCs w:val="24"/>
        </w:rPr>
        <w:sectPr w:rsidR="00F403A0" w:rsidSect="00F403A0">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pgNumType w:start="1"/>
          <w:cols w:space="708"/>
          <w:docGrid w:linePitch="360"/>
        </w:sectPr>
      </w:pPr>
    </w:p>
    <w:p w:rsidR="00C70A07" w:rsidRPr="00C70A07" w:rsidRDefault="00C70A07" w:rsidP="00C70A07">
      <w:pPr>
        <w:widowControl w:val="0"/>
        <w:adjustRightInd w:val="0"/>
        <w:spacing w:after="0" w:line="240" w:lineRule="auto"/>
        <w:jc w:val="center"/>
        <w:rPr>
          <w:rFonts w:ascii="Times New Roman" w:eastAsia="Times New Roman" w:hAnsi="Times New Roman" w:cs="Times New Roman"/>
          <w:b/>
          <w:bCs/>
          <w:caps/>
          <w:spacing w:val="30"/>
          <w:sz w:val="24"/>
          <w:szCs w:val="24"/>
          <w:lang w:eastAsia="en-US"/>
        </w:rPr>
      </w:pPr>
      <w:r w:rsidRPr="00C70A07">
        <w:rPr>
          <w:rFonts w:ascii="Times New Roman" w:eastAsia="Times New Roman" w:hAnsi="Times New Roman" w:cs="Times New Roman"/>
          <w:b/>
          <w:bCs/>
          <w:caps/>
          <w:spacing w:val="30"/>
          <w:sz w:val="24"/>
          <w:szCs w:val="24"/>
          <w:lang w:eastAsia="en-US"/>
        </w:rPr>
        <w:lastRenderedPageBreak/>
        <w:t>Doložka zlučiteľnosti</w:t>
      </w:r>
    </w:p>
    <w:p w:rsidR="00C70A07" w:rsidRPr="00C70A07" w:rsidRDefault="00C70A07" w:rsidP="00C70A07">
      <w:pPr>
        <w:widowControl w:val="0"/>
        <w:adjustRightInd w:val="0"/>
        <w:spacing w:after="0" w:line="240" w:lineRule="auto"/>
        <w:jc w:val="center"/>
        <w:rPr>
          <w:rFonts w:ascii="Times New Roman" w:eastAsia="Times New Roman" w:hAnsi="Times New Roman" w:cs="Verdana"/>
          <w:b/>
          <w:bCs/>
          <w:sz w:val="24"/>
          <w:szCs w:val="24"/>
          <w:lang w:eastAsia="en-US"/>
        </w:rPr>
      </w:pPr>
      <w:r w:rsidRPr="00C70A07">
        <w:rPr>
          <w:rFonts w:ascii="Times New Roman" w:eastAsia="Times New Roman" w:hAnsi="Times New Roman" w:cs="Times New Roman"/>
          <w:b/>
          <w:bCs/>
          <w:sz w:val="24"/>
          <w:szCs w:val="24"/>
          <w:lang w:eastAsia="en-US"/>
        </w:rPr>
        <w:t>návrhu zákona s právom Európskej únie</w:t>
      </w:r>
      <w:r w:rsidRPr="00C70A07">
        <w:rPr>
          <w:rFonts w:ascii="Times New Roman" w:eastAsia="Times New Roman" w:hAnsi="Times New Roman" w:cs="Verdana"/>
          <w:b/>
          <w:bCs/>
          <w:sz w:val="24"/>
          <w:szCs w:val="24"/>
          <w:lang w:eastAsia="en-US"/>
        </w:rPr>
        <w:t> </w:t>
      </w:r>
    </w:p>
    <w:p w:rsidR="00C70A07" w:rsidRPr="00C70A07" w:rsidRDefault="00C70A07" w:rsidP="00C70A07">
      <w:pPr>
        <w:widowControl w:val="0"/>
        <w:adjustRightInd w:val="0"/>
        <w:spacing w:after="0" w:line="240" w:lineRule="auto"/>
        <w:rPr>
          <w:rFonts w:ascii="Times New Roman" w:eastAsia="Times New Roman" w:hAnsi="Times New Roman" w:cs="Verdana"/>
          <w:sz w:val="24"/>
          <w:szCs w:val="24"/>
          <w:lang w:eastAsia="en-US"/>
        </w:rPr>
      </w:pPr>
    </w:p>
    <w:p w:rsidR="00C70A07" w:rsidRPr="00C70A07" w:rsidRDefault="00C70A07" w:rsidP="00C70A07">
      <w:pPr>
        <w:widowControl w:val="0"/>
        <w:adjustRightInd w:val="0"/>
        <w:spacing w:after="0" w:line="240" w:lineRule="auto"/>
        <w:rPr>
          <w:rFonts w:ascii="Times New Roman" w:eastAsia="Times New Roman" w:hAnsi="Times New Roman" w:cs="Verdana"/>
          <w:sz w:val="24"/>
          <w:szCs w:val="24"/>
          <w:lang w:eastAsia="en-US"/>
        </w:rPr>
      </w:pPr>
    </w:p>
    <w:p w:rsidR="00C70A07" w:rsidRPr="00C70A07" w:rsidRDefault="00C70A07" w:rsidP="00C70A07">
      <w:pPr>
        <w:widowControl w:val="0"/>
        <w:adjustRightInd w:val="0"/>
        <w:spacing w:after="0" w:line="240" w:lineRule="auto"/>
        <w:ind w:left="360" w:hanging="360"/>
        <w:rPr>
          <w:rFonts w:ascii="Times New Roman" w:eastAsia="Times New Roman" w:hAnsi="Times New Roman" w:cs="Verdana"/>
          <w:b/>
          <w:bCs/>
          <w:sz w:val="24"/>
          <w:szCs w:val="24"/>
          <w:lang w:eastAsia="en-US"/>
        </w:rPr>
      </w:pPr>
      <w:r w:rsidRPr="00C70A07">
        <w:rPr>
          <w:rFonts w:ascii="Times New Roman" w:eastAsia="Times New Roman" w:hAnsi="Times New Roman" w:cs="Times New Roman"/>
          <w:b/>
          <w:bCs/>
          <w:sz w:val="24"/>
          <w:szCs w:val="24"/>
          <w:lang w:eastAsia="en-US"/>
        </w:rPr>
        <w:t>1.</w:t>
      </w:r>
      <w:r w:rsidRPr="00C70A07">
        <w:rPr>
          <w:rFonts w:ascii="Times New Roman" w:eastAsia="Times New Roman" w:hAnsi="Times New Roman" w:cs="Times New Roman"/>
          <w:b/>
          <w:bCs/>
          <w:sz w:val="24"/>
          <w:szCs w:val="24"/>
          <w:lang w:eastAsia="en-US"/>
        </w:rPr>
        <w:tab/>
        <w:t>Navrhovateľ zákona:</w:t>
      </w:r>
      <w:r w:rsidRPr="00C70A07">
        <w:rPr>
          <w:rFonts w:ascii="Times New Roman" w:eastAsia="Times New Roman" w:hAnsi="Times New Roman" w:cs="Times New Roman"/>
          <w:sz w:val="24"/>
          <w:szCs w:val="24"/>
          <w:lang w:eastAsia="en-US"/>
        </w:rPr>
        <w:t xml:space="preserve"> </w:t>
      </w:r>
      <w:r w:rsidRPr="00C70A07">
        <w:rPr>
          <w:rFonts w:ascii="Times New Roman" w:eastAsia="Times New Roman" w:hAnsi="Times New Roman" w:cs="Times New Roman"/>
          <w:sz w:val="24"/>
          <w:szCs w:val="24"/>
        </w:rPr>
        <w:t>Ministerstvo vnútra Slovenskej republiky</w:t>
      </w:r>
    </w:p>
    <w:p w:rsidR="00C70A07" w:rsidRPr="00C70A07" w:rsidRDefault="00C70A07" w:rsidP="00C70A07">
      <w:pPr>
        <w:widowControl w:val="0"/>
        <w:tabs>
          <w:tab w:val="left" w:pos="360"/>
        </w:tabs>
        <w:adjustRightInd w:val="0"/>
        <w:spacing w:after="0" w:line="240" w:lineRule="auto"/>
        <w:ind w:left="360"/>
        <w:rPr>
          <w:rFonts w:ascii="Times New Roman" w:eastAsia="Times New Roman" w:hAnsi="Times New Roman" w:cs="Times New Roman"/>
          <w:sz w:val="24"/>
          <w:szCs w:val="24"/>
          <w:lang w:eastAsia="en-US"/>
        </w:rPr>
      </w:pPr>
      <w:r w:rsidRPr="00C70A07">
        <w:rPr>
          <w:rFonts w:ascii="Times New Roman" w:eastAsia="Times New Roman" w:hAnsi="Times New Roman" w:cs="Times New Roman"/>
          <w:sz w:val="24"/>
          <w:szCs w:val="24"/>
          <w:lang w:eastAsia="en-US"/>
        </w:rPr>
        <w:t xml:space="preserve"> </w:t>
      </w:r>
    </w:p>
    <w:p w:rsidR="00C70A07" w:rsidRPr="00C70A07" w:rsidRDefault="00C70A07" w:rsidP="00C70A07">
      <w:pPr>
        <w:widowControl w:val="0"/>
        <w:adjustRightInd w:val="0"/>
        <w:spacing w:after="0" w:line="240" w:lineRule="auto"/>
        <w:ind w:left="360" w:hanging="360"/>
        <w:jc w:val="both"/>
        <w:rPr>
          <w:rFonts w:ascii="Times New Roman" w:eastAsia="Times New Roman" w:hAnsi="Times New Roman" w:cs="Times New Roman"/>
          <w:sz w:val="24"/>
          <w:szCs w:val="24"/>
          <w:lang w:eastAsia="en-US"/>
        </w:rPr>
      </w:pPr>
      <w:r w:rsidRPr="00C70A07">
        <w:rPr>
          <w:rFonts w:ascii="Times New Roman" w:eastAsia="Times New Roman" w:hAnsi="Times New Roman" w:cs="Times New Roman"/>
          <w:b/>
          <w:bCs/>
          <w:sz w:val="24"/>
          <w:szCs w:val="24"/>
          <w:lang w:eastAsia="en-US"/>
        </w:rPr>
        <w:t>2.</w:t>
      </w:r>
      <w:r w:rsidRPr="00C70A07">
        <w:rPr>
          <w:rFonts w:ascii="Times New Roman" w:eastAsia="Times New Roman" w:hAnsi="Times New Roman" w:cs="Times New Roman"/>
          <w:b/>
          <w:bCs/>
          <w:sz w:val="24"/>
          <w:szCs w:val="24"/>
          <w:lang w:eastAsia="en-US"/>
        </w:rPr>
        <w:tab/>
        <w:t>Názov návrhu právneho predpisu:</w:t>
      </w:r>
      <w:r w:rsidRPr="00C70A07">
        <w:rPr>
          <w:rFonts w:ascii="Times New Roman" w:eastAsia="Times New Roman" w:hAnsi="Times New Roman" w:cs="Times New Roman"/>
          <w:sz w:val="24"/>
          <w:szCs w:val="24"/>
          <w:lang w:eastAsia="en-US"/>
        </w:rPr>
        <w:t xml:space="preserve"> </w:t>
      </w:r>
      <w:r w:rsidRPr="00C70A07">
        <w:rPr>
          <w:rFonts w:ascii="Times New Roman" w:eastAsia="Times New Roman" w:hAnsi="Times New Roman" w:cs="Times New Roman"/>
          <w:sz w:val="24"/>
          <w:szCs w:val="24"/>
        </w:rPr>
        <w:t>Návrh zákona o niektorých opatreniach v súvislosti so situáciou na Ukrajine</w:t>
      </w:r>
    </w:p>
    <w:p w:rsidR="00C70A07" w:rsidRPr="00C70A07" w:rsidRDefault="00C70A07" w:rsidP="00C70A07">
      <w:pPr>
        <w:widowControl w:val="0"/>
        <w:adjustRightInd w:val="0"/>
        <w:spacing w:after="0" w:line="240" w:lineRule="auto"/>
        <w:ind w:left="360" w:hanging="360"/>
        <w:jc w:val="both"/>
        <w:rPr>
          <w:rFonts w:ascii="Times New Roman" w:eastAsia="Times New Roman" w:hAnsi="Times New Roman" w:cs="Times New Roman"/>
          <w:b/>
          <w:bCs/>
          <w:sz w:val="20"/>
          <w:szCs w:val="20"/>
          <w:lang w:eastAsia="en-US"/>
        </w:rPr>
      </w:pPr>
    </w:p>
    <w:p w:rsidR="00C70A07" w:rsidRPr="00C70A07" w:rsidRDefault="00C70A07" w:rsidP="00C70A07">
      <w:pPr>
        <w:widowControl w:val="0"/>
        <w:adjustRightInd w:val="0"/>
        <w:spacing w:after="0" w:line="240" w:lineRule="auto"/>
        <w:ind w:left="360" w:hanging="360"/>
        <w:jc w:val="both"/>
        <w:rPr>
          <w:rFonts w:ascii="Times New Roman" w:eastAsia="Times New Roman" w:hAnsi="Times New Roman" w:cs="Times New Roman"/>
          <w:b/>
          <w:bCs/>
          <w:sz w:val="20"/>
          <w:szCs w:val="20"/>
          <w:lang w:eastAsia="en-US"/>
        </w:rPr>
      </w:pPr>
    </w:p>
    <w:p w:rsidR="00C70A07" w:rsidRPr="00C70A07" w:rsidRDefault="00C70A07" w:rsidP="00C70A07">
      <w:pPr>
        <w:widowControl w:val="0"/>
        <w:adjustRightInd w:val="0"/>
        <w:spacing w:after="240" w:line="240" w:lineRule="auto"/>
        <w:jc w:val="both"/>
        <w:rPr>
          <w:rFonts w:ascii="Times New Roman" w:eastAsia="Times New Roman" w:hAnsi="Times New Roman" w:cs="Times New Roman"/>
          <w:sz w:val="24"/>
          <w:szCs w:val="24"/>
        </w:rPr>
      </w:pPr>
      <w:r w:rsidRPr="00C70A07">
        <w:rPr>
          <w:rFonts w:ascii="Times New Roman" w:eastAsia="Times New Roman" w:hAnsi="Times New Roman" w:cs="Times New Roman"/>
          <w:b/>
          <w:sz w:val="24"/>
          <w:szCs w:val="24"/>
        </w:rPr>
        <w:t>3.</w:t>
      </w:r>
      <w:r w:rsidRPr="00C70A07">
        <w:rPr>
          <w:rFonts w:ascii="Times New Roman" w:eastAsia="Times New Roman" w:hAnsi="Times New Roman" w:cs="Times New Roman"/>
          <w:sz w:val="24"/>
          <w:szCs w:val="24"/>
        </w:rPr>
        <w:t> </w:t>
      </w:r>
      <w:r w:rsidRPr="00C70A07">
        <w:rPr>
          <w:rFonts w:ascii="Times New Roman" w:eastAsia="Times New Roman" w:hAnsi="Times New Roman" w:cs="Times New Roman"/>
          <w:b/>
          <w:bCs/>
          <w:sz w:val="24"/>
          <w:szCs w:val="24"/>
        </w:rPr>
        <w:t>Predmet návrhu zákona</w:t>
      </w:r>
      <w:r w:rsidRPr="00C70A07">
        <w:rPr>
          <w:rFonts w:ascii="Times New Roman" w:eastAsia="Times New Roman" w:hAnsi="Times New Roman" w:cs="Times New Roman"/>
          <w:bCs/>
          <w:sz w:val="24"/>
          <w:szCs w:val="24"/>
        </w:rPr>
        <w:t xml:space="preserve"> </w:t>
      </w:r>
      <w:r w:rsidRPr="00C70A07">
        <w:rPr>
          <w:rFonts w:ascii="Times New Roman" w:eastAsia="Times New Roman" w:hAnsi="Times New Roman" w:cs="Times New Roman"/>
          <w:sz w:val="24"/>
          <w:szCs w:val="24"/>
        </w:rPr>
        <w:t>je upravený v práve Európskej únie:</w:t>
      </w:r>
    </w:p>
    <w:p w:rsidR="00C70A07" w:rsidRPr="00C70A07" w:rsidRDefault="00C70A07" w:rsidP="00C70A07">
      <w:pPr>
        <w:widowControl w:val="0"/>
        <w:numPr>
          <w:ilvl w:val="0"/>
          <w:numId w:val="4"/>
        </w:numPr>
        <w:tabs>
          <w:tab w:val="left" w:pos="709"/>
          <w:tab w:val="left" w:pos="1068"/>
        </w:tabs>
        <w:adjustRightInd w:val="0"/>
        <w:spacing w:after="240" w:line="240" w:lineRule="auto"/>
        <w:ind w:left="714" w:hanging="357"/>
        <w:jc w:val="both"/>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lang w:eastAsia="cs-CZ"/>
        </w:rPr>
        <w:t>v primárnom práve</w:t>
      </w:r>
    </w:p>
    <w:p w:rsidR="00C70A07" w:rsidRPr="000A416C" w:rsidRDefault="00C70A07" w:rsidP="000A416C">
      <w:pPr>
        <w:widowControl w:val="0"/>
        <w:numPr>
          <w:ilvl w:val="0"/>
          <w:numId w:val="6"/>
        </w:numPr>
        <w:tabs>
          <w:tab w:val="left" w:pos="709"/>
          <w:tab w:val="left" w:pos="1068"/>
        </w:tabs>
        <w:adjustRightInd w:val="0"/>
        <w:spacing w:before="120" w:after="0" w:line="240" w:lineRule="auto"/>
        <w:jc w:val="both"/>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lang w:eastAsia="cs-CZ"/>
        </w:rPr>
        <w:t>čl. 78 ods. 2 písm. c)  Zmluvy o fungovaní Európskej únie</w:t>
      </w:r>
      <w:r w:rsidRPr="000A416C">
        <w:rPr>
          <w:rFonts w:ascii="Times New Roman" w:eastAsia="Times New Roman" w:hAnsi="Times New Roman" w:cs="Times New Roman"/>
          <w:sz w:val="24"/>
          <w:szCs w:val="24"/>
          <w:lang w:eastAsia="cs-CZ"/>
        </w:rPr>
        <w:t>,</w:t>
      </w:r>
    </w:p>
    <w:p w:rsidR="00C70A07" w:rsidRPr="00C70A07" w:rsidRDefault="00C70A07" w:rsidP="00C70A07">
      <w:pPr>
        <w:widowControl w:val="0"/>
        <w:numPr>
          <w:ilvl w:val="0"/>
          <w:numId w:val="4"/>
        </w:numPr>
        <w:tabs>
          <w:tab w:val="left" w:pos="709"/>
          <w:tab w:val="left" w:pos="1068"/>
        </w:tabs>
        <w:adjustRightInd w:val="0"/>
        <w:spacing w:before="120" w:after="0" w:line="240" w:lineRule="auto"/>
        <w:ind w:left="714" w:hanging="357"/>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lang w:eastAsia="cs-CZ"/>
        </w:rPr>
        <w:t>v sekundárnom práve</w:t>
      </w:r>
    </w:p>
    <w:p w:rsidR="00C70A07" w:rsidRPr="00C70A07" w:rsidRDefault="00C70A07" w:rsidP="00C70A07">
      <w:pPr>
        <w:widowControl w:val="0"/>
        <w:numPr>
          <w:ilvl w:val="0"/>
          <w:numId w:val="5"/>
        </w:numPr>
        <w:adjustRightInd w:val="0"/>
        <w:spacing w:before="120" w:after="0" w:line="240" w:lineRule="auto"/>
        <w:ind w:left="1071" w:right="50" w:hanging="357"/>
        <w:contextualSpacing/>
        <w:jc w:val="both"/>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lang w:eastAsia="cs-CZ"/>
        </w:rPr>
        <w:t>smernica Rady 2001/55/ES z 20. júla 2001 o minimálnych štandardoch na poskytovanie dočasnej ochrany v prípade hromadného prílevu vysídlených osôb a o opatreniach na podporu rovnováhy úsilia medzi členskými štátmi pri prijímaní takýchto osôb a znášaní z toho vyplývajúcich dôsledkov (Ú. v. ES L 212, 7.8.2001, Mimoriadne vydanie Ú. v. EÚ, kap. 19/zv. 004), gestor: Ministerstvo vnútra Slovenskej republiky,</w:t>
      </w:r>
    </w:p>
    <w:p w:rsidR="00C70A07" w:rsidRPr="00C70A07" w:rsidRDefault="00C70A07" w:rsidP="00C70A07">
      <w:pPr>
        <w:spacing w:before="120" w:after="0" w:line="240" w:lineRule="auto"/>
        <w:ind w:left="714" w:right="50"/>
        <w:contextualSpacing/>
        <w:jc w:val="both"/>
        <w:rPr>
          <w:rFonts w:ascii="Times New Roman" w:eastAsia="Times New Roman" w:hAnsi="Times New Roman" w:cs="Times New Roman"/>
          <w:sz w:val="24"/>
          <w:szCs w:val="24"/>
          <w:shd w:val="clear" w:color="auto" w:fill="FFFFFF"/>
          <w:lang w:eastAsia="cs-CZ"/>
        </w:rPr>
      </w:pPr>
      <w:r w:rsidRPr="00C70A07">
        <w:rPr>
          <w:rFonts w:ascii="Times New Roman" w:eastAsia="Times New Roman" w:hAnsi="Times New Roman" w:cs="Times New Roman"/>
          <w:sz w:val="24"/>
          <w:szCs w:val="24"/>
          <w:shd w:val="clear" w:color="auto" w:fill="FFFFFF"/>
          <w:lang w:eastAsia="cs-CZ"/>
        </w:rPr>
        <w:t> </w:t>
      </w:r>
    </w:p>
    <w:p w:rsidR="00C70A07" w:rsidRPr="00C70A07" w:rsidRDefault="00C70A07" w:rsidP="00C70A07">
      <w:pPr>
        <w:widowControl w:val="0"/>
        <w:numPr>
          <w:ilvl w:val="0"/>
          <w:numId w:val="4"/>
        </w:numPr>
        <w:adjustRightInd w:val="0"/>
        <w:spacing w:before="120" w:after="0" w:line="240" w:lineRule="auto"/>
        <w:ind w:left="1134" w:right="-142" w:hanging="774"/>
        <w:contextualSpacing/>
        <w:jc w:val="both"/>
        <w:rPr>
          <w:rFonts w:ascii="Times New Roman" w:eastAsia="Times New Roman" w:hAnsi="Times New Roman" w:cs="Times New Roman"/>
          <w:sz w:val="24"/>
          <w:szCs w:val="24"/>
          <w:shd w:val="clear" w:color="auto" w:fill="FFFFFF"/>
          <w:lang w:eastAsia="cs-CZ"/>
        </w:rPr>
      </w:pPr>
      <w:r w:rsidRPr="00C70A07">
        <w:rPr>
          <w:rFonts w:ascii="Times New Roman" w:eastAsia="Times New Roman" w:hAnsi="Times New Roman" w:cs="Times New Roman"/>
          <w:sz w:val="24"/>
          <w:szCs w:val="24"/>
          <w:shd w:val="clear" w:color="auto" w:fill="FFFFFF"/>
          <w:lang w:eastAsia="cs-CZ"/>
        </w:rPr>
        <w:t>v judikatúre Súdneho dvora Európskej únie – bezpredmetné.</w:t>
      </w:r>
    </w:p>
    <w:p w:rsidR="00C70A07" w:rsidRPr="00C70A07" w:rsidRDefault="00C70A07" w:rsidP="00C70A07">
      <w:pPr>
        <w:widowControl w:val="0"/>
        <w:adjustRightInd w:val="0"/>
        <w:spacing w:before="120" w:after="0" w:line="240" w:lineRule="auto"/>
        <w:ind w:right="-142"/>
        <w:jc w:val="both"/>
        <w:rPr>
          <w:rFonts w:ascii="Times New Roman" w:eastAsia="Times New Roman" w:hAnsi="Times New Roman" w:cs="Times New Roman"/>
          <w:sz w:val="24"/>
          <w:szCs w:val="24"/>
          <w:shd w:val="clear" w:color="auto" w:fill="FFFFFF"/>
          <w:lang w:eastAsia="en-US"/>
        </w:rPr>
      </w:pPr>
    </w:p>
    <w:p w:rsidR="00C70A07" w:rsidRPr="00C70A07" w:rsidRDefault="00C70A07" w:rsidP="00C70A07">
      <w:pPr>
        <w:widowControl w:val="0"/>
        <w:adjustRightInd w:val="0"/>
        <w:spacing w:after="240" w:line="240" w:lineRule="auto"/>
        <w:jc w:val="both"/>
        <w:rPr>
          <w:rFonts w:ascii="Times New Roman" w:eastAsia="Times New Roman" w:hAnsi="Times New Roman" w:cs="Times New Roman"/>
          <w:b/>
          <w:sz w:val="24"/>
          <w:szCs w:val="24"/>
        </w:rPr>
      </w:pPr>
      <w:r w:rsidRPr="00C70A07">
        <w:rPr>
          <w:rFonts w:ascii="Times New Roman" w:eastAsia="Times New Roman" w:hAnsi="Times New Roman" w:cs="Times New Roman"/>
          <w:b/>
          <w:sz w:val="24"/>
          <w:szCs w:val="24"/>
        </w:rPr>
        <w:t xml:space="preserve">4. Záväzky Slovenskej republiky vo vzťahu k Európskej únii: </w:t>
      </w:r>
    </w:p>
    <w:p w:rsidR="00C70A07" w:rsidRPr="00C70A07" w:rsidRDefault="00C70A07" w:rsidP="00C70A07">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lang w:eastAsia="cs-CZ"/>
        </w:rPr>
        <w:t xml:space="preserve">lehota na prebranie príslušného právneho aktu Európskej únie, príp. aj osobitnú lehotu účinnosti jeho ustanovení –  smernica 2001/55/ES- 31. 12. 2002; </w:t>
      </w:r>
    </w:p>
    <w:p w:rsidR="00C70A07" w:rsidRPr="00C70A07" w:rsidRDefault="00C70A07" w:rsidP="00C70A07">
      <w:pPr>
        <w:widowControl w:val="0"/>
        <w:numPr>
          <w:ilvl w:val="0"/>
          <w:numId w:val="3"/>
        </w:numPr>
        <w:autoSpaceDE w:val="0"/>
        <w:autoSpaceDN w:val="0"/>
        <w:adjustRightInd w:val="0"/>
        <w:spacing w:after="120" w:line="240" w:lineRule="auto"/>
        <w:ind w:left="924" w:hanging="357"/>
        <w:jc w:val="both"/>
        <w:rPr>
          <w:rFonts w:ascii="Times New Roman" w:eastAsia="Times New Roman" w:hAnsi="Times New Roman" w:cs="Times New Roman"/>
          <w:sz w:val="24"/>
          <w:szCs w:val="24"/>
        </w:rPr>
      </w:pPr>
      <w:r w:rsidRPr="00C70A07">
        <w:rPr>
          <w:rFonts w:ascii="Times New Roman" w:eastAsia="Times New Roman" w:hAnsi="Times New Roman" w:cs="Times New Roman"/>
          <w:sz w:val="24"/>
          <w:szCs w:val="24"/>
        </w:rPr>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 bezpredmetné;</w:t>
      </w:r>
      <w:r w:rsidRPr="00C70A07">
        <w:rPr>
          <w:rFonts w:ascii="Times New Roman" w:eastAsia="Times New Roman" w:hAnsi="Times New Roman" w:cs="Times New Roman"/>
          <w:sz w:val="24"/>
          <w:szCs w:val="24"/>
          <w:shd w:val="clear" w:color="auto" w:fill="FFFFFF"/>
          <w:lang w:eastAsia="en-US"/>
        </w:rPr>
        <w:t xml:space="preserve">  </w:t>
      </w:r>
    </w:p>
    <w:p w:rsidR="00C70A07" w:rsidRPr="00C70A07" w:rsidRDefault="00C70A07" w:rsidP="00C70A07">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sz w:val="24"/>
          <w:szCs w:val="24"/>
          <w:lang w:eastAsia="cs-CZ"/>
        </w:rPr>
      </w:pPr>
      <w:r w:rsidRPr="00C70A07">
        <w:rPr>
          <w:rFonts w:ascii="Times New Roman" w:eastAsia="Times New Roman" w:hAnsi="Times New Roman" w:cs="Times New Roman"/>
          <w:sz w:val="24"/>
          <w:szCs w:val="24"/>
        </w:rPr>
        <w:t xml:space="preserve">informácia o právnych predpisoch, v ktorých sú uvádzané právne akty Európskej únie už prebrané, spolu s uvedením rozsahu ich prebrania, príp. potreby prijatia ďalších úprav – </w:t>
      </w:r>
      <w:r w:rsidRPr="00C70A07">
        <w:rPr>
          <w:rFonts w:ascii="Times New Roman" w:eastAsia="Times New Roman" w:hAnsi="Times New Roman" w:cs="Times New Roman"/>
          <w:sz w:val="24"/>
          <w:szCs w:val="24"/>
          <w:lang w:eastAsia="cs-CZ"/>
        </w:rPr>
        <w:t xml:space="preserve">smernica 2001/55/ES bola úplne prebratá do zákona </w:t>
      </w:r>
      <w:hyperlink r:id="rId20" w:history="1">
        <w:r w:rsidRPr="00C70A07">
          <w:rPr>
            <w:rFonts w:ascii="Times New Roman" w:eastAsia="Times New Roman" w:hAnsi="Times New Roman" w:cs="Times New Roman"/>
            <w:sz w:val="24"/>
            <w:szCs w:val="24"/>
            <w:lang w:eastAsia="cs-CZ"/>
          </w:rPr>
          <w:t xml:space="preserve"> č. 480/2002 Z. z. o azyle a o zmene a doplnení niektorých zákonov</w:t>
        </w:r>
      </w:hyperlink>
      <w:r w:rsidR="00BB55DC">
        <w:rPr>
          <w:rFonts w:ascii="Times New Roman" w:eastAsia="Times New Roman" w:hAnsi="Times New Roman" w:cs="Times New Roman"/>
          <w:sz w:val="24"/>
          <w:szCs w:val="24"/>
          <w:lang w:eastAsia="cs-CZ"/>
        </w:rPr>
        <w:t xml:space="preserve"> v znení neskorších predpisov.</w:t>
      </w:r>
    </w:p>
    <w:p w:rsidR="00C70A07" w:rsidRPr="00C70A07" w:rsidRDefault="00C70A07" w:rsidP="00C70A07">
      <w:pPr>
        <w:widowControl w:val="0"/>
        <w:adjustRightInd w:val="0"/>
        <w:spacing w:after="240" w:line="240" w:lineRule="auto"/>
        <w:rPr>
          <w:rFonts w:ascii="Times New Roman" w:eastAsia="Times New Roman" w:hAnsi="Times New Roman" w:cs="Verdana"/>
          <w:sz w:val="24"/>
          <w:szCs w:val="24"/>
          <w:lang w:eastAsia="en-US"/>
        </w:rPr>
      </w:pPr>
      <w:r w:rsidRPr="00C70A07">
        <w:rPr>
          <w:rFonts w:ascii="Times New Roman" w:eastAsia="Times New Roman" w:hAnsi="Times New Roman" w:cs="Times New Roman"/>
          <w:b/>
          <w:sz w:val="24"/>
          <w:szCs w:val="24"/>
        </w:rPr>
        <w:t>5</w:t>
      </w:r>
      <w:r w:rsidRPr="00C70A07">
        <w:rPr>
          <w:rFonts w:ascii="Times New Roman" w:eastAsia="Times New Roman" w:hAnsi="Times New Roman" w:cs="Times New Roman"/>
          <w:sz w:val="24"/>
          <w:szCs w:val="24"/>
        </w:rPr>
        <w:t xml:space="preserve">. </w:t>
      </w:r>
      <w:r w:rsidRPr="00C70A07">
        <w:rPr>
          <w:rFonts w:ascii="Times New Roman" w:eastAsia="Times New Roman" w:hAnsi="Times New Roman" w:cs="Times New Roman"/>
          <w:b/>
          <w:sz w:val="24"/>
          <w:szCs w:val="24"/>
        </w:rPr>
        <w:t xml:space="preserve">Návrh zákona je zlučiteľný s právom Európskej únie: </w:t>
      </w:r>
      <w:r w:rsidRPr="00C70A07">
        <w:rPr>
          <w:rFonts w:ascii="Times New Roman" w:eastAsia="Times New Roman" w:hAnsi="Times New Roman" w:cs="Times New Roman"/>
          <w:sz w:val="24"/>
          <w:szCs w:val="24"/>
        </w:rPr>
        <w:t>úplne</w:t>
      </w:r>
    </w:p>
    <w:p w:rsidR="00B466AB" w:rsidRDefault="00B466AB" w:rsidP="00B466AB">
      <w:pPr>
        <w:rPr>
          <w:rFonts w:ascii="Times New Roman" w:hAnsi="Times New Roman" w:cs="Times New Roman"/>
        </w:rPr>
      </w:pPr>
    </w:p>
    <w:p w:rsidR="00BB55DC" w:rsidRDefault="00BB55DC">
      <w:pPr>
        <w:spacing w:after="200" w:line="276" w:lineRule="auto"/>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br w:type="page"/>
      </w:r>
    </w:p>
    <w:p w:rsidR="00B466AB" w:rsidRDefault="00B466AB" w:rsidP="00B466AB">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DÔVODOVÁ SPRÁVA</w:t>
      </w:r>
    </w:p>
    <w:p w:rsidR="00B466AB" w:rsidRDefault="00B466AB" w:rsidP="00B466AB">
      <w:pPr>
        <w:spacing w:after="0" w:line="240" w:lineRule="auto"/>
        <w:jc w:val="both"/>
        <w:rPr>
          <w:rFonts w:ascii="Times New Roman" w:eastAsia="Times New Roman" w:hAnsi="Times New Roman" w:cs="Times New Roman"/>
          <w:sz w:val="24"/>
          <w:szCs w:val="24"/>
        </w:rPr>
      </w:pPr>
    </w:p>
    <w:p w:rsidR="00B466AB" w:rsidRDefault="00B466AB" w:rsidP="00B466A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 Osobitná časť</w:t>
      </w:r>
    </w:p>
    <w:p w:rsidR="00B466AB" w:rsidRDefault="00B466AB" w:rsidP="00785AAC">
      <w:pPr>
        <w:spacing w:after="0" w:line="240" w:lineRule="auto"/>
      </w:pPr>
    </w:p>
    <w:p w:rsidR="00C70A07" w:rsidRPr="00C70A07" w:rsidRDefault="00C70A07" w:rsidP="00C70A07">
      <w:pPr>
        <w:spacing w:line="256" w:lineRule="auto"/>
        <w:rPr>
          <w:rFonts w:ascii="Times New Roman" w:hAnsi="Times New Roman" w:cs="Times New Roman"/>
          <w:b/>
          <w:sz w:val="24"/>
          <w:szCs w:val="24"/>
        </w:rPr>
      </w:pPr>
      <w:r w:rsidRPr="00C70A07">
        <w:rPr>
          <w:rFonts w:ascii="Times New Roman" w:hAnsi="Times New Roman" w:cs="Times New Roman"/>
          <w:b/>
          <w:sz w:val="24"/>
          <w:szCs w:val="24"/>
        </w:rPr>
        <w:t>K čl. I</w:t>
      </w:r>
    </w:p>
    <w:p w:rsidR="00C70A07" w:rsidRPr="00C70A07" w:rsidRDefault="00C70A07" w:rsidP="00C70A07">
      <w:pPr>
        <w:spacing w:after="240" w:line="240" w:lineRule="auto"/>
        <w:ind w:firstLine="284"/>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 xml:space="preserve">Aktuálny nepriaznivý vývoj situácie </w:t>
      </w:r>
      <w:r w:rsidRPr="00C70A07">
        <w:rPr>
          <w:rFonts w:ascii="Times New Roman" w:hAnsi="Times New Roman" w:cs="Times New Roman"/>
          <w:sz w:val="24"/>
          <w:szCs w:val="24"/>
        </w:rPr>
        <w:t>na  Ukrajine po uznaní separatistických oblastí na východe jej územia Ruskou federáciou a následných ruských vojenských operácií na území Ukrajiny u</w:t>
      </w:r>
      <w:r w:rsidRPr="00C70A07">
        <w:rPr>
          <w:rFonts w:ascii="Times New Roman" w:hAnsi="Times New Roman" w:cs="Times New Roman"/>
          <w:sz w:val="24"/>
          <w:szCs w:val="24"/>
          <w:lang w:eastAsia="en-US"/>
        </w:rPr>
        <w:t>kázal potrebu dôslednej prípravy Slovenskej republiky na dopady takéhoto vývoja, ktoré môžu vyústiť do masovej migrácie cudzincov na naše územie. V dôsledku toho bude potrebné realizovať aj opatrenia, ktoré náš právny poriadok spája práve s manažmentom krízových situácií. Uplatneniu týchto opatrení v praxi však nevyhnutne musí predchádzať vyhlásenie príslušnej krízovej situácie. Navrhuje sa preto zakotviť do zákona o civilnej ochrane hromadný prílev cudzincov ako udalosť, ktorá umožňuje vyhlásenie mimoriadnej situácie. Po jej vyhlásení sa budú môcť realizovať príslušné opatrenia hospodárskej mobilizácie, a to najmä vecné plnenia s ohľadom na potrebu zabezpečenia ubytovania cudzincov, organizáciu dopravného zabezpečenia alebo organizáciu zdravotníckeho zabezpečenia, prípadne s tým súvisiace uloženie pracovnej povinnosti.</w:t>
      </w:r>
    </w:p>
    <w:p w:rsidR="00C70A07" w:rsidRPr="00C70A07" w:rsidRDefault="00C70A07" w:rsidP="00C70A07">
      <w:pPr>
        <w:spacing w:after="24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čl. II</w:t>
      </w:r>
    </w:p>
    <w:p w:rsidR="00C70A07" w:rsidRPr="00C70A07" w:rsidRDefault="00C70A07" w:rsidP="00C70A07">
      <w:pPr>
        <w:spacing w:after="0" w:line="240" w:lineRule="auto"/>
        <w:jc w:val="both"/>
        <w:rPr>
          <w:rFonts w:ascii="Times New Roman" w:hAnsi="Times New Roman" w:cs="Times New Roman"/>
          <w:b/>
          <w:sz w:val="24"/>
          <w:szCs w:val="24"/>
        </w:rPr>
      </w:pPr>
      <w:r w:rsidRPr="00C70A07">
        <w:rPr>
          <w:rFonts w:ascii="Times New Roman" w:hAnsi="Times New Roman" w:cs="Times New Roman"/>
          <w:b/>
          <w:sz w:val="24"/>
          <w:szCs w:val="24"/>
        </w:rPr>
        <w:t>K bodu 1 (§ 29 ods. 2)</w:t>
      </w:r>
    </w:p>
    <w:p w:rsidR="00C70A07" w:rsidRPr="00C70A07" w:rsidRDefault="00C70A07" w:rsidP="00C70A07">
      <w:pPr>
        <w:spacing w:after="0" w:line="240" w:lineRule="auto"/>
        <w:jc w:val="both"/>
        <w:rPr>
          <w:rFonts w:ascii="Times New Roman" w:hAnsi="Times New Roman" w:cs="Times New Roman"/>
          <w:sz w:val="24"/>
          <w:szCs w:val="24"/>
        </w:rPr>
      </w:pPr>
      <w:r w:rsidRPr="00C70A07">
        <w:rPr>
          <w:rFonts w:ascii="Times New Roman" w:hAnsi="Times New Roman" w:cs="Times New Roman"/>
          <w:sz w:val="24"/>
          <w:szCs w:val="24"/>
        </w:rPr>
        <w:tab/>
        <w:t>Umožňuje sa, aby mohla vláda vyhlásiť poskytovanie dočasného útočiska aj bez rozhodnutia Rady Európskej únie. Vytvárajú sa tým predpoklady na riešenie dôsledkov masívneho prílevu cudzincov na územie našej republiky ako reakcie na prípadný ozbrojený konflikt v dôsledku eskalácie napätia po uznaní  separatistických oblastí na východe Ukrajiny Ruskou federáciou.</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bodu 2 (§ 30 ods. 1)</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Explicitne sa ustanovuje moment začatia konania o poskytnutie dočasného útočiska. Zastupovanie maloletých a povinnosť maloletého byť prítomný pri podávaní vyhlásenia z dôvodu zamedzenia fiktívnym žiadostiam o poskytnutie dočasného útočiska sa navrhuje riešiť obdobne ako v konaní o udelenie azylu. Tiež sa riešia prípady, kedy sa konanie o poskytnutie dočasného útočiska nezačne.</w:t>
      </w:r>
      <w:r w:rsidRPr="00C70A07">
        <w:rPr>
          <w:rFonts w:ascii="Times New Roman" w:hAnsi="Times New Roman" w:cs="Times New Roman"/>
          <w:sz w:val="24"/>
          <w:szCs w:val="24"/>
          <w:lang w:eastAsia="en-US"/>
        </w:rPr>
        <w:tab/>
      </w:r>
    </w:p>
    <w:p w:rsidR="00C70A07" w:rsidRPr="00C70A07" w:rsidRDefault="00C70A07" w:rsidP="00C70A07">
      <w:pPr>
        <w:spacing w:after="0" w:line="240" w:lineRule="auto"/>
        <w:jc w:val="both"/>
        <w:rPr>
          <w:rFonts w:ascii="Times New Roman" w:hAnsi="Times New Roman" w:cs="Times New Roman"/>
          <w:b/>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bodom 3  a 5  (§ 31 ods. 3,  4 a § 31 ods. 7 písm. f)</w:t>
      </w:r>
      <w:r w:rsidRPr="00C70A07">
        <w:rPr>
          <w:rFonts w:ascii="Times New Roman" w:hAnsi="Times New Roman" w:cs="Times New Roman"/>
          <w:sz w:val="24"/>
          <w:szCs w:val="24"/>
          <w:lang w:eastAsia="en-US"/>
        </w:rPr>
        <w:t>)</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Takisto, ako je to v prípade konania o udelenie azylu, nebude potrebné žiadať o poskytnutie dočasného útočiska vo vzťahu k deťom narodeným na území Slovenskej republiky cudzinke žiadajúcej o poskytnutie dočasného útočiska alebo cudzinke, ktorej sa poskytlo dočasné útočisko. Tieto deti budú žiadateľmi priamo zo zákona, ich zákonný zástupca však bude povinný v ustanovenej lehote poskytnúť údaje potrebné na rozhodnutie. Nesplnenie tejto povinnosti bude mať za následok zastavenie konania o poskytnutie dočasného útočiska vo vzťahu k tomuto dieťaťu.</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bodu 4 (§ 31 ods. 6)</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Vzhľadom na možný veľký nápor na rozhodovanie migračného úradu v súvislosti s hromadným prílevom cudzincov môžu byť súčasné lehoty na rozhodovanie nepostačujúce, a preto sa navrhuje ich predĺženie z 15 dní  na 30 dní. Okrem toho sa pojmovo zosúlaďuje zákon o azyle so zákonom o štátnej službe.</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BB55DC" w:rsidRDefault="00BB55DC" w:rsidP="00C70A07">
      <w:pPr>
        <w:spacing w:after="0" w:line="240" w:lineRule="auto"/>
        <w:jc w:val="both"/>
        <w:rPr>
          <w:rFonts w:ascii="Times New Roman" w:hAnsi="Times New Roman" w:cs="Times New Roman"/>
          <w:b/>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lastRenderedPageBreak/>
        <w:t>K bodu 6 (§ 31 ods. 8 a 9)</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Legislatívno-technická úprava odkazov v súvislosti s vložením nových odsekov do § 31.</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bodu 7 (§ 31 ods. 11)</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 xml:space="preserve">Je žiaduce doplniť dôvody na zamietnutie žiadosti o poskytnutie dočasného útočiska aj o prípady, ktoré sú dôvodom na zrušenie poskytnutého dočasného útočiska a môžu sa uplatniť už v konaní o jeho poskytnutí. Ide predovšetkým o zistenia závažnej trestnej činnosti cudzincov, resp. skutočnosti, kedy ich možno považovať za nebezpečných pre bezpečnosť Slovenskej republiky. </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bodu 8  (§ 32 ods. 1 písm. e) a f))</w:t>
      </w:r>
    </w:p>
    <w:p w:rsidR="00C70A07" w:rsidRPr="00C70A07" w:rsidRDefault="00C70A07" w:rsidP="00C70A07">
      <w:pPr>
        <w:spacing w:after="0" w:line="240" w:lineRule="auto"/>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 xml:space="preserve">Dopĺňajú sa dôvody zániku poskytovania dočasného útočiska vo vzťahu k poskytnutiu ochrany iným členským štátom Európskej únie alebo získaniu pobytu bez časového obmedzenia iným štátom. V týchto prípadoch je ďalšie poskytovanie dočasného útočiska na území Slovenskej republiky neodôvodnené. </w:t>
      </w:r>
    </w:p>
    <w:p w:rsidR="00C70A07" w:rsidRPr="00C70A07" w:rsidRDefault="00C70A07" w:rsidP="00C70A07">
      <w:pPr>
        <w:spacing w:after="0" w:line="240" w:lineRule="auto"/>
        <w:jc w:val="both"/>
        <w:rPr>
          <w:rFonts w:ascii="Times New Roman" w:hAnsi="Times New Roman" w:cs="Times New Roman"/>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bodom 9 a 10 (§ 35 a § 36 ods. 1)</w:t>
      </w:r>
    </w:p>
    <w:p w:rsidR="00C70A07" w:rsidRPr="00C70A07" w:rsidRDefault="00C70A07" w:rsidP="00C70A07">
      <w:pPr>
        <w:spacing w:after="0" w:line="240" w:lineRule="auto"/>
        <w:ind w:firstLine="284"/>
        <w:jc w:val="both"/>
        <w:rPr>
          <w:rFonts w:ascii="Times New Roman" w:hAnsi="Times New Roman" w:cs="Times New Roman"/>
          <w:sz w:val="24"/>
          <w:szCs w:val="24"/>
          <w:lang w:eastAsia="en-US"/>
        </w:rPr>
      </w:pPr>
      <w:r w:rsidRPr="00C70A07">
        <w:rPr>
          <w:rFonts w:ascii="Times New Roman" w:hAnsi="Times New Roman" w:cs="Times New Roman"/>
          <w:sz w:val="24"/>
          <w:szCs w:val="24"/>
          <w:lang w:eastAsia="en-US"/>
        </w:rPr>
        <w:tab/>
        <w:t>Vo vzťahu k cudzincom žiadajúcim o poskytnutie dočasného útočiska a odídencom je potrebné rozšíriť aj aplikáciu § 23d, ktorý sa týka maloletých.</w:t>
      </w:r>
    </w:p>
    <w:p w:rsidR="00C70A07" w:rsidRPr="00C70A07" w:rsidRDefault="00C70A07" w:rsidP="00C70A07">
      <w:pPr>
        <w:spacing w:after="0" w:line="240" w:lineRule="auto"/>
        <w:jc w:val="both"/>
        <w:rPr>
          <w:rFonts w:ascii="Times New Roman" w:hAnsi="Times New Roman" w:cs="Times New Roman"/>
          <w:b/>
          <w:sz w:val="24"/>
          <w:szCs w:val="24"/>
          <w:lang w:eastAsia="en-US"/>
        </w:rPr>
      </w:pP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t>K čl. I</w:t>
      </w:r>
      <w:r w:rsidR="000A416C">
        <w:rPr>
          <w:rFonts w:ascii="Times New Roman" w:hAnsi="Times New Roman" w:cs="Times New Roman"/>
          <w:b/>
          <w:sz w:val="24"/>
          <w:szCs w:val="24"/>
          <w:lang w:eastAsia="en-US"/>
        </w:rPr>
        <w:t>II</w:t>
      </w:r>
    </w:p>
    <w:p w:rsidR="00C70A07" w:rsidRPr="00C70A07" w:rsidRDefault="00C70A07" w:rsidP="00C70A07">
      <w:pPr>
        <w:spacing w:after="0" w:line="240" w:lineRule="auto"/>
        <w:rPr>
          <w:rFonts w:ascii="Times New Roman" w:hAnsi="Times New Roman" w:cs="Times New Roman"/>
          <w:color w:val="000000"/>
          <w:sz w:val="24"/>
          <w:szCs w:val="24"/>
          <w:lang w:eastAsia="en-US"/>
        </w:rPr>
      </w:pPr>
    </w:p>
    <w:p w:rsidR="00C70A07" w:rsidRPr="00C70A07" w:rsidRDefault="00C70A07" w:rsidP="00C70A07">
      <w:pPr>
        <w:spacing w:after="0" w:line="240" w:lineRule="auto"/>
        <w:rPr>
          <w:rFonts w:ascii="Times New Roman" w:hAnsi="Times New Roman" w:cs="Times New Roman"/>
          <w:b/>
          <w:color w:val="000000"/>
          <w:sz w:val="24"/>
          <w:szCs w:val="24"/>
          <w:lang w:eastAsia="en-US"/>
        </w:rPr>
      </w:pPr>
      <w:r w:rsidRPr="00C70A07">
        <w:rPr>
          <w:rFonts w:ascii="Times New Roman" w:hAnsi="Times New Roman" w:cs="Times New Roman"/>
          <w:b/>
          <w:color w:val="000000"/>
          <w:sz w:val="24"/>
          <w:szCs w:val="24"/>
          <w:lang w:eastAsia="en-US"/>
        </w:rPr>
        <w:t>K bodu 1 (§ 5 ods. 1)</w:t>
      </w:r>
    </w:p>
    <w:p w:rsidR="00C70A07" w:rsidRPr="00C70A07" w:rsidRDefault="00C70A07" w:rsidP="00C70A07">
      <w:pPr>
        <w:spacing w:after="0" w:line="240" w:lineRule="auto"/>
        <w:ind w:firstLine="708"/>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 xml:space="preserve">Doplnením ustanovenia § </w:t>
      </w:r>
      <w:r w:rsidRPr="00C70A07">
        <w:rPr>
          <w:rFonts w:ascii="Times New Roman" w:hAnsi="Times New Roman" w:cs="Times New Roman"/>
          <w:sz w:val="24"/>
          <w:szCs w:val="24"/>
          <w:lang w:eastAsia="en-US"/>
        </w:rPr>
        <w:t xml:space="preserve">5 ods. 1 dochádza k úprave právomocí Národného bezpečnostného úradu (ďalej len „úrad“), ktorou sa zavádza inštitút „blokovania“, ktorý slúži na efektívne zamedzenie šírenia škodlivého obsahu na internete v súlade so vznesenou spoločenskou požiadavkou na zabezpečenie dôveryhodnosti služieb a aktivít poskytovaných prostredníctvom internetu a ochrany práv osôb zúčastňujúcich sa na týchto aktivitách, ako aj ochrany konečného užívateľa týchto služieb. Škodlivých aktivít na internete z roka na rok pribúda šírením škodlivého obsahu ako aj šírením dezinformácii a zavádzajúcich </w:t>
      </w:r>
      <w:r w:rsidRPr="00C70A07">
        <w:rPr>
          <w:rFonts w:ascii="Times New Roman" w:hAnsi="Times New Roman" w:cs="Times New Roman"/>
          <w:color w:val="000000"/>
          <w:sz w:val="24"/>
          <w:szCs w:val="24"/>
          <w:lang w:eastAsia="en-US"/>
        </w:rPr>
        <w:t xml:space="preserve">kampaní. </w:t>
      </w:r>
    </w:p>
    <w:p w:rsidR="00C70A07" w:rsidRPr="00C70A07" w:rsidRDefault="00C70A07" w:rsidP="00C70A07">
      <w:pPr>
        <w:spacing w:after="0" w:line="240" w:lineRule="auto"/>
        <w:rPr>
          <w:rFonts w:ascii="Times New Roman" w:hAnsi="Times New Roman" w:cs="Times New Roman"/>
          <w:color w:val="000000"/>
          <w:sz w:val="24"/>
          <w:szCs w:val="24"/>
          <w:lang w:eastAsia="en-US"/>
        </w:rPr>
      </w:pPr>
    </w:p>
    <w:p w:rsidR="00C70A07" w:rsidRPr="00C70A07" w:rsidRDefault="00C70A07" w:rsidP="00C70A07">
      <w:pPr>
        <w:spacing w:after="0" w:line="240" w:lineRule="auto"/>
        <w:rPr>
          <w:rFonts w:ascii="Times New Roman" w:hAnsi="Times New Roman" w:cs="Times New Roman"/>
          <w:b/>
          <w:color w:val="000000"/>
          <w:sz w:val="24"/>
          <w:szCs w:val="24"/>
          <w:lang w:eastAsia="en-US"/>
        </w:rPr>
      </w:pPr>
      <w:r w:rsidRPr="00C70A07">
        <w:rPr>
          <w:rFonts w:ascii="Times New Roman" w:hAnsi="Times New Roman" w:cs="Times New Roman"/>
          <w:b/>
          <w:color w:val="000000"/>
          <w:sz w:val="24"/>
          <w:szCs w:val="24"/>
          <w:lang w:eastAsia="en-US"/>
        </w:rPr>
        <w:t xml:space="preserve">K bodu 2 (§ 27b) </w:t>
      </w:r>
    </w:p>
    <w:p w:rsidR="00C70A07" w:rsidRPr="00C70A07" w:rsidRDefault="00C70A07" w:rsidP="00C70A07">
      <w:pPr>
        <w:spacing w:after="0" w:line="240" w:lineRule="auto"/>
        <w:ind w:firstLine="708"/>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V záujme zabezpečenia dôveryhodnosti služieb a aktivít poskytovaných prostredníctvom internetu a ochrany práv osôb zúčastňujúcich sa na týchto aktivitách, ako aj ochrany konečného užívateľa týchto služieb bola vznesená spoločenská požiadavka efektívneho zamedzovania škodlivých aktivít alebo škodlivého obsahu na internete. Zároveň rastie sofistikovanosť útokov a s neustále prebiehajúcou informatizáciou spoločnosti aj riziká spojené s úspešne vykonanými útokmi. Typy škodlivých aktivít spadajú do kompetencie rôznych štátnych orgánov. Množstvo útokov je vykonávaných buď plošne (napr. phishingové kampane lákajúce veľké množstvo používateľov kliknúť na rozoslaný link), alebo na svoju činnosť využíva identifikovateľný škodlivý obsah alebo sieťovú infraštruktúru (napr. riadiace servery botnet sietí, DNS servery k nim smerujúce, zariadenia vykonávajúce DDOS útoky a pod.). Z tohto dôvodu mnohé krajiny zavádzajú legislatívne podmienky a technické prostriedky na blokovanie nežiadúceho obsahu, IP adries, domén, URL, súborov a podobne. Úrad na túto potrebu adekvátne reaguje a svoje odborné schopnosti a kompetencie, ktoré využíva pri riešení kybernetických bezpečnostných incidentov primerane aplikuje aj na iné škodlivé aktivity na internete. Blokovanie infikovaných domén a IP adries je nutné považovať za reaktívne opatrenie vedúce k zamedzeniu prístupu k škodlivému obsahu. Dôvody, prečo využiť tento prostriedok, je možné zhrnúť do niekoľkých bodov:</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lastRenderedPageBreak/>
        <w:t>1. Ochrana používateľov napadnutých služieb a nevedomých používateľov podvodných služieb - ak je na šírenie škodlivého obsahu, vylákanie údajov alebo na ilegálne aktivity zneužitá legitímna doména alebo služba; zablokovanie obsahu alebo konkrétneho URL zabezpečí ochranu používateľov, ktorí túto službu alebo doménu využívajú.</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2. Zmiernenie alebo zamedzenie škodlivých následkov - blokovaním domén a IP adries so škodlivým obsahom či phishingom je takisto možné dosiahnuť zmiernenie následkov v podobe menšieho dopadu na potenciálne obete, resp. zasiahnutých používateľov. Rovnako aj včasným blokovaním možno zabezpečiť úplné zamedzenie škodlivých následkov, pretože nemusí dôjsť napríklad k stiahnutiu škodlivého obsahu alebo k dokončeniu všetkých fáz phishingovej kampane.</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3. Zastavenie šírenia škodlivého obsahu - v tomto bode ide najmä o šírenie malvéru, existenciu riadiacich serverov pre botnety, phishingové stránky a pod. Domény a IP adresy s takýmto obsahom sú využívané útočníkmi na nelegitímne ciele a ich blokovanie bráni ďalšiemu šíreniu takéhoto škodlivého obsahu.</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Navrhované ustanovenie upravuje, že úrad vykonáva blokovanie v rámci riešenia kybernetického bezpečnostného incidentu. V rámci riešenia kybernetického bezpečnostného incidentu vydá úrad rozhodnutie o blokovaní, v ktorom určí metódu (spôsob) blokovania a blokovanie vykoná. Spôsob blokovania musí vychádzať z metód uvedených vo všeobecne záväznom právnom predpise, ktorý vydá úrad.</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Samozrejme, ide o krajný prostriedok, nástroj, ktorý predstavuje zásah do práv subjektov, ale zároveň predstavuje aj riešenie kybernetického bezpečnostného incidentu v prípade, kedy sú iné nástroje neúčinné a protiprávna, resp. škodlivá aktivita naďalej pokračuje a ohrozuje konečného užívateľa. Zodpovednosť  za prípadnú škodu znáša úrad.</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Účelom ustanovenie je teda v konečnom dôsledku výšenie obranyschopnosti Slovenskej republiky voči kybernetickým útokom na významné informačné systémy z externého prostredia (internetu), najmä voči šíreniu škodlivého kódu zo sietí infikovaných počítačov a šíreniu škodlivej aktivity z IP adresného rozsahu SR.</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Rozhodnutiu úradu o blokovaní sa musí každý povinný subjekt podriadiť. Keďže ide o zásahy na rôznych úrovniach regulácie, úrad pri takomto zásahu môže požadovať súčinnosť rôznych zainteresovaných subjektov. Zmyslom je, aby blokovanie bolo vykonané s ohľadom na spojené riziká, aby bolo účelné, efektívne a zmysluplné.</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p>
    <w:p w:rsidR="00C70A07" w:rsidRPr="00C70A07" w:rsidRDefault="00C70A07" w:rsidP="00C70A07">
      <w:pPr>
        <w:spacing w:after="0" w:line="240" w:lineRule="auto"/>
        <w:jc w:val="both"/>
        <w:rPr>
          <w:rFonts w:ascii="Times New Roman" w:hAnsi="Times New Roman" w:cs="Times New Roman"/>
          <w:b/>
          <w:color w:val="000000"/>
          <w:sz w:val="24"/>
          <w:szCs w:val="24"/>
          <w:lang w:eastAsia="en-US"/>
        </w:rPr>
      </w:pPr>
      <w:r w:rsidRPr="00C70A07">
        <w:rPr>
          <w:rFonts w:ascii="Times New Roman" w:hAnsi="Times New Roman" w:cs="Times New Roman"/>
          <w:b/>
          <w:color w:val="000000"/>
          <w:sz w:val="24"/>
          <w:szCs w:val="24"/>
          <w:lang w:eastAsia="en-US"/>
        </w:rPr>
        <w:t>K bodu 2 (§ 27c)</w:t>
      </w:r>
    </w:p>
    <w:p w:rsidR="00C70A07" w:rsidRPr="00C70A07" w:rsidRDefault="00C70A07" w:rsidP="00C70A07">
      <w:pPr>
        <w:spacing w:after="0" w:line="240" w:lineRule="auto"/>
        <w:ind w:firstLine="708"/>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 xml:space="preserve">V nadväznosti na predchádzajúci paragraf sa ustanovuje možnosť vykonať blokovanie aj na základe žiadosti iného subjektu. Takouto žiadosťou sa rozumie vykonateľné rozhodnutie </w:t>
      </w:r>
    </w:p>
    <w:p w:rsidR="00C70A07" w:rsidRPr="00C70A07" w:rsidRDefault="00C70A07" w:rsidP="00C70A07">
      <w:pPr>
        <w:spacing w:after="0" w:line="240" w:lineRule="auto"/>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konkrétneho oprávneného subjektu podľa osobitných predpisov. Úrad v tomto prípade toto rozhodnutie vykoná s náležitou odbornosťou. Zákon dáva každému takémuto subjektu možnosť požiadať úrad o spoluprácu ešte pred vydaním svojho rozhodnutia, čím je možné predchádzať technicky nerealizovateľným rozhodnutiam či neprimeraným zásahom.</w:t>
      </w:r>
    </w:p>
    <w:p w:rsidR="00C70A07" w:rsidRPr="00C70A07" w:rsidRDefault="00C70A07" w:rsidP="00C70A07">
      <w:pPr>
        <w:spacing w:after="0" w:line="240" w:lineRule="auto"/>
        <w:rPr>
          <w:rFonts w:ascii="Times New Roman" w:hAnsi="Times New Roman" w:cs="Times New Roman"/>
          <w:color w:val="000000"/>
          <w:sz w:val="24"/>
          <w:szCs w:val="24"/>
          <w:lang w:eastAsia="en-US"/>
        </w:rPr>
      </w:pPr>
    </w:p>
    <w:p w:rsidR="00C70A07" w:rsidRPr="00C70A07" w:rsidRDefault="00C70A07" w:rsidP="00C70A07">
      <w:pPr>
        <w:spacing w:after="0" w:line="240" w:lineRule="auto"/>
        <w:rPr>
          <w:rFonts w:ascii="Times New Roman" w:hAnsi="Times New Roman" w:cs="Times New Roman"/>
          <w:b/>
          <w:color w:val="000000"/>
          <w:sz w:val="24"/>
          <w:szCs w:val="24"/>
          <w:lang w:eastAsia="en-US"/>
        </w:rPr>
      </w:pPr>
      <w:r w:rsidRPr="00C70A07">
        <w:rPr>
          <w:rFonts w:ascii="Times New Roman" w:hAnsi="Times New Roman" w:cs="Times New Roman"/>
          <w:b/>
          <w:color w:val="000000"/>
          <w:sz w:val="24"/>
          <w:szCs w:val="24"/>
          <w:lang w:eastAsia="en-US"/>
        </w:rPr>
        <w:t>K bodu 3 (§ 32 ods. 1)</w:t>
      </w:r>
    </w:p>
    <w:p w:rsidR="00C70A07" w:rsidRPr="00C70A07" w:rsidRDefault="00C70A07" w:rsidP="00C70A07">
      <w:pPr>
        <w:spacing w:after="0" w:line="240" w:lineRule="auto"/>
        <w:ind w:firstLine="708"/>
        <w:jc w:val="both"/>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Dopĺňa sa splnomocňujúce ustanovenie na vydanie vykonávacieho predpisu o pravidlách blokovania.</w:t>
      </w:r>
    </w:p>
    <w:p w:rsidR="00C70A07" w:rsidRPr="00C70A07" w:rsidRDefault="00C70A07" w:rsidP="00C70A07">
      <w:pPr>
        <w:spacing w:after="0" w:line="240" w:lineRule="auto"/>
        <w:rPr>
          <w:rFonts w:ascii="Times New Roman" w:hAnsi="Times New Roman" w:cs="Times New Roman"/>
          <w:color w:val="000000"/>
          <w:sz w:val="24"/>
          <w:szCs w:val="24"/>
          <w:lang w:eastAsia="en-US"/>
        </w:rPr>
      </w:pPr>
    </w:p>
    <w:p w:rsidR="00C70A07" w:rsidRPr="00C70A07" w:rsidRDefault="00C70A07" w:rsidP="00C70A07">
      <w:pPr>
        <w:spacing w:after="0" w:line="240" w:lineRule="auto"/>
        <w:rPr>
          <w:rFonts w:ascii="Times New Roman" w:hAnsi="Times New Roman" w:cs="Times New Roman"/>
          <w:b/>
          <w:color w:val="000000"/>
          <w:sz w:val="24"/>
          <w:szCs w:val="24"/>
          <w:lang w:eastAsia="en-US"/>
        </w:rPr>
      </w:pPr>
      <w:r w:rsidRPr="00C70A07">
        <w:rPr>
          <w:rFonts w:ascii="Times New Roman" w:hAnsi="Times New Roman" w:cs="Times New Roman"/>
          <w:b/>
          <w:color w:val="000000"/>
          <w:sz w:val="24"/>
          <w:szCs w:val="24"/>
          <w:lang w:eastAsia="en-US"/>
        </w:rPr>
        <w:t>K bodu 4 (§ 33 ods. 1)</w:t>
      </w:r>
    </w:p>
    <w:p w:rsidR="00C70A07" w:rsidRPr="00C70A07" w:rsidRDefault="00C70A07" w:rsidP="00C70A07">
      <w:pPr>
        <w:spacing w:after="0" w:line="240" w:lineRule="auto"/>
        <w:ind w:firstLine="708"/>
        <w:rPr>
          <w:rFonts w:ascii="Times New Roman" w:hAnsi="Times New Roman" w:cs="Times New Roman"/>
          <w:color w:val="000000"/>
          <w:sz w:val="24"/>
          <w:szCs w:val="24"/>
          <w:lang w:eastAsia="en-US"/>
        </w:rPr>
      </w:pPr>
      <w:r w:rsidRPr="00C70A07">
        <w:rPr>
          <w:rFonts w:ascii="Times New Roman" w:hAnsi="Times New Roman" w:cs="Times New Roman"/>
          <w:color w:val="000000"/>
          <w:sz w:val="24"/>
          <w:szCs w:val="24"/>
          <w:lang w:eastAsia="en-US"/>
        </w:rPr>
        <w:t>Legislatívno-technická úprava z dôvodu potreby aktualizácie vnútorných odkazov.</w:t>
      </w:r>
    </w:p>
    <w:p w:rsidR="00C70A07" w:rsidRPr="00C70A07" w:rsidRDefault="00C70A07" w:rsidP="00C70A07">
      <w:pPr>
        <w:spacing w:after="0" w:line="240" w:lineRule="auto"/>
        <w:jc w:val="both"/>
        <w:rPr>
          <w:rFonts w:ascii="Times New Roman" w:hAnsi="Times New Roman" w:cs="Times New Roman"/>
          <w:b/>
          <w:sz w:val="24"/>
          <w:szCs w:val="24"/>
          <w:lang w:eastAsia="en-US"/>
        </w:rPr>
      </w:pPr>
    </w:p>
    <w:p w:rsidR="00BB55DC" w:rsidRDefault="00BB55DC">
      <w:pPr>
        <w:spacing w:after="200"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br w:type="page"/>
      </w:r>
    </w:p>
    <w:p w:rsidR="00C70A07" w:rsidRPr="00C70A07" w:rsidRDefault="00C70A07" w:rsidP="00C70A07">
      <w:pPr>
        <w:spacing w:after="0" w:line="240" w:lineRule="auto"/>
        <w:jc w:val="both"/>
        <w:rPr>
          <w:rFonts w:ascii="Times New Roman" w:hAnsi="Times New Roman" w:cs="Times New Roman"/>
          <w:b/>
          <w:sz w:val="24"/>
          <w:szCs w:val="24"/>
          <w:lang w:eastAsia="en-US"/>
        </w:rPr>
      </w:pPr>
      <w:r w:rsidRPr="00C70A07">
        <w:rPr>
          <w:rFonts w:ascii="Times New Roman" w:hAnsi="Times New Roman" w:cs="Times New Roman"/>
          <w:b/>
          <w:sz w:val="24"/>
          <w:szCs w:val="24"/>
          <w:lang w:eastAsia="en-US"/>
        </w:rPr>
        <w:lastRenderedPageBreak/>
        <w:t xml:space="preserve">K čl. </w:t>
      </w:r>
      <w:r w:rsidR="000A416C">
        <w:rPr>
          <w:rFonts w:ascii="Times New Roman" w:hAnsi="Times New Roman" w:cs="Times New Roman"/>
          <w:b/>
          <w:sz w:val="24"/>
          <w:szCs w:val="24"/>
          <w:lang w:eastAsia="en-US"/>
        </w:rPr>
        <w:t>I</w:t>
      </w:r>
      <w:r w:rsidRPr="00C70A07">
        <w:rPr>
          <w:rFonts w:ascii="Times New Roman" w:hAnsi="Times New Roman" w:cs="Times New Roman"/>
          <w:b/>
          <w:sz w:val="24"/>
          <w:szCs w:val="24"/>
          <w:lang w:eastAsia="en-US"/>
        </w:rPr>
        <w:t>V</w:t>
      </w:r>
    </w:p>
    <w:p w:rsidR="00C70A07" w:rsidRPr="00C70A07" w:rsidRDefault="00C70A07" w:rsidP="00C70A07">
      <w:pPr>
        <w:spacing w:after="0" w:line="276" w:lineRule="auto"/>
        <w:ind w:firstLine="360"/>
        <w:jc w:val="both"/>
        <w:rPr>
          <w:rFonts w:ascii="Times New Roman" w:eastAsia="Times New Roman" w:hAnsi="Times New Roman" w:cs="Times New Roman"/>
          <w:sz w:val="24"/>
          <w:szCs w:val="24"/>
          <w:lang w:eastAsia="en-US"/>
        </w:rPr>
      </w:pPr>
      <w:r w:rsidRPr="00C70A07">
        <w:rPr>
          <w:rFonts w:ascii="Times New Roman" w:hAnsi="Times New Roman" w:cs="Times New Roman"/>
          <w:sz w:val="24"/>
          <w:szCs w:val="24"/>
          <w:lang w:eastAsia="en-US"/>
        </w:rPr>
        <w:t>Účinnosť zákona sa navrhuje dňom vyhlásenia z dôvodu invázie ruských vojsk na Ukrajinu a potreby okamžitej reakcie na ňu</w:t>
      </w:r>
      <w:r w:rsidRPr="00C70A07">
        <w:rPr>
          <w:rFonts w:ascii="Times New Roman" w:eastAsia="Times New Roman" w:hAnsi="Times New Roman" w:cs="Times New Roman"/>
          <w:sz w:val="24"/>
          <w:szCs w:val="24"/>
          <w:lang w:eastAsia="en-US"/>
        </w:rPr>
        <w:t>.</w:t>
      </w:r>
    </w:p>
    <w:p w:rsidR="00B466AB" w:rsidRDefault="00B466AB" w:rsidP="00B466AB">
      <w:pPr>
        <w:rPr>
          <w:rFonts w:ascii="Times New Roman" w:hAnsi="Times New Roman" w:cs="Times New Roman"/>
          <w:sz w:val="24"/>
          <w:szCs w:val="24"/>
        </w:rPr>
      </w:pPr>
    </w:p>
    <w:p w:rsidR="008C0753" w:rsidRPr="008C0753" w:rsidRDefault="008C0753" w:rsidP="008C0753">
      <w:pPr>
        <w:spacing w:after="0" w:line="240" w:lineRule="auto"/>
        <w:ind w:left="426" w:hanging="426"/>
        <w:jc w:val="both"/>
        <w:rPr>
          <w:rFonts w:ascii="Times New Roman" w:eastAsia="Times New Roman" w:hAnsi="Times New Roman" w:cs="Times New Roman"/>
          <w:bCs/>
          <w:sz w:val="24"/>
          <w:szCs w:val="24"/>
          <w:lang w:val="cs-CZ" w:eastAsia="cs-CZ"/>
        </w:rPr>
      </w:pPr>
      <w:r w:rsidRPr="008C0753">
        <w:rPr>
          <w:rFonts w:ascii="Times New Roman" w:eastAsia="Times New Roman" w:hAnsi="Times New Roman" w:cs="Times New Roman"/>
          <w:bCs/>
          <w:sz w:val="24"/>
          <w:szCs w:val="24"/>
          <w:lang w:val="cs-CZ" w:eastAsia="cs-CZ"/>
        </w:rPr>
        <w:t xml:space="preserve">V Bratislave </w:t>
      </w:r>
      <w:r>
        <w:rPr>
          <w:rFonts w:ascii="Times New Roman" w:eastAsia="Times New Roman" w:hAnsi="Times New Roman" w:cs="Times New Roman"/>
          <w:bCs/>
          <w:sz w:val="24"/>
          <w:szCs w:val="24"/>
          <w:lang w:val="cs-CZ" w:eastAsia="cs-CZ"/>
        </w:rPr>
        <w:t>2</w:t>
      </w:r>
      <w:r w:rsidR="00C70A07">
        <w:rPr>
          <w:rFonts w:ascii="Times New Roman" w:eastAsia="Times New Roman" w:hAnsi="Times New Roman" w:cs="Times New Roman"/>
          <w:bCs/>
          <w:sz w:val="24"/>
          <w:szCs w:val="24"/>
          <w:lang w:val="cs-CZ" w:eastAsia="cs-CZ"/>
        </w:rPr>
        <w:t>5</w:t>
      </w:r>
      <w:r w:rsidRPr="008C0753">
        <w:rPr>
          <w:rFonts w:ascii="Times New Roman" w:eastAsia="Times New Roman" w:hAnsi="Times New Roman" w:cs="Times New Roman"/>
          <w:bCs/>
          <w:sz w:val="24"/>
          <w:szCs w:val="24"/>
          <w:lang w:val="cs-CZ" w:eastAsia="cs-CZ"/>
        </w:rPr>
        <w:t xml:space="preserve">. </w:t>
      </w:r>
      <w:r>
        <w:rPr>
          <w:rFonts w:ascii="Times New Roman" w:eastAsia="Times New Roman" w:hAnsi="Times New Roman" w:cs="Times New Roman"/>
          <w:bCs/>
          <w:sz w:val="24"/>
          <w:szCs w:val="24"/>
          <w:lang w:val="cs-CZ" w:eastAsia="cs-CZ"/>
        </w:rPr>
        <w:t>februára</w:t>
      </w:r>
      <w:r w:rsidRPr="008C0753">
        <w:rPr>
          <w:rFonts w:ascii="Times New Roman" w:eastAsia="Times New Roman" w:hAnsi="Times New Roman" w:cs="Times New Roman"/>
          <w:bCs/>
          <w:sz w:val="24"/>
          <w:szCs w:val="24"/>
          <w:lang w:val="cs-CZ" w:eastAsia="cs-CZ"/>
        </w:rPr>
        <w:t xml:space="preserve"> 2022</w:t>
      </w:r>
    </w:p>
    <w:p w:rsidR="008C0753" w:rsidRDefault="008C0753" w:rsidP="008C0753">
      <w:pPr>
        <w:spacing w:after="0" w:line="240" w:lineRule="auto"/>
        <w:ind w:left="426"/>
        <w:jc w:val="both"/>
        <w:rPr>
          <w:rFonts w:ascii="Times New Roman" w:eastAsia="Times New Roman" w:hAnsi="Times New Roman" w:cs="Times New Roman"/>
          <w:bCs/>
          <w:sz w:val="24"/>
          <w:szCs w:val="24"/>
          <w:lang w:val="cs-CZ" w:eastAsia="cs-CZ"/>
        </w:rPr>
      </w:pPr>
    </w:p>
    <w:p w:rsidR="001B61A5" w:rsidRDefault="001B61A5" w:rsidP="008C0753">
      <w:pPr>
        <w:spacing w:after="0" w:line="240" w:lineRule="auto"/>
        <w:ind w:left="426"/>
        <w:jc w:val="both"/>
        <w:rPr>
          <w:rFonts w:ascii="Times New Roman" w:eastAsia="Times New Roman" w:hAnsi="Times New Roman" w:cs="Times New Roman"/>
          <w:bCs/>
          <w:sz w:val="24"/>
          <w:szCs w:val="24"/>
          <w:lang w:val="cs-CZ" w:eastAsia="cs-CZ"/>
        </w:rPr>
      </w:pPr>
    </w:p>
    <w:p w:rsidR="001B61A5" w:rsidRPr="008C0753" w:rsidRDefault="001B61A5" w:rsidP="008C0753">
      <w:pPr>
        <w:spacing w:after="0" w:line="240" w:lineRule="auto"/>
        <w:ind w:left="426"/>
        <w:jc w:val="both"/>
        <w:rPr>
          <w:rFonts w:ascii="Times New Roman" w:eastAsia="Times New Roman" w:hAnsi="Times New Roman" w:cs="Times New Roman"/>
          <w:bCs/>
          <w:sz w:val="24"/>
          <w:szCs w:val="24"/>
          <w:lang w:val="cs-CZ" w:eastAsia="cs-CZ"/>
        </w:rPr>
      </w:pPr>
    </w:p>
    <w:p w:rsidR="008C0753" w:rsidRPr="008C0753" w:rsidRDefault="008C0753" w:rsidP="008C0753">
      <w:pPr>
        <w:spacing w:after="0" w:line="240" w:lineRule="auto"/>
        <w:jc w:val="center"/>
        <w:rPr>
          <w:rFonts w:ascii="Times New Roman" w:eastAsia="Times New Roman" w:hAnsi="Times New Roman" w:cs="Times New Roman"/>
          <w:b/>
          <w:sz w:val="24"/>
          <w:szCs w:val="24"/>
          <w:lang w:val="cs-CZ" w:eastAsia="cs-CZ"/>
        </w:rPr>
      </w:pPr>
      <w:r w:rsidRPr="008C0753">
        <w:rPr>
          <w:rFonts w:ascii="Times New Roman" w:eastAsia="Times New Roman" w:hAnsi="Times New Roman" w:cs="Times New Roman"/>
          <w:b/>
          <w:sz w:val="24"/>
          <w:szCs w:val="24"/>
          <w:lang w:val="cs-CZ" w:eastAsia="cs-CZ"/>
        </w:rPr>
        <w:t>Eduard Heger</w:t>
      </w:r>
      <w:r w:rsidR="0068367F">
        <w:rPr>
          <w:rFonts w:ascii="Times New Roman" w:eastAsia="Times New Roman" w:hAnsi="Times New Roman" w:cs="Times New Roman"/>
          <w:b/>
          <w:sz w:val="24"/>
          <w:szCs w:val="24"/>
          <w:lang w:val="cs-CZ" w:eastAsia="cs-CZ"/>
        </w:rPr>
        <w:t xml:space="preserve"> v. r.</w:t>
      </w:r>
    </w:p>
    <w:p w:rsidR="008C0753" w:rsidRPr="008C0753" w:rsidRDefault="008C0753" w:rsidP="008C0753">
      <w:pPr>
        <w:spacing w:after="0" w:line="240" w:lineRule="auto"/>
        <w:jc w:val="center"/>
        <w:rPr>
          <w:rFonts w:ascii="Times New Roman" w:eastAsia="Times New Roman" w:hAnsi="Times New Roman" w:cs="Times New Roman"/>
          <w:b/>
          <w:sz w:val="24"/>
          <w:szCs w:val="24"/>
          <w:lang w:val="cs-CZ" w:eastAsia="cs-CZ"/>
        </w:rPr>
      </w:pPr>
      <w:r w:rsidRPr="008C0753">
        <w:rPr>
          <w:rFonts w:ascii="Times New Roman" w:eastAsia="Times New Roman" w:hAnsi="Times New Roman" w:cs="Times New Roman"/>
          <w:b/>
          <w:sz w:val="24"/>
          <w:szCs w:val="24"/>
          <w:lang w:val="cs-CZ" w:eastAsia="cs-CZ"/>
        </w:rPr>
        <w:t>predseda vlády Slovenskej republiky</w:t>
      </w:r>
    </w:p>
    <w:p w:rsidR="008C0753" w:rsidRPr="008C0753" w:rsidRDefault="008C0753" w:rsidP="008C0753">
      <w:pPr>
        <w:spacing w:after="0" w:line="240" w:lineRule="auto"/>
        <w:jc w:val="center"/>
        <w:rPr>
          <w:rFonts w:ascii="Times New Roman" w:eastAsia="Times New Roman" w:hAnsi="Times New Roman" w:cs="Times New Roman"/>
          <w:b/>
          <w:sz w:val="24"/>
          <w:szCs w:val="24"/>
          <w:lang w:val="cs-CZ" w:eastAsia="cs-CZ"/>
        </w:rPr>
      </w:pPr>
    </w:p>
    <w:p w:rsidR="008C0753" w:rsidRDefault="008C0753" w:rsidP="008C0753">
      <w:pPr>
        <w:spacing w:after="0" w:line="240" w:lineRule="auto"/>
        <w:jc w:val="center"/>
        <w:rPr>
          <w:rFonts w:ascii="Times New Roman" w:eastAsia="Times New Roman" w:hAnsi="Times New Roman" w:cs="Times New Roman"/>
          <w:b/>
          <w:sz w:val="24"/>
          <w:szCs w:val="24"/>
          <w:lang w:val="cs-CZ" w:eastAsia="cs-CZ"/>
        </w:rPr>
      </w:pPr>
    </w:p>
    <w:p w:rsidR="001B61A5" w:rsidRDefault="001B61A5" w:rsidP="008C0753">
      <w:pPr>
        <w:spacing w:after="0" w:line="240" w:lineRule="auto"/>
        <w:jc w:val="center"/>
        <w:rPr>
          <w:rFonts w:ascii="Times New Roman" w:eastAsia="Times New Roman" w:hAnsi="Times New Roman" w:cs="Times New Roman"/>
          <w:b/>
          <w:sz w:val="24"/>
          <w:szCs w:val="24"/>
          <w:lang w:val="cs-CZ" w:eastAsia="cs-CZ"/>
        </w:rPr>
      </w:pPr>
    </w:p>
    <w:p w:rsidR="001B61A5" w:rsidRPr="008C0753" w:rsidRDefault="001B61A5" w:rsidP="008C0753">
      <w:pPr>
        <w:spacing w:after="0" w:line="240" w:lineRule="auto"/>
        <w:jc w:val="center"/>
        <w:rPr>
          <w:rFonts w:ascii="Times New Roman" w:eastAsia="Times New Roman" w:hAnsi="Times New Roman" w:cs="Times New Roman"/>
          <w:b/>
          <w:sz w:val="24"/>
          <w:szCs w:val="24"/>
          <w:lang w:val="cs-CZ" w:eastAsia="cs-CZ"/>
        </w:rPr>
      </w:pPr>
    </w:p>
    <w:p w:rsidR="008C0753" w:rsidRPr="008C0753" w:rsidRDefault="008C0753" w:rsidP="008C0753">
      <w:pPr>
        <w:spacing w:after="0" w:line="240" w:lineRule="auto"/>
        <w:jc w:val="center"/>
        <w:rPr>
          <w:rFonts w:ascii="Times New Roman" w:eastAsia="Times New Roman" w:hAnsi="Times New Roman" w:cs="Times New Roman"/>
          <w:b/>
          <w:sz w:val="24"/>
          <w:szCs w:val="24"/>
          <w:lang w:val="cs-CZ" w:eastAsia="cs-CZ"/>
        </w:rPr>
      </w:pPr>
      <w:r w:rsidRPr="008C0753">
        <w:rPr>
          <w:rFonts w:ascii="Times New Roman" w:eastAsia="Times New Roman" w:hAnsi="Times New Roman" w:cs="Times New Roman"/>
          <w:b/>
          <w:sz w:val="24"/>
          <w:szCs w:val="24"/>
          <w:lang w:val="cs-CZ" w:eastAsia="cs-CZ"/>
        </w:rPr>
        <w:t xml:space="preserve">Roman Mikulec </w:t>
      </w:r>
      <w:r w:rsidR="0068367F">
        <w:rPr>
          <w:rFonts w:ascii="Times New Roman" w:eastAsia="Times New Roman" w:hAnsi="Times New Roman" w:cs="Times New Roman"/>
          <w:b/>
          <w:sz w:val="24"/>
          <w:szCs w:val="24"/>
          <w:lang w:val="cs-CZ" w:eastAsia="cs-CZ"/>
        </w:rPr>
        <w:t>v. r.</w:t>
      </w:r>
      <w:bookmarkStart w:id="1" w:name="_GoBack"/>
      <w:bookmarkEnd w:id="1"/>
    </w:p>
    <w:p w:rsidR="008C0753" w:rsidRPr="008C0753" w:rsidRDefault="008C0753" w:rsidP="008C0753">
      <w:pPr>
        <w:spacing w:after="0" w:line="240" w:lineRule="auto"/>
        <w:jc w:val="center"/>
        <w:rPr>
          <w:rFonts w:ascii="Times New Roman" w:eastAsia="Times New Roman" w:hAnsi="Times New Roman" w:cs="Times New Roman"/>
          <w:sz w:val="24"/>
          <w:szCs w:val="24"/>
          <w:lang w:val="cs-CZ" w:eastAsia="cs-CZ"/>
        </w:rPr>
      </w:pPr>
      <w:r w:rsidRPr="008C0753">
        <w:rPr>
          <w:rFonts w:ascii="Times New Roman" w:eastAsia="Times New Roman" w:hAnsi="Times New Roman" w:cs="Times New Roman"/>
          <w:b/>
          <w:sz w:val="24"/>
          <w:szCs w:val="24"/>
          <w:lang w:val="cs-CZ" w:eastAsia="cs-CZ"/>
        </w:rPr>
        <w:t>minister vnútra Slovenskej republiky</w:t>
      </w:r>
    </w:p>
    <w:sectPr w:rsidR="008C0753" w:rsidRPr="008C0753" w:rsidSect="00F403A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27A" w:rsidRDefault="00FD427A" w:rsidP="00FE6B7C">
      <w:pPr>
        <w:spacing w:after="0" w:line="240" w:lineRule="auto"/>
      </w:pPr>
      <w:r>
        <w:separator/>
      </w:r>
    </w:p>
  </w:endnote>
  <w:endnote w:type="continuationSeparator" w:id="0">
    <w:p w:rsidR="00FD427A" w:rsidRDefault="00FD427A" w:rsidP="00FE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6014DE" w:rsidRDefault="006014D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Pta"/>
      <w:jc w:val="right"/>
    </w:pPr>
    <w:r>
      <w:fldChar w:fldCharType="begin"/>
    </w:r>
    <w:r>
      <w:instrText>PAGE   \* MERGEFORMAT</w:instrText>
    </w:r>
    <w:r>
      <w:fldChar w:fldCharType="separate"/>
    </w:r>
    <w:r w:rsidR="0068367F">
      <w:rPr>
        <w:noProof/>
      </w:rPr>
      <w:t>7</w:t>
    </w:r>
    <w:r>
      <w:fldChar w:fldCharType="end"/>
    </w:r>
  </w:p>
  <w:p w:rsidR="006014DE" w:rsidRDefault="006014D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Pta"/>
      <w:jc w:val="right"/>
    </w:pPr>
    <w:r>
      <w:fldChar w:fldCharType="begin"/>
    </w:r>
    <w:r>
      <w:instrText>PAGE   \* MERGEFORMAT</w:instrText>
    </w:r>
    <w:r>
      <w:fldChar w:fldCharType="separate"/>
    </w:r>
    <w:r>
      <w:rPr>
        <w:noProof/>
      </w:rPr>
      <w:t>0</w:t>
    </w:r>
    <w:r>
      <w:fldChar w:fldCharType="end"/>
    </w:r>
  </w:p>
  <w:p w:rsidR="006014DE" w:rsidRDefault="006014D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Pr="00FE6B7C" w:rsidRDefault="006014DE" w:rsidP="00FE6B7C">
    <w:pPr>
      <w:pStyle w:val="Pta"/>
      <w:jc w:val="center"/>
      <w:rPr>
        <w:rFonts w:ascii="Times New Roman" w:hAnsi="Times New Roman" w:cs="Times New Roman"/>
      </w:rPr>
    </w:pPr>
    <w:r w:rsidRPr="00FE6B7C">
      <w:rPr>
        <w:rFonts w:ascii="Times New Roman" w:hAnsi="Times New Roman" w:cs="Times New Roman"/>
      </w:rPr>
      <w:fldChar w:fldCharType="begin"/>
    </w:r>
    <w:r w:rsidRPr="00FE6B7C">
      <w:rPr>
        <w:rFonts w:ascii="Times New Roman" w:hAnsi="Times New Roman" w:cs="Times New Roman"/>
      </w:rPr>
      <w:instrText>PAGE   \* MERGEFORMAT</w:instrText>
    </w:r>
    <w:r w:rsidRPr="00FE6B7C">
      <w:rPr>
        <w:rFonts w:ascii="Times New Roman" w:hAnsi="Times New Roman" w:cs="Times New Roman"/>
      </w:rPr>
      <w:fldChar w:fldCharType="separate"/>
    </w:r>
    <w:r w:rsidR="0068367F">
      <w:rPr>
        <w:rFonts w:ascii="Times New Roman" w:hAnsi="Times New Roman" w:cs="Times New Roman"/>
        <w:noProof/>
      </w:rPr>
      <w:t>5</w:t>
    </w:r>
    <w:r w:rsidRPr="00FE6B7C">
      <w:rPr>
        <w:rFonts w:ascii="Times New Roman" w:hAnsi="Times New Roman" w:cs="Times New Roman"/>
      </w:rPr>
      <w:fldChar w:fldCharType="end"/>
    </w:r>
  </w:p>
  <w:p w:rsidR="006014DE" w:rsidRDefault="006014DE" w:rsidP="00FE6B7C">
    <w:pPr>
      <w:pStyle w:val="Pta"/>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27A" w:rsidRDefault="00FD427A" w:rsidP="00FE6B7C">
      <w:pPr>
        <w:spacing w:after="0" w:line="240" w:lineRule="auto"/>
      </w:pPr>
      <w:r>
        <w:separator/>
      </w:r>
    </w:p>
  </w:footnote>
  <w:footnote w:type="continuationSeparator" w:id="0">
    <w:p w:rsidR="00FD427A" w:rsidRDefault="00FD427A" w:rsidP="00FE6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rsidP="007E0186">
    <w:pPr>
      <w:pStyle w:val="Hlavika"/>
      <w:jc w:val="right"/>
      <w:rPr>
        <w:sz w:val="24"/>
        <w:szCs w:val="24"/>
      </w:rPr>
    </w:pPr>
    <w:r>
      <w:rPr>
        <w:sz w:val="24"/>
        <w:szCs w:val="24"/>
      </w:rPr>
      <w:t>Príloha č. 2</w:t>
    </w:r>
  </w:p>
  <w:p w:rsidR="006014DE" w:rsidRPr="00EB59C8" w:rsidRDefault="006014DE" w:rsidP="007E0186">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Pr="000A15AE" w:rsidRDefault="006014DE" w:rsidP="007E0186">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4DE" w:rsidRDefault="006014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03844"/>
    <w:multiLevelType w:val="hybridMultilevel"/>
    <w:tmpl w:val="10503F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C776C4A"/>
    <w:multiLevelType w:val="hybridMultilevel"/>
    <w:tmpl w:val="522CE2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442C0B4D"/>
    <w:multiLevelType w:val="hybridMultilevel"/>
    <w:tmpl w:val="51F826C8"/>
    <w:lvl w:ilvl="0" w:tplc="2C344C9C">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 w15:restartNumberingAfterBreak="0">
    <w:nsid w:val="6C6101B7"/>
    <w:multiLevelType w:val="hybridMultilevel"/>
    <w:tmpl w:val="9392C036"/>
    <w:lvl w:ilvl="0" w:tplc="FB628390">
      <w:start w:val="3"/>
      <w:numFmt w:val="bullet"/>
      <w:lvlText w:val="-"/>
      <w:lvlJc w:val="left"/>
      <w:pPr>
        <w:ind w:left="1074" w:hanging="360"/>
      </w:pPr>
      <w:rPr>
        <w:rFonts w:ascii="Times New Roman" w:eastAsia="Times New Roman" w:hAnsi="Times New Roman" w:hint="default"/>
      </w:rPr>
    </w:lvl>
    <w:lvl w:ilvl="1" w:tplc="041B0003" w:tentative="1">
      <w:start w:val="1"/>
      <w:numFmt w:val="bullet"/>
      <w:lvlText w:val="o"/>
      <w:lvlJc w:val="left"/>
      <w:pPr>
        <w:ind w:left="1794" w:hanging="360"/>
      </w:pPr>
      <w:rPr>
        <w:rFonts w:ascii="Courier New" w:hAnsi="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46B"/>
    <w:rsid w:val="000A03CC"/>
    <w:rsid w:val="000A416C"/>
    <w:rsid w:val="000C6B40"/>
    <w:rsid w:val="000F3D37"/>
    <w:rsid w:val="001477D0"/>
    <w:rsid w:val="00153613"/>
    <w:rsid w:val="001A7C42"/>
    <w:rsid w:val="001B61A5"/>
    <w:rsid w:val="0029246B"/>
    <w:rsid w:val="003D09F8"/>
    <w:rsid w:val="00403293"/>
    <w:rsid w:val="004A15D8"/>
    <w:rsid w:val="004C6B36"/>
    <w:rsid w:val="004F6EAC"/>
    <w:rsid w:val="00517619"/>
    <w:rsid w:val="0058277D"/>
    <w:rsid w:val="006014DE"/>
    <w:rsid w:val="006264B1"/>
    <w:rsid w:val="006308A4"/>
    <w:rsid w:val="0068367F"/>
    <w:rsid w:val="006C282F"/>
    <w:rsid w:val="00785AAC"/>
    <w:rsid w:val="007C15C5"/>
    <w:rsid w:val="007D3652"/>
    <w:rsid w:val="007E0186"/>
    <w:rsid w:val="008C0753"/>
    <w:rsid w:val="008E530B"/>
    <w:rsid w:val="00911FAA"/>
    <w:rsid w:val="009A15B7"/>
    <w:rsid w:val="00AF4B0F"/>
    <w:rsid w:val="00B417B0"/>
    <w:rsid w:val="00B466AB"/>
    <w:rsid w:val="00B96366"/>
    <w:rsid w:val="00BB55DC"/>
    <w:rsid w:val="00BB56F5"/>
    <w:rsid w:val="00BF7953"/>
    <w:rsid w:val="00C70A07"/>
    <w:rsid w:val="00CF2369"/>
    <w:rsid w:val="00D5003E"/>
    <w:rsid w:val="00E93DA5"/>
    <w:rsid w:val="00EB6AED"/>
    <w:rsid w:val="00F23734"/>
    <w:rsid w:val="00F403A0"/>
    <w:rsid w:val="00F903F2"/>
    <w:rsid w:val="00FD427A"/>
    <w:rsid w:val="00FE6B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A4CA1"/>
  <w15:docId w15:val="{29EB780F-E5A4-486D-8DC8-7EC02B55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EB6AED"/>
    <w:pPr>
      <w:spacing w:after="160" w:line="259" w:lineRule="auto"/>
    </w:pPr>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B4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B466AB"/>
    <w:pPr>
      <w:ind w:left="720"/>
      <w:contextualSpacing/>
    </w:pPr>
    <w:rPr>
      <w:rFonts w:asciiTheme="minorHAnsi" w:eastAsiaTheme="minorHAnsi" w:hAnsiTheme="minorHAnsi" w:cstheme="minorBidi"/>
      <w:lang w:eastAsia="en-US"/>
    </w:rPr>
  </w:style>
  <w:style w:type="table" w:styleId="Mriekatabuky">
    <w:name w:val="Table Grid"/>
    <w:basedOn w:val="Normlnatabuka"/>
    <w:uiPriority w:val="39"/>
    <w:rsid w:val="00B46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66AB"/>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FE6B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E6B7C"/>
    <w:rPr>
      <w:rFonts w:ascii="Calibri" w:eastAsia="Calibri" w:hAnsi="Calibri" w:cs="Calibri"/>
      <w:lang w:eastAsia="sk-SK"/>
    </w:rPr>
  </w:style>
  <w:style w:type="paragraph" w:styleId="Pta">
    <w:name w:val="footer"/>
    <w:basedOn w:val="Normlny"/>
    <w:link w:val="PtaChar"/>
    <w:uiPriority w:val="99"/>
    <w:unhideWhenUsed/>
    <w:rsid w:val="00FE6B7C"/>
    <w:pPr>
      <w:tabs>
        <w:tab w:val="center" w:pos="4536"/>
        <w:tab w:val="right" w:pos="9072"/>
      </w:tabs>
      <w:spacing w:after="0" w:line="240" w:lineRule="auto"/>
    </w:pPr>
  </w:style>
  <w:style w:type="character" w:customStyle="1" w:styleId="PtaChar">
    <w:name w:val="Päta Char"/>
    <w:basedOn w:val="Predvolenpsmoodseku"/>
    <w:link w:val="Pta"/>
    <w:uiPriority w:val="99"/>
    <w:rsid w:val="00FE6B7C"/>
    <w:rPr>
      <w:rFonts w:ascii="Calibri" w:eastAsia="Calibri" w:hAnsi="Calibri" w:cs="Calibri"/>
      <w:lang w:eastAsia="sk-SK"/>
    </w:rPr>
  </w:style>
  <w:style w:type="paragraph" w:styleId="Textbubliny">
    <w:name w:val="Balloon Text"/>
    <w:basedOn w:val="Normlny"/>
    <w:link w:val="TextbublinyChar"/>
    <w:uiPriority w:val="99"/>
    <w:semiHidden/>
    <w:unhideWhenUsed/>
    <w:rsid w:val="00C70A0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70A07"/>
    <w:rPr>
      <w:rFonts w:ascii="Tahoma" w:eastAsia="Calibri" w:hAnsi="Tahoma" w:cs="Tahoma"/>
      <w:sz w:val="16"/>
      <w:szCs w:val="16"/>
      <w:lang w:eastAsia="sk-SK"/>
    </w:rPr>
  </w:style>
  <w:style w:type="character" w:styleId="slostrany">
    <w:name w:val="page number"/>
    <w:basedOn w:val="Predvolenpsmoodseku"/>
    <w:uiPriority w:val="99"/>
    <w:rsid w:val="00F403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09855">
      <w:bodyDiv w:val="1"/>
      <w:marLeft w:val="0"/>
      <w:marRight w:val="0"/>
      <w:marTop w:val="0"/>
      <w:marBottom w:val="0"/>
      <w:divBdr>
        <w:top w:val="none" w:sz="0" w:space="0" w:color="auto"/>
        <w:left w:val="none" w:sz="0" w:space="0" w:color="auto"/>
        <w:bottom w:val="none" w:sz="0" w:space="0" w:color="auto"/>
        <w:right w:val="none" w:sz="0" w:space="0" w:color="auto"/>
      </w:divBdr>
    </w:div>
    <w:div w:id="1003703106">
      <w:bodyDiv w:val="1"/>
      <w:marLeft w:val="0"/>
      <w:marRight w:val="0"/>
      <w:marTop w:val="0"/>
      <w:marBottom w:val="0"/>
      <w:divBdr>
        <w:top w:val="none" w:sz="0" w:space="0" w:color="auto"/>
        <w:left w:val="none" w:sz="0" w:space="0" w:color="auto"/>
        <w:bottom w:val="none" w:sz="0" w:space="0" w:color="auto"/>
        <w:right w:val="none" w:sz="0" w:space="0" w:color="auto"/>
      </w:divBdr>
    </w:div>
    <w:div w:id="132018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usnarik@minv.sk"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eur-lex.europa.eu/legal-content/SK/TXT/?uri=NIM:22038&amp;qid=1644226846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5D4AD-D2D8-434A-8345-313F80294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4118</Words>
  <Characters>23478</Characters>
  <Application>Microsoft Office Word</Application>
  <DocSecurity>0</DocSecurity>
  <Lines>195</Lines>
  <Paragraphs>55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Gregušová</dc:creator>
  <cp:keywords/>
  <dc:description/>
  <cp:lastModifiedBy>Nataša Wiedemannová</cp:lastModifiedBy>
  <cp:revision>23</cp:revision>
  <cp:lastPrinted>2022-02-25T10:45:00Z</cp:lastPrinted>
  <dcterms:created xsi:type="dcterms:W3CDTF">2022-02-23T07:44:00Z</dcterms:created>
  <dcterms:modified xsi:type="dcterms:W3CDTF">2022-02-25T10:46:00Z</dcterms:modified>
</cp:coreProperties>
</file>