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AE02" w14:textId="77777777" w:rsidR="002E7825" w:rsidRPr="00504D96" w:rsidRDefault="002E7825" w:rsidP="002E7825">
      <w:pPr>
        <w:pStyle w:val="Default"/>
        <w:jc w:val="center"/>
        <w:rPr>
          <w:b/>
        </w:rPr>
      </w:pPr>
      <w:r w:rsidRPr="00504D96">
        <w:rPr>
          <w:b/>
        </w:rPr>
        <w:t>TABUĽKA ZHODY</w:t>
      </w:r>
    </w:p>
    <w:p w14:paraId="47657A5F" w14:textId="77777777" w:rsidR="0065671B" w:rsidRPr="00504D96" w:rsidRDefault="0065671B" w:rsidP="0065671B">
      <w:pPr>
        <w:pStyle w:val="Default"/>
        <w:jc w:val="center"/>
        <w:rPr>
          <w:b/>
          <w:color w:val="auto"/>
        </w:rPr>
      </w:pPr>
      <w:r w:rsidRPr="00504D96">
        <w:rPr>
          <w:b/>
          <w:color w:val="auto"/>
        </w:rPr>
        <w:t>návrhu právneho predpisu s právom Európskej únie</w:t>
      </w:r>
    </w:p>
    <w:p w14:paraId="553CCDA8" w14:textId="77777777" w:rsidR="002E7825" w:rsidRPr="00504D96" w:rsidRDefault="002E7825" w:rsidP="002E7825">
      <w:pPr>
        <w:pStyle w:val="Default"/>
        <w:jc w:val="right"/>
      </w:pP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425"/>
        <w:gridCol w:w="851"/>
        <w:gridCol w:w="708"/>
        <w:gridCol w:w="4961"/>
        <w:gridCol w:w="674"/>
        <w:gridCol w:w="744"/>
      </w:tblGrid>
      <w:tr w:rsidR="002E7825" w:rsidRPr="00504D96" w14:paraId="4218D0C6" w14:textId="77777777" w:rsidTr="004B5BA2">
        <w:trPr>
          <w:trHeight w:val="567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A9082" w14:textId="269DE3A6" w:rsidR="002E7825" w:rsidRPr="00504D96" w:rsidRDefault="002E7825" w:rsidP="0065671B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Smernica</w:t>
            </w:r>
            <w:r w:rsidR="007B5930" w:rsidRPr="00504D96">
              <w:rPr>
                <w:sz w:val="20"/>
                <w:szCs w:val="20"/>
              </w:rPr>
              <w:t xml:space="preserve"> EÚ</w:t>
            </w:r>
          </w:p>
          <w:p w14:paraId="627682F9" w14:textId="77777777" w:rsidR="002E7825" w:rsidRPr="00504D96" w:rsidRDefault="002E7825" w:rsidP="002E7825">
            <w:pPr>
              <w:rPr>
                <w:sz w:val="20"/>
                <w:szCs w:val="20"/>
              </w:rPr>
            </w:pPr>
          </w:p>
          <w:p w14:paraId="154A7489" w14:textId="3617DAD0" w:rsidR="00400D37" w:rsidRPr="00400D37" w:rsidRDefault="00400D37" w:rsidP="00400D37">
            <w:pPr>
              <w:pStyle w:val="Zkladntext3"/>
              <w:spacing w:line="240" w:lineRule="exact"/>
              <w:rPr>
                <w:sz w:val="20"/>
                <w:szCs w:val="20"/>
                <w:shd w:val="clear" w:color="auto" w:fill="FFFFFF"/>
              </w:rPr>
            </w:pPr>
            <w:r w:rsidRPr="00400D37">
              <w:rPr>
                <w:sz w:val="20"/>
                <w:szCs w:val="20"/>
                <w:shd w:val="clear" w:color="auto" w:fill="FFFFFF"/>
              </w:rPr>
              <w:t>SMERNICA EURÓPSKEHO PARLAMENTU A RADY (EÚ) 2019/879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00D37">
              <w:rPr>
                <w:sz w:val="20"/>
                <w:szCs w:val="20"/>
                <w:shd w:val="clear" w:color="auto" w:fill="FFFFFF"/>
              </w:rPr>
              <w:t>z 20. mája 2019,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715E782D" w14:textId="0B7CD4B9" w:rsidR="0081045A" w:rsidRPr="00504D96" w:rsidRDefault="00400D37" w:rsidP="00400D37">
            <w:pPr>
              <w:pStyle w:val="Zkladntext3"/>
              <w:spacing w:line="240" w:lineRule="exact"/>
              <w:rPr>
                <w:rStyle w:val="Siln"/>
                <w:b w:val="0"/>
                <w:sz w:val="20"/>
                <w:szCs w:val="20"/>
              </w:rPr>
            </w:pPr>
            <w:r w:rsidRPr="00400D37">
              <w:rPr>
                <w:sz w:val="20"/>
                <w:szCs w:val="20"/>
                <w:shd w:val="clear" w:color="auto" w:fill="FFFFFF"/>
              </w:rPr>
              <w:t>ktorou sa mení smernica 2014/59/EÚ, pokiaľ ide o kapacitu úverových inštitúcií a investičných spoločností na absorpciu strát a rekapitalizáciu, a smernica 98/26/ES</w:t>
            </w:r>
            <w:r w:rsidRPr="00400D37">
              <w:rPr>
                <w:rStyle w:val="Sil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65671B" w:rsidRPr="00504D96">
              <w:rPr>
                <w:rStyle w:val="Siln"/>
                <w:b w:val="0"/>
                <w:sz w:val="20"/>
                <w:szCs w:val="20"/>
              </w:rPr>
              <w:t xml:space="preserve">(Ú. </w:t>
            </w:r>
            <w:r w:rsidR="00B30C3C">
              <w:rPr>
                <w:rStyle w:val="Siln"/>
                <w:b w:val="0"/>
                <w:sz w:val="20"/>
                <w:szCs w:val="20"/>
              </w:rPr>
              <w:t>v</w:t>
            </w:r>
            <w:r w:rsidR="0065671B" w:rsidRPr="00504D96">
              <w:rPr>
                <w:rStyle w:val="Siln"/>
                <w:b w:val="0"/>
                <w:sz w:val="20"/>
                <w:szCs w:val="20"/>
              </w:rPr>
              <w:t xml:space="preserve">. EÚ L </w:t>
            </w:r>
            <w:r>
              <w:rPr>
                <w:rStyle w:val="Siln"/>
                <w:b w:val="0"/>
                <w:sz w:val="20"/>
                <w:szCs w:val="20"/>
              </w:rPr>
              <w:t>150</w:t>
            </w:r>
            <w:r w:rsidR="0065671B" w:rsidRPr="00504D96">
              <w:rPr>
                <w:rStyle w:val="Siln"/>
                <w:b w:val="0"/>
                <w:sz w:val="20"/>
                <w:szCs w:val="20"/>
              </w:rPr>
              <w:t xml:space="preserve">, </w:t>
            </w:r>
            <w:r w:rsidRPr="00400D37">
              <w:rPr>
                <w:rStyle w:val="Siln"/>
                <w:b w:val="0"/>
                <w:sz w:val="20"/>
                <w:szCs w:val="20"/>
              </w:rPr>
              <w:t>7.6.2019</w:t>
            </w:r>
            <w:r w:rsidR="0065671B" w:rsidRPr="00504D96">
              <w:rPr>
                <w:rStyle w:val="Siln"/>
                <w:b w:val="0"/>
                <w:sz w:val="20"/>
                <w:szCs w:val="20"/>
              </w:rPr>
              <w:t>)</w:t>
            </w:r>
          </w:p>
          <w:p w14:paraId="3A627FF8" w14:textId="787DDDF1" w:rsidR="002E7825" w:rsidRPr="00504D96" w:rsidRDefault="002E7825" w:rsidP="0081045A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5CFACC" w14:textId="77777777" w:rsidR="0065671B" w:rsidRPr="00504D96" w:rsidRDefault="0065671B" w:rsidP="0065671B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Právne predpisy Slovenskej republiky</w:t>
            </w:r>
          </w:p>
          <w:p w14:paraId="3A61DF6D" w14:textId="77777777" w:rsidR="002E7825" w:rsidRPr="00504D96" w:rsidRDefault="002E7825" w:rsidP="002E7825">
            <w:pPr>
              <w:rPr>
                <w:sz w:val="20"/>
                <w:szCs w:val="20"/>
              </w:rPr>
            </w:pPr>
          </w:p>
          <w:p w14:paraId="273DA3C5" w14:textId="2561AB48" w:rsidR="007B5930" w:rsidRPr="00504D96" w:rsidRDefault="0081045A" w:rsidP="007B5930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4D96">
              <w:rPr>
                <w:b/>
                <w:sz w:val="20"/>
                <w:szCs w:val="20"/>
              </w:rPr>
              <w:t xml:space="preserve">Návrh zákona, ktorým sa mení a dopĺňa zákon </w:t>
            </w:r>
            <w:r w:rsidR="003C0E92" w:rsidRPr="003C0E92">
              <w:rPr>
                <w:b/>
                <w:sz w:val="20"/>
                <w:szCs w:val="20"/>
              </w:rPr>
              <w:t>č. 371/2014 Z. z. o riešení krízových situácií na finančnom trhu a o zmene a doplnení niektorých zákonov v znení neskorších predpisov a ktorým sa menia a dopĺňajú niektoré zákony</w:t>
            </w:r>
            <w:r w:rsidR="007B5930" w:rsidRPr="00504D96">
              <w:rPr>
                <w:b/>
                <w:sz w:val="20"/>
                <w:szCs w:val="20"/>
              </w:rPr>
              <w:t xml:space="preserve"> </w:t>
            </w:r>
            <w:r w:rsidR="007B5930" w:rsidRPr="00504D96">
              <w:rPr>
                <w:b/>
                <w:bCs/>
                <w:sz w:val="20"/>
                <w:szCs w:val="20"/>
              </w:rPr>
              <w:t>(ďalej „návrh zákona“)</w:t>
            </w:r>
          </w:p>
          <w:p w14:paraId="449C2E88" w14:textId="215A7B6C" w:rsidR="000651F3" w:rsidRPr="00504D96" w:rsidRDefault="000651F3" w:rsidP="000651F3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725489C5" w14:textId="7F133A78" w:rsidR="007B5930" w:rsidRPr="00504D96" w:rsidRDefault="007B5930" w:rsidP="007B5930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504D96">
              <w:rPr>
                <w:bCs/>
                <w:sz w:val="20"/>
                <w:szCs w:val="20"/>
              </w:rPr>
              <w:t>Zákon č. 371/2014 Z. z. o riešení krízových situácií na finančnom trhu a o zmene a doplnení niektorých zákonov v znení neskorších predpisov (ďalej „371/2014“)</w:t>
            </w:r>
          </w:p>
          <w:p w14:paraId="57C52B3E" w14:textId="1A3C807D" w:rsidR="007B5930" w:rsidRPr="00504D96" w:rsidRDefault="007B5930" w:rsidP="008104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2E7825" w:rsidRPr="00504D96" w14:paraId="1914E6B2" w14:textId="77777777" w:rsidTr="007B5930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E214F" w14:textId="77777777" w:rsidR="002E7825" w:rsidRPr="00504D96" w:rsidRDefault="002E7825" w:rsidP="002B00DC">
            <w:pPr>
              <w:jc w:val="center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453" w14:textId="77777777" w:rsidR="002E7825" w:rsidRPr="00504D96" w:rsidRDefault="002E7825" w:rsidP="002B00DC">
            <w:pPr>
              <w:jc w:val="center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CC8B7" w14:textId="77777777" w:rsidR="002E7825" w:rsidRPr="00504D96" w:rsidRDefault="002E7825" w:rsidP="00953B17">
            <w:pPr>
              <w:jc w:val="center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CFAE" w14:textId="77777777" w:rsidR="002E7825" w:rsidRPr="00504D96" w:rsidRDefault="002E7825" w:rsidP="002B00DC">
            <w:pPr>
              <w:jc w:val="center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65B" w14:textId="77777777" w:rsidR="002E7825" w:rsidRPr="00504D96" w:rsidRDefault="002E7825" w:rsidP="002B00DC">
            <w:pPr>
              <w:pStyle w:val="Zkladntext2"/>
              <w:spacing w:line="240" w:lineRule="exact"/>
            </w:pPr>
            <w:r w:rsidRPr="00504D96"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7FA" w14:textId="77777777" w:rsidR="002E7825" w:rsidRPr="00504D96" w:rsidRDefault="002E7825" w:rsidP="002B00DC">
            <w:pPr>
              <w:pStyle w:val="Zkladntext2"/>
              <w:spacing w:line="240" w:lineRule="exact"/>
            </w:pPr>
            <w:r w:rsidRPr="00504D96"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745" w14:textId="77777777" w:rsidR="002E7825" w:rsidRPr="00504D96" w:rsidRDefault="002E7825" w:rsidP="002B00DC">
            <w:pPr>
              <w:jc w:val="center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04006" w14:textId="77777777" w:rsidR="002E7825" w:rsidRPr="00504D96" w:rsidRDefault="002E7825" w:rsidP="002B00DC">
            <w:pPr>
              <w:jc w:val="center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8</w:t>
            </w:r>
          </w:p>
        </w:tc>
      </w:tr>
      <w:tr w:rsidR="002E7825" w:rsidRPr="00504D96" w14:paraId="437405D6" w14:textId="77777777" w:rsidTr="007B5930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2FD33" w14:textId="77777777" w:rsidR="002E7825" w:rsidRPr="00504D96" w:rsidRDefault="002E7825" w:rsidP="002B00DC">
            <w:pPr>
              <w:pStyle w:val="Normlny0"/>
              <w:jc w:val="center"/>
            </w:pPr>
            <w:r w:rsidRPr="00504D96">
              <w:t>Článok</w:t>
            </w:r>
          </w:p>
          <w:p w14:paraId="0C1872C2" w14:textId="77777777" w:rsidR="002E7825" w:rsidRPr="00504D96" w:rsidRDefault="002E7825" w:rsidP="002B00DC">
            <w:pPr>
              <w:pStyle w:val="Normlny0"/>
              <w:jc w:val="center"/>
            </w:pPr>
            <w:r w:rsidRPr="00504D96">
              <w:t>(Č, O,</w:t>
            </w:r>
          </w:p>
          <w:p w14:paraId="20F73F2A" w14:textId="77777777" w:rsidR="002E7825" w:rsidRPr="00504D96" w:rsidRDefault="002E7825" w:rsidP="002B00DC">
            <w:pPr>
              <w:pStyle w:val="Normlny0"/>
              <w:jc w:val="center"/>
            </w:pPr>
            <w:r w:rsidRPr="00504D96">
              <w:t>V, P)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B0F" w14:textId="77777777" w:rsidR="002E7825" w:rsidRPr="00504D96" w:rsidRDefault="002E7825" w:rsidP="002B00DC">
            <w:pPr>
              <w:pStyle w:val="Normlny0"/>
              <w:jc w:val="center"/>
            </w:pPr>
            <w:r w:rsidRPr="00504D96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24F42" w14:textId="77777777" w:rsidR="002E7825" w:rsidRPr="00504D96" w:rsidRDefault="002E7825" w:rsidP="00953B17">
            <w:pPr>
              <w:pStyle w:val="Normlny0"/>
              <w:jc w:val="center"/>
            </w:pPr>
            <w:r w:rsidRPr="00504D96">
              <w:t>Spôsob transpozície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6487" w14:textId="77777777" w:rsidR="002E7825" w:rsidRPr="00504D96" w:rsidRDefault="002E7825" w:rsidP="00A13C67">
            <w:pPr>
              <w:pStyle w:val="Normlny0"/>
              <w:jc w:val="center"/>
            </w:pPr>
            <w:r w:rsidRPr="00504D96"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8CF" w14:textId="77777777" w:rsidR="002E7825" w:rsidRPr="00504D96" w:rsidRDefault="002E7825" w:rsidP="002B00DC">
            <w:pPr>
              <w:pStyle w:val="Normlny0"/>
              <w:jc w:val="center"/>
            </w:pPr>
            <w:r w:rsidRPr="00504D96"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E7" w14:textId="77777777" w:rsidR="002E7825" w:rsidRPr="00504D96" w:rsidRDefault="002E7825" w:rsidP="002B00DC">
            <w:pPr>
              <w:pStyle w:val="Normlny0"/>
              <w:jc w:val="center"/>
              <w:rPr>
                <w:sz w:val="22"/>
                <w:szCs w:val="22"/>
              </w:rPr>
            </w:pPr>
            <w:r w:rsidRPr="00504D96">
              <w:rPr>
                <w:sz w:val="22"/>
                <w:szCs w:val="22"/>
              </w:rPr>
              <w:t>Text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66E" w14:textId="77777777" w:rsidR="002E7825" w:rsidRPr="00504D96" w:rsidRDefault="002E7825" w:rsidP="002B00DC">
            <w:pPr>
              <w:pStyle w:val="Normlny0"/>
              <w:jc w:val="center"/>
            </w:pPr>
            <w:r w:rsidRPr="00504D96">
              <w:t>Zhoda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187CF" w14:textId="77777777" w:rsidR="002E7825" w:rsidRPr="00504D96" w:rsidRDefault="002E7825" w:rsidP="002B00DC">
            <w:pPr>
              <w:pStyle w:val="Normlny0"/>
              <w:jc w:val="center"/>
            </w:pPr>
            <w:r w:rsidRPr="00504D96">
              <w:t>Poznámky</w:t>
            </w:r>
          </w:p>
        </w:tc>
      </w:tr>
      <w:tr w:rsidR="003C0E92" w:rsidRPr="00504D96" w14:paraId="42C15594" w14:textId="77777777" w:rsidTr="007B5930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1B62" w14:textId="53E76F48" w:rsidR="003C0E92" w:rsidRPr="00504D96" w:rsidRDefault="00236AFE" w:rsidP="009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 </w:t>
            </w:r>
            <w:r w:rsidR="00993F86">
              <w:rPr>
                <w:sz w:val="20"/>
                <w:szCs w:val="20"/>
              </w:rPr>
              <w:t>1 bod 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3528" w14:textId="4E6C53A4" w:rsidR="003C0E92" w:rsidRPr="00400D37" w:rsidRDefault="00236AFE" w:rsidP="003C0E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00D3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00D37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Orgán pre riešenie krízových situácií stanoví rozsah tejto právomoci so zreteľom na okolnosti každého prípadu. Orgány pre riešenie krízových situácií predovšetkým starostlivo posúdia vhodnosť rozšírenia pozastavenia na oprávnené vklady v zmysle vymedzenia v článku 2 ods. 1 bodu 4 smernice 2014/49/EÚ, najmä kryté vklady v držbe fyzických osôb, mikropodnikov, malých a stredných podnikov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EF2A87" w14:textId="70A500CF" w:rsidR="003C0E92" w:rsidRPr="00400D37" w:rsidRDefault="00993F86" w:rsidP="003C0E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546D" w14:textId="32C993C5" w:rsidR="003C0E92" w:rsidRPr="00400D37" w:rsidRDefault="00993F86" w:rsidP="003C0E9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93F86">
              <w:rPr>
                <w:rFonts w:ascii="Arial Narrow" w:hAnsi="Arial Narrow"/>
                <w:color w:val="000000" w:themeColor="text1"/>
                <w:sz w:val="20"/>
                <w:szCs w:val="20"/>
              </w:rPr>
              <w:t>371/2014 a 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0F88" w14:textId="3E749133" w:rsidR="003C0E92" w:rsidRPr="00400D37" w:rsidRDefault="00236AFE" w:rsidP="003C0E92">
            <w:pPr>
              <w:pStyle w:val="Normlny0"/>
              <w:jc w:val="center"/>
              <w:rPr>
                <w:rFonts w:ascii="Arial Narrow" w:hAnsi="Arial Narrow"/>
                <w:color w:val="000000" w:themeColor="text1"/>
              </w:rPr>
            </w:pPr>
            <w:r w:rsidRPr="00400D37">
              <w:rPr>
                <w:rFonts w:ascii="Arial Narrow" w:hAnsi="Arial Narrow"/>
                <w:color w:val="000000" w:themeColor="text1"/>
              </w:rPr>
              <w:t>§ 14 O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2276" w14:textId="36BF5028" w:rsidR="003C0E92" w:rsidRPr="00400D37" w:rsidRDefault="00993F86" w:rsidP="003C0E9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(5) </w:t>
            </w:r>
            <w:bookmarkStart w:id="0" w:name="_GoBack"/>
            <w:bookmarkEnd w:id="0"/>
            <w:r w:rsidRPr="00993F86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Rada pri výkone svojich právomocí zohľadňuje riadne fungovanie finančného trhu, pričom rozsah odkladu plnenia určí osobitne so zreteľom na okolnosti každého odkladu plnenia.</w:t>
            </w:r>
            <w:r w:rsidR="004C429D" w:rsidRPr="00400D37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C429D" w:rsidRPr="00400D3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Rada s odbornou starostlivosťou posúdi, či je vhodné odloženie plnenia záväzku uplatniť na chránené vklady.</w:t>
            </w:r>
            <w:r w:rsidR="004C429D" w:rsidRPr="00400D37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44a</w:t>
            </w:r>
            <w:r w:rsidR="004C429D" w:rsidRPr="00400D3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Ak sa odklad plnenia záväzku vykoná vo vzťahu k chráneným vkladom,</w:t>
            </w:r>
            <w:r w:rsidR="004C429D" w:rsidRPr="00400D37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44a</w:t>
            </w:r>
            <w:r w:rsidR="004C429D" w:rsidRPr="00400D3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rada postupuje podľa § 8a.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DAC3" w14:textId="5E54BF55" w:rsidR="003C0E92" w:rsidRPr="00504D96" w:rsidRDefault="003C0E92" w:rsidP="003C0E92">
            <w:pPr>
              <w:jc w:val="center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2D5923" w14:textId="77777777" w:rsidR="003C0E92" w:rsidRPr="00504D96" w:rsidRDefault="003C0E92" w:rsidP="003C0E9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3C0E92" w:rsidRPr="00504D96" w14:paraId="03984B7E" w14:textId="77777777" w:rsidTr="007B5930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0472" w14:textId="182B13EF" w:rsidR="00400D37" w:rsidRDefault="004C429D" w:rsidP="003C0E92">
            <w:pPr>
              <w:rPr>
                <w:sz w:val="20"/>
                <w:szCs w:val="20"/>
              </w:rPr>
            </w:pPr>
            <w:r w:rsidRPr="00400D37">
              <w:rPr>
                <w:sz w:val="20"/>
                <w:szCs w:val="20"/>
              </w:rPr>
              <w:t xml:space="preserve">Č </w:t>
            </w:r>
            <w:r w:rsidR="00993F86">
              <w:rPr>
                <w:sz w:val="20"/>
                <w:szCs w:val="20"/>
              </w:rPr>
              <w:t>1</w:t>
            </w:r>
          </w:p>
          <w:p w14:paraId="16310E7E" w14:textId="0ED67231" w:rsidR="003C0E92" w:rsidRPr="004C429D" w:rsidRDefault="004C429D" w:rsidP="00993F86">
            <w:pPr>
              <w:rPr>
                <w:sz w:val="20"/>
                <w:szCs w:val="20"/>
                <w:highlight w:val="yellow"/>
              </w:rPr>
            </w:pPr>
            <w:r w:rsidRPr="00400D37">
              <w:rPr>
                <w:sz w:val="20"/>
                <w:szCs w:val="20"/>
              </w:rPr>
              <w:t xml:space="preserve"> </w:t>
            </w:r>
            <w:r w:rsidR="00993F86">
              <w:rPr>
                <w:sz w:val="20"/>
                <w:szCs w:val="20"/>
              </w:rPr>
              <w:t>bod 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AB8C" w14:textId="475A5E31" w:rsidR="003C0E92" w:rsidRPr="00400D37" w:rsidRDefault="004C429D" w:rsidP="003C0E92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0D37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1.   Členské štáty vyžadujú od inštitúcií a subjektov uvedených v článku 1 ods. 1 písm. b), c) a d), aby do každej finančnej zmluvy, ktorú uzavreli, a ktorá sa upravuje právom tretej krajiny, zahrnuli podmienky, na základe ktorej zmluvné strany uznávajú, že finančná zmluva môže podliehať uplatneniu právomoci orgánu pre riešenie krízových situácií pozastaviť alebo obmedziť práva a povinnosti podľa článkov 33a, 69, 70 a 71 a uznávajú, že sú viazané požiadavkami uvedenými v článku 68.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30768" w14:textId="051CF55F" w:rsidR="003C0E92" w:rsidRPr="00400D37" w:rsidRDefault="00993F86" w:rsidP="003C0E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9467" w14:textId="3AF6BF5A" w:rsidR="003C0E92" w:rsidRPr="00400D37" w:rsidRDefault="00993F86" w:rsidP="003C0E9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93F86">
              <w:rPr>
                <w:rFonts w:ascii="Arial Narrow" w:hAnsi="Arial Narrow"/>
                <w:color w:val="000000" w:themeColor="text1"/>
                <w:sz w:val="20"/>
                <w:szCs w:val="20"/>
              </w:rPr>
              <w:t>371/2014 a 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70D9" w14:textId="5DAA6DAE" w:rsidR="003C0E92" w:rsidRPr="00400D37" w:rsidRDefault="004C429D" w:rsidP="003C0E92">
            <w:pPr>
              <w:pStyle w:val="Normlny0"/>
              <w:jc w:val="center"/>
              <w:rPr>
                <w:rFonts w:ascii="Arial Narrow" w:hAnsi="Arial Narrow"/>
                <w:color w:val="000000" w:themeColor="text1"/>
              </w:rPr>
            </w:pPr>
            <w:r w:rsidRPr="00400D37">
              <w:rPr>
                <w:rFonts w:ascii="Arial Narrow" w:hAnsi="Arial Narrow"/>
                <w:color w:val="000000" w:themeColor="text1"/>
              </w:rPr>
              <w:t xml:space="preserve">§ 17b </w:t>
            </w:r>
            <w:r w:rsidR="00400D37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00D37">
              <w:rPr>
                <w:rFonts w:ascii="Arial Narrow" w:hAnsi="Arial Narrow"/>
                <w:color w:val="000000" w:themeColor="text1"/>
              </w:rPr>
              <w:t>O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776E" w14:textId="77777777" w:rsidR="004C429D" w:rsidRPr="00400D37" w:rsidRDefault="004C429D" w:rsidP="004C429D">
            <w:pPr>
              <w:shd w:val="clear" w:color="auto" w:fill="FFFFFF"/>
              <w:autoSpaceDE/>
              <w:autoSpaceDN/>
              <w:jc w:val="both"/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</w:pPr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(1)</w:t>
            </w:r>
          </w:p>
          <w:p w14:paraId="0A27A3AF" w14:textId="2717C59A" w:rsidR="004C429D" w:rsidRPr="00400D37" w:rsidRDefault="004C429D" w:rsidP="004C429D">
            <w:pPr>
              <w:shd w:val="clear" w:color="auto" w:fill="FFFFFF"/>
              <w:jc w:val="both"/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</w:pPr>
            <w:r w:rsidRPr="00400D3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Vybraná inštitúcia a osoba</w:t>
            </w:r>
            <w:r w:rsidRPr="00400D37">
              <w:rPr>
                <w:rFonts w:ascii="Arial Narrow" w:hAnsi="Arial Narrow" w:cs="Segoe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podľa </w:t>
            </w:r>
            <w:hyperlink r:id="rId8" w:anchor="paragraf-1.odsek-3.pismeno-b" w:tooltip="Odkaz na predpis alebo ustanovenie" w:history="1">
              <w:r w:rsidRPr="00400D37">
                <w:rPr>
                  <w:rStyle w:val="Hypertextovprepojenie"/>
                  <w:rFonts w:ascii="Arial Narrow" w:hAnsi="Arial Narrow" w:cs="Segoe UI"/>
                  <w:i/>
                  <w:iCs/>
                  <w:color w:val="000000" w:themeColor="text1"/>
                  <w:sz w:val="20"/>
                  <w:szCs w:val="20"/>
                </w:rPr>
                <w:t>§ 1 ods. 3 písm. b) až d)</w:t>
              </w:r>
            </w:hyperlink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 v každej finančnej zmluve podľa </w:t>
            </w:r>
            <w:hyperlink r:id="rId9" w:anchor="paragraf-21.odsek-12" w:tooltip="Odkaz na predpis alebo ustanovenie" w:history="1">
              <w:r w:rsidRPr="00400D37">
                <w:rPr>
                  <w:rStyle w:val="Hypertextovprepojenie"/>
                  <w:rFonts w:ascii="Arial Narrow" w:hAnsi="Arial Narrow" w:cs="Segoe UI"/>
                  <w:i/>
                  <w:iCs/>
                  <w:color w:val="000000" w:themeColor="text1"/>
                  <w:sz w:val="20"/>
                  <w:szCs w:val="20"/>
                </w:rPr>
                <w:t>§ 21 ods. 12</w:t>
              </w:r>
            </w:hyperlink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, ktorú uzavrela, a ktorá sa spravuje právnym poriadkom tretej krajiny, je povinná zahrnúť podmienku, na základe ktorej zmluvné strany uznávajú, že finančná zmluva podľa </w:t>
            </w:r>
            <w:hyperlink r:id="rId10" w:anchor="paragraf-21.odsek-12" w:tooltip="Odkaz na predpis alebo ustanovenie" w:history="1">
              <w:r w:rsidRPr="00400D37">
                <w:rPr>
                  <w:rStyle w:val="Hypertextovprepojenie"/>
                  <w:rFonts w:ascii="Arial Narrow" w:hAnsi="Arial Narrow" w:cs="Segoe UI"/>
                  <w:i/>
                  <w:iCs/>
                  <w:color w:val="000000" w:themeColor="text1"/>
                  <w:sz w:val="20"/>
                  <w:szCs w:val="20"/>
                </w:rPr>
                <w:t>§ 21 ods. 12</w:t>
              </w:r>
            </w:hyperlink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 môže podliehať uplatneniu právomoci orgánu pre riešenie krízových situácií pozastaviť alebo obmedziť práva a povinnosti podľa </w:t>
            </w:r>
            <w:hyperlink r:id="rId11" w:anchor="paragraf-8a" w:tooltip="Odkaz na predpis alebo ustanovenie" w:history="1">
              <w:r w:rsidRPr="00400D37">
                <w:rPr>
                  <w:rStyle w:val="Hypertextovprepojenie"/>
                  <w:rFonts w:ascii="Arial Narrow" w:hAnsi="Arial Narrow" w:cs="Segoe UI"/>
                  <w:i/>
                  <w:iCs/>
                  <w:color w:val="000000" w:themeColor="text1"/>
                  <w:sz w:val="20"/>
                  <w:szCs w:val="20"/>
                </w:rPr>
                <w:t>§ 8a</w:t>
              </w:r>
            </w:hyperlink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, </w:t>
            </w:r>
            <w:hyperlink r:id="rId12" w:anchor="paragraf-10" w:tooltip="Odkaz na predpis alebo ustanovenie" w:history="1">
              <w:r w:rsidRPr="00400D37">
                <w:rPr>
                  <w:rStyle w:val="Hypertextovprepojenie"/>
                  <w:rFonts w:ascii="Arial Narrow" w:hAnsi="Arial Narrow" w:cs="Segoe UI"/>
                  <w:i/>
                  <w:iCs/>
                  <w:color w:val="000000" w:themeColor="text1"/>
                  <w:sz w:val="20"/>
                  <w:szCs w:val="20"/>
                </w:rPr>
                <w:t>§ 10</w:t>
              </w:r>
            </w:hyperlink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, </w:t>
            </w:r>
            <w:hyperlink r:id="rId13" w:anchor="paragraf-14" w:tooltip="Odkaz na predpis alebo ustanovenie" w:history="1">
              <w:r w:rsidRPr="00400D37">
                <w:rPr>
                  <w:rStyle w:val="Hypertextovprepojenie"/>
                  <w:rFonts w:ascii="Arial Narrow" w:hAnsi="Arial Narrow" w:cs="Segoe UI"/>
                  <w:i/>
                  <w:iCs/>
                  <w:color w:val="000000" w:themeColor="text1"/>
                  <w:sz w:val="20"/>
                  <w:szCs w:val="20"/>
                </w:rPr>
                <w:t>§ 14</w:t>
              </w:r>
            </w:hyperlink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 a </w:t>
            </w:r>
            <w:hyperlink r:id="rId14" w:anchor="paragraf-15" w:tooltip="Odkaz na predpis alebo ustanovenie" w:history="1">
              <w:r w:rsidRPr="00400D37">
                <w:rPr>
                  <w:rStyle w:val="Hypertextovprepojenie"/>
                  <w:rFonts w:ascii="Arial Narrow" w:hAnsi="Arial Narrow" w:cs="Segoe UI"/>
                  <w:i/>
                  <w:iCs/>
                  <w:color w:val="000000" w:themeColor="text1"/>
                  <w:sz w:val="20"/>
                  <w:szCs w:val="20"/>
                </w:rPr>
                <w:t>15</w:t>
              </w:r>
            </w:hyperlink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 a uznávajú, že sú viazané požiadavkami uvedenými v </w:t>
            </w:r>
            <w:hyperlink r:id="rId15" w:anchor="paragraf-10" w:tooltip="Odkaz na predpis alebo ustanovenie" w:history="1">
              <w:r w:rsidRPr="00400D37">
                <w:rPr>
                  <w:rStyle w:val="Hypertextovprepojenie"/>
                  <w:rFonts w:ascii="Arial Narrow" w:hAnsi="Arial Narrow" w:cs="Segoe UI"/>
                  <w:i/>
                  <w:iCs/>
                  <w:color w:val="000000" w:themeColor="text1"/>
                  <w:sz w:val="20"/>
                  <w:szCs w:val="20"/>
                </w:rPr>
                <w:t>§ 10</w:t>
              </w:r>
            </w:hyperlink>
            <w:r w:rsidRPr="00400D37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.</w:t>
            </w:r>
          </w:p>
          <w:p w14:paraId="264B332A" w14:textId="2B19ECDA" w:rsidR="003C0E92" w:rsidRPr="00400D37" w:rsidRDefault="003C0E92" w:rsidP="003C0E92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8F53" w14:textId="65D9D042" w:rsidR="003C0E92" w:rsidRPr="00504D96" w:rsidRDefault="003C0E92" w:rsidP="003C0E92">
            <w:pPr>
              <w:jc w:val="center"/>
              <w:rPr>
                <w:sz w:val="20"/>
                <w:szCs w:val="20"/>
              </w:rPr>
            </w:pPr>
            <w:r w:rsidRPr="00504D96">
              <w:rPr>
                <w:sz w:val="20"/>
                <w:szCs w:val="20"/>
              </w:rPr>
              <w:t>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53E6A" w14:textId="77777777" w:rsidR="003C0E92" w:rsidRPr="00504D96" w:rsidRDefault="003C0E92" w:rsidP="003C0E9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</w:tbl>
    <w:p w14:paraId="2068B012" w14:textId="77777777" w:rsidR="00A97A37" w:rsidRPr="00504D96" w:rsidRDefault="00A97A37" w:rsidP="002E7825">
      <w:pPr>
        <w:pStyle w:val="Default"/>
      </w:pPr>
    </w:p>
    <w:p w14:paraId="0035F045" w14:textId="77777777" w:rsidR="00AC5D9F" w:rsidRPr="00504D96" w:rsidRDefault="00AC5D9F" w:rsidP="00AC5D9F">
      <w:pPr>
        <w:pStyle w:val="Default"/>
      </w:pPr>
    </w:p>
    <w:p w14:paraId="304F32AD" w14:textId="77777777" w:rsidR="00AC5D9F" w:rsidRPr="00504D96" w:rsidRDefault="00AC5D9F" w:rsidP="00AC5D9F">
      <w:pPr>
        <w:pStyle w:val="Default"/>
        <w:rPr>
          <w:color w:val="auto"/>
          <w:sz w:val="20"/>
          <w:szCs w:val="20"/>
        </w:rPr>
      </w:pPr>
      <w:r w:rsidRPr="00504D96">
        <w:rPr>
          <w:b/>
          <w:bCs/>
          <w:color w:val="auto"/>
          <w:sz w:val="20"/>
          <w:szCs w:val="20"/>
        </w:rPr>
        <w:t xml:space="preserve">Vysvetlivky </w:t>
      </w:r>
    </w:p>
    <w:p w14:paraId="6957E5BF" w14:textId="77777777" w:rsidR="00AC5D9F" w:rsidRPr="00504D96" w:rsidRDefault="00AC5D9F" w:rsidP="00AC5D9F">
      <w:pPr>
        <w:pStyle w:val="Default"/>
        <w:rPr>
          <w:color w:val="auto"/>
          <w:sz w:val="20"/>
          <w:szCs w:val="20"/>
        </w:rPr>
      </w:pPr>
      <w:r w:rsidRPr="00504D96">
        <w:rPr>
          <w:color w:val="auto"/>
          <w:sz w:val="20"/>
          <w:szCs w:val="20"/>
        </w:rPr>
        <w:t xml:space="preserve">V stĺpci (1) sa smernica člení na jednotlivé časti: </w:t>
      </w:r>
    </w:p>
    <w:p w14:paraId="6C15C2E0" w14:textId="77777777" w:rsidR="00AC5D9F" w:rsidRPr="00504D96" w:rsidRDefault="00AC5D9F" w:rsidP="00AC5D9F">
      <w:pPr>
        <w:pStyle w:val="Default"/>
        <w:rPr>
          <w:color w:val="auto"/>
          <w:sz w:val="20"/>
          <w:szCs w:val="20"/>
        </w:rPr>
      </w:pPr>
      <w:r w:rsidRPr="00504D96">
        <w:rPr>
          <w:color w:val="auto"/>
          <w:sz w:val="20"/>
          <w:szCs w:val="20"/>
        </w:rPr>
        <w:t xml:space="preserve">Č - článok </w:t>
      </w:r>
    </w:p>
    <w:p w14:paraId="19E1FA32" w14:textId="77777777" w:rsidR="00AC5D9F" w:rsidRPr="00504D96" w:rsidRDefault="00AC5D9F" w:rsidP="00AC5D9F">
      <w:pPr>
        <w:pStyle w:val="Default"/>
        <w:rPr>
          <w:color w:val="auto"/>
          <w:sz w:val="20"/>
          <w:szCs w:val="20"/>
        </w:rPr>
      </w:pPr>
      <w:r w:rsidRPr="00504D96">
        <w:rPr>
          <w:color w:val="auto"/>
          <w:sz w:val="20"/>
          <w:szCs w:val="20"/>
        </w:rPr>
        <w:lastRenderedPageBreak/>
        <w:t xml:space="preserve">O - odsek </w:t>
      </w:r>
    </w:p>
    <w:p w14:paraId="0D481C85" w14:textId="77777777" w:rsidR="00AC5D9F" w:rsidRPr="00504D96" w:rsidRDefault="00AC5D9F" w:rsidP="00AC5D9F">
      <w:pPr>
        <w:pStyle w:val="Default"/>
        <w:rPr>
          <w:color w:val="auto"/>
          <w:sz w:val="20"/>
          <w:szCs w:val="20"/>
        </w:rPr>
      </w:pPr>
      <w:r w:rsidRPr="00504D96">
        <w:rPr>
          <w:color w:val="auto"/>
          <w:sz w:val="20"/>
          <w:szCs w:val="20"/>
        </w:rPr>
        <w:t xml:space="preserve">V - veta </w:t>
      </w:r>
    </w:p>
    <w:p w14:paraId="227AD151" w14:textId="77777777" w:rsidR="00AC5D9F" w:rsidRPr="00504D96" w:rsidRDefault="00AC5D9F" w:rsidP="00AC5D9F">
      <w:pPr>
        <w:rPr>
          <w:sz w:val="20"/>
          <w:szCs w:val="20"/>
        </w:rPr>
      </w:pPr>
      <w:r w:rsidRPr="00504D96">
        <w:rPr>
          <w:sz w:val="20"/>
          <w:szCs w:val="20"/>
        </w:rPr>
        <w:t>P - číslo (písmeno)</w:t>
      </w:r>
    </w:p>
    <w:p w14:paraId="5CBCD057" w14:textId="77777777" w:rsidR="00AC5D9F" w:rsidRPr="00504D96" w:rsidRDefault="00AC5D9F" w:rsidP="00AC5D9F">
      <w:pPr>
        <w:rPr>
          <w:sz w:val="20"/>
          <w:szCs w:val="20"/>
        </w:rPr>
      </w:pPr>
    </w:p>
    <w:p w14:paraId="5291711F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V stĺpci (3):</w:t>
      </w:r>
    </w:p>
    <w:p w14:paraId="30AD9219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N – bežná transpozícia</w:t>
      </w:r>
    </w:p>
    <w:p w14:paraId="0DCA88C6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O – transpozícia s možnosťou voľby</w:t>
      </w:r>
    </w:p>
    <w:p w14:paraId="2DEDD68B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D – transpozícia podľa úvahy (dobrovoľná)</w:t>
      </w:r>
    </w:p>
    <w:p w14:paraId="184C5855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n.a. – transpozícia sa neuskutočňuje</w:t>
      </w:r>
    </w:p>
    <w:p w14:paraId="43E57372" w14:textId="77777777" w:rsidR="00AC5D9F" w:rsidRPr="00504D96" w:rsidRDefault="00AC5D9F" w:rsidP="00AC5D9F">
      <w:pPr>
        <w:rPr>
          <w:sz w:val="20"/>
          <w:szCs w:val="20"/>
          <w:lang w:eastAsia="en-US"/>
        </w:rPr>
      </w:pPr>
    </w:p>
    <w:p w14:paraId="548AA997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V stĺpci (5):</w:t>
      </w:r>
    </w:p>
    <w:p w14:paraId="6698E324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Č – článok</w:t>
      </w:r>
    </w:p>
    <w:p w14:paraId="124EBB64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§ – paragraf</w:t>
      </w:r>
    </w:p>
    <w:p w14:paraId="7177A099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O – odsek</w:t>
      </w:r>
    </w:p>
    <w:p w14:paraId="15591368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V – veta</w:t>
      </w:r>
    </w:p>
    <w:p w14:paraId="154A4025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P – písmeno (číslo)</w:t>
      </w:r>
    </w:p>
    <w:p w14:paraId="5C8B8A3B" w14:textId="77777777" w:rsidR="00AC5D9F" w:rsidRPr="00504D96" w:rsidRDefault="00AC5D9F" w:rsidP="00AC5D9F">
      <w:pPr>
        <w:rPr>
          <w:sz w:val="20"/>
          <w:szCs w:val="20"/>
          <w:lang w:eastAsia="en-US"/>
        </w:rPr>
      </w:pPr>
    </w:p>
    <w:p w14:paraId="7042DB83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V stĺpci (7):</w:t>
      </w:r>
    </w:p>
    <w:p w14:paraId="4FEC27E0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Ú – úplná zhoda (ak bolo ustanovenie smernice prebraté v celom rozsahu, správne, v príslušnej forme, so zabezpečenou inštitucionálnou  infraštruktúrou, s príslušnými sankciami a vo vzájomnej súvislosti)</w:t>
      </w:r>
    </w:p>
    <w:p w14:paraId="31C29CCF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Č – čiastočná zhoda (ak minimálne jedna z podmienok úplnej zhody nie je splnená)</w:t>
      </w:r>
    </w:p>
    <w:p w14:paraId="12068246" w14:textId="77777777" w:rsidR="00AC5D9F" w:rsidRPr="00504D96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Ž – žiadna zhoda (ak nebola dosiahnutá ani úplná ani čiast. zhoda alebo k prebratiu dôjde v budúcnosti)</w:t>
      </w:r>
    </w:p>
    <w:p w14:paraId="1EC07F70" w14:textId="77777777" w:rsidR="00AC5D9F" w:rsidRPr="002E61DA" w:rsidRDefault="00AC5D9F" w:rsidP="00AC5D9F">
      <w:pPr>
        <w:rPr>
          <w:sz w:val="20"/>
          <w:szCs w:val="20"/>
          <w:lang w:eastAsia="en-US"/>
        </w:rPr>
      </w:pPr>
      <w:r w:rsidRPr="00504D96">
        <w:rPr>
          <w:sz w:val="20"/>
          <w:szCs w:val="20"/>
          <w:lang w:eastAsia="en-US"/>
        </w:rPr>
        <w:t>n.a. – neaplikovateľnosť (ak sa ustanovenie smernice netýka SR alebo nie je potrebné ho prebrať)</w:t>
      </w:r>
    </w:p>
    <w:p w14:paraId="0FAFC990" w14:textId="6223530C" w:rsidR="008867F5" w:rsidRDefault="008867F5" w:rsidP="00AC5D9F">
      <w:pPr>
        <w:pStyle w:val="Default"/>
      </w:pPr>
    </w:p>
    <w:sectPr w:rsidR="008867F5" w:rsidSect="002E7825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AF6A5" w14:textId="77777777" w:rsidR="00E66663" w:rsidRDefault="00E66663" w:rsidP="00D9752C">
      <w:r>
        <w:separator/>
      </w:r>
    </w:p>
  </w:endnote>
  <w:endnote w:type="continuationSeparator" w:id="0">
    <w:p w14:paraId="4836DE0E" w14:textId="77777777" w:rsidR="00E66663" w:rsidRDefault="00E66663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Stencil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517853"/>
      <w:docPartObj>
        <w:docPartGallery w:val="Page Numbers (Bottom of Page)"/>
        <w:docPartUnique/>
      </w:docPartObj>
    </w:sdtPr>
    <w:sdtEndPr/>
    <w:sdtContent>
      <w:p w14:paraId="4DB4CEC8" w14:textId="5496F5BA" w:rsidR="00AC5D9F" w:rsidRDefault="00AC5D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3F">
          <w:rPr>
            <w:noProof/>
          </w:rPr>
          <w:t>2</w:t>
        </w:r>
        <w:r>
          <w:fldChar w:fldCharType="end"/>
        </w:r>
      </w:p>
    </w:sdtContent>
  </w:sdt>
  <w:p w14:paraId="04F17EB7" w14:textId="77777777" w:rsidR="00176115" w:rsidRDefault="001761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313E9" w14:textId="77777777" w:rsidR="00E66663" w:rsidRDefault="00E66663" w:rsidP="00D9752C">
      <w:r>
        <w:separator/>
      </w:r>
    </w:p>
  </w:footnote>
  <w:footnote w:type="continuationSeparator" w:id="0">
    <w:p w14:paraId="5E3984AF" w14:textId="77777777" w:rsidR="00E66663" w:rsidRDefault="00E66663" w:rsidP="00D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00997"/>
    <w:multiLevelType w:val="hybridMultilevel"/>
    <w:tmpl w:val="4586A9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440B9"/>
    <w:multiLevelType w:val="hybridMultilevel"/>
    <w:tmpl w:val="4586938C"/>
    <w:lvl w:ilvl="0" w:tplc="DA62A4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D0EA6"/>
    <w:multiLevelType w:val="hybridMultilevel"/>
    <w:tmpl w:val="3702A4A2"/>
    <w:lvl w:ilvl="0" w:tplc="8C66A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66091"/>
    <w:multiLevelType w:val="hybridMultilevel"/>
    <w:tmpl w:val="F250AE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0EE0"/>
    <w:multiLevelType w:val="hybridMultilevel"/>
    <w:tmpl w:val="2C6A3912"/>
    <w:lvl w:ilvl="0" w:tplc="0F8A846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6EA2E6D"/>
    <w:multiLevelType w:val="hybridMultilevel"/>
    <w:tmpl w:val="C17E9576"/>
    <w:lvl w:ilvl="0" w:tplc="041B000F">
      <w:start w:val="1"/>
      <w:numFmt w:val="decimal"/>
      <w:lvlText w:val="%1."/>
      <w:lvlJc w:val="left"/>
      <w:pPr>
        <w:ind w:left="1866" w:hanging="720"/>
      </w:pPr>
      <w:rPr>
        <w:rFonts w:hint="default"/>
      </w:rPr>
    </w:lvl>
    <w:lvl w:ilvl="1" w:tplc="529E0FF6">
      <w:start w:val="1"/>
      <w:numFmt w:val="lowerLetter"/>
      <w:lvlText w:val="%2)"/>
      <w:lvlJc w:val="left"/>
      <w:pPr>
        <w:ind w:left="222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79115A89"/>
    <w:multiLevelType w:val="hybridMultilevel"/>
    <w:tmpl w:val="3E3851A6"/>
    <w:lvl w:ilvl="0" w:tplc="C980CB1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09EB"/>
    <w:multiLevelType w:val="hybridMultilevel"/>
    <w:tmpl w:val="D8ACBFC2"/>
    <w:lvl w:ilvl="0" w:tplc="7EE6ACF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ACB"/>
    <w:rsid w:val="00013D86"/>
    <w:rsid w:val="000140EC"/>
    <w:rsid w:val="00022DD8"/>
    <w:rsid w:val="00023762"/>
    <w:rsid w:val="000239BD"/>
    <w:rsid w:val="00026EB4"/>
    <w:rsid w:val="000325F5"/>
    <w:rsid w:val="0004396B"/>
    <w:rsid w:val="00046205"/>
    <w:rsid w:val="0006096D"/>
    <w:rsid w:val="000651F3"/>
    <w:rsid w:val="000A4C7D"/>
    <w:rsid w:val="000B2478"/>
    <w:rsid w:val="000B5C85"/>
    <w:rsid w:val="000B61D8"/>
    <w:rsid w:val="0012648E"/>
    <w:rsid w:val="0015694D"/>
    <w:rsid w:val="00165964"/>
    <w:rsid w:val="00176115"/>
    <w:rsid w:val="00181047"/>
    <w:rsid w:val="00190A44"/>
    <w:rsid w:val="001A7522"/>
    <w:rsid w:val="001A7A60"/>
    <w:rsid w:val="001B1235"/>
    <w:rsid w:val="001B5D24"/>
    <w:rsid w:val="001C1B6F"/>
    <w:rsid w:val="001C5BDE"/>
    <w:rsid w:val="001D0B72"/>
    <w:rsid w:val="001D3A16"/>
    <w:rsid w:val="001D5668"/>
    <w:rsid w:val="001F5508"/>
    <w:rsid w:val="0020308A"/>
    <w:rsid w:val="00203D3F"/>
    <w:rsid w:val="00204565"/>
    <w:rsid w:val="0020543A"/>
    <w:rsid w:val="00207A18"/>
    <w:rsid w:val="00211FD0"/>
    <w:rsid w:val="002146E9"/>
    <w:rsid w:val="00236AFE"/>
    <w:rsid w:val="002564C7"/>
    <w:rsid w:val="00295781"/>
    <w:rsid w:val="002957F9"/>
    <w:rsid w:val="002B00DC"/>
    <w:rsid w:val="002C10EC"/>
    <w:rsid w:val="002C4720"/>
    <w:rsid w:val="002D2F8F"/>
    <w:rsid w:val="002E7825"/>
    <w:rsid w:val="002F2BD4"/>
    <w:rsid w:val="002F3DAF"/>
    <w:rsid w:val="00305266"/>
    <w:rsid w:val="00310AD9"/>
    <w:rsid w:val="0031609E"/>
    <w:rsid w:val="00324FFB"/>
    <w:rsid w:val="0039439D"/>
    <w:rsid w:val="00396B1E"/>
    <w:rsid w:val="003A20D1"/>
    <w:rsid w:val="003A303C"/>
    <w:rsid w:val="003A7094"/>
    <w:rsid w:val="003A7DFB"/>
    <w:rsid w:val="003B23C7"/>
    <w:rsid w:val="003C0E92"/>
    <w:rsid w:val="003D5592"/>
    <w:rsid w:val="003D7973"/>
    <w:rsid w:val="003E039A"/>
    <w:rsid w:val="003E1C6F"/>
    <w:rsid w:val="003E4857"/>
    <w:rsid w:val="003F3E99"/>
    <w:rsid w:val="004009F6"/>
    <w:rsid w:val="00400D37"/>
    <w:rsid w:val="00404FDD"/>
    <w:rsid w:val="00405D69"/>
    <w:rsid w:val="004347A3"/>
    <w:rsid w:val="00441086"/>
    <w:rsid w:val="00452316"/>
    <w:rsid w:val="004829CC"/>
    <w:rsid w:val="004869C0"/>
    <w:rsid w:val="004906D6"/>
    <w:rsid w:val="004B4957"/>
    <w:rsid w:val="004B5BA2"/>
    <w:rsid w:val="004C429D"/>
    <w:rsid w:val="004D1734"/>
    <w:rsid w:val="004D32E9"/>
    <w:rsid w:val="004D777C"/>
    <w:rsid w:val="005007D0"/>
    <w:rsid w:val="00504D96"/>
    <w:rsid w:val="005118FA"/>
    <w:rsid w:val="0057123A"/>
    <w:rsid w:val="00572DC1"/>
    <w:rsid w:val="00574975"/>
    <w:rsid w:val="005749D4"/>
    <w:rsid w:val="0057629B"/>
    <w:rsid w:val="00581EDA"/>
    <w:rsid w:val="00587A80"/>
    <w:rsid w:val="005A2513"/>
    <w:rsid w:val="005A5F8E"/>
    <w:rsid w:val="005B3E0D"/>
    <w:rsid w:val="005B532E"/>
    <w:rsid w:val="005C0413"/>
    <w:rsid w:val="005D3972"/>
    <w:rsid w:val="005E3CFC"/>
    <w:rsid w:val="005F0AE7"/>
    <w:rsid w:val="006065C7"/>
    <w:rsid w:val="00620D34"/>
    <w:rsid w:val="006468C2"/>
    <w:rsid w:val="00652327"/>
    <w:rsid w:val="0065671B"/>
    <w:rsid w:val="00657431"/>
    <w:rsid w:val="00683FF6"/>
    <w:rsid w:val="00685013"/>
    <w:rsid w:val="00693771"/>
    <w:rsid w:val="006A3665"/>
    <w:rsid w:val="006B2CE6"/>
    <w:rsid w:val="006C7728"/>
    <w:rsid w:val="006F01FA"/>
    <w:rsid w:val="0072073D"/>
    <w:rsid w:val="00747763"/>
    <w:rsid w:val="00750F44"/>
    <w:rsid w:val="00771005"/>
    <w:rsid w:val="007B5930"/>
    <w:rsid w:val="007C0457"/>
    <w:rsid w:val="007C42B2"/>
    <w:rsid w:val="007C44BD"/>
    <w:rsid w:val="007D2F8C"/>
    <w:rsid w:val="007D3EFD"/>
    <w:rsid w:val="007F0812"/>
    <w:rsid w:val="007F52BE"/>
    <w:rsid w:val="0081045A"/>
    <w:rsid w:val="0081483E"/>
    <w:rsid w:val="00857336"/>
    <w:rsid w:val="0088155E"/>
    <w:rsid w:val="008867F5"/>
    <w:rsid w:val="00891E79"/>
    <w:rsid w:val="008B226D"/>
    <w:rsid w:val="008B35F4"/>
    <w:rsid w:val="008B70A9"/>
    <w:rsid w:val="008C43CF"/>
    <w:rsid w:val="008C779F"/>
    <w:rsid w:val="008D0D17"/>
    <w:rsid w:val="009059AB"/>
    <w:rsid w:val="009140A7"/>
    <w:rsid w:val="00934615"/>
    <w:rsid w:val="00951958"/>
    <w:rsid w:val="00953B17"/>
    <w:rsid w:val="00962217"/>
    <w:rsid w:val="00975D52"/>
    <w:rsid w:val="00977BE8"/>
    <w:rsid w:val="00986654"/>
    <w:rsid w:val="00992855"/>
    <w:rsid w:val="00993F86"/>
    <w:rsid w:val="009A1082"/>
    <w:rsid w:val="009A1D60"/>
    <w:rsid w:val="009B64EF"/>
    <w:rsid w:val="009C051E"/>
    <w:rsid w:val="009D0ACB"/>
    <w:rsid w:val="009F250C"/>
    <w:rsid w:val="009F2EFC"/>
    <w:rsid w:val="00A118AD"/>
    <w:rsid w:val="00A13A19"/>
    <w:rsid w:val="00A13C67"/>
    <w:rsid w:val="00A15D13"/>
    <w:rsid w:val="00A30627"/>
    <w:rsid w:val="00A6041C"/>
    <w:rsid w:val="00A62649"/>
    <w:rsid w:val="00A63A0D"/>
    <w:rsid w:val="00A676DB"/>
    <w:rsid w:val="00A71447"/>
    <w:rsid w:val="00A7528C"/>
    <w:rsid w:val="00A762B8"/>
    <w:rsid w:val="00A76652"/>
    <w:rsid w:val="00A9431D"/>
    <w:rsid w:val="00A97A37"/>
    <w:rsid w:val="00AB18E5"/>
    <w:rsid w:val="00AB69FB"/>
    <w:rsid w:val="00AC5D9F"/>
    <w:rsid w:val="00AE794F"/>
    <w:rsid w:val="00AF2B07"/>
    <w:rsid w:val="00AF6EE7"/>
    <w:rsid w:val="00AF76F1"/>
    <w:rsid w:val="00B0127B"/>
    <w:rsid w:val="00B01295"/>
    <w:rsid w:val="00B02B6B"/>
    <w:rsid w:val="00B11BC2"/>
    <w:rsid w:val="00B21EB7"/>
    <w:rsid w:val="00B30A5A"/>
    <w:rsid w:val="00B30C3C"/>
    <w:rsid w:val="00B37030"/>
    <w:rsid w:val="00B46758"/>
    <w:rsid w:val="00B50A2C"/>
    <w:rsid w:val="00B622E8"/>
    <w:rsid w:val="00B71719"/>
    <w:rsid w:val="00B72F7E"/>
    <w:rsid w:val="00B74CDF"/>
    <w:rsid w:val="00B7573F"/>
    <w:rsid w:val="00B91095"/>
    <w:rsid w:val="00BA3524"/>
    <w:rsid w:val="00BA3830"/>
    <w:rsid w:val="00BA4333"/>
    <w:rsid w:val="00BA5BF7"/>
    <w:rsid w:val="00BA7A67"/>
    <w:rsid w:val="00BB2C0B"/>
    <w:rsid w:val="00BF6C43"/>
    <w:rsid w:val="00C133B3"/>
    <w:rsid w:val="00C16835"/>
    <w:rsid w:val="00C26B7D"/>
    <w:rsid w:val="00C26ED7"/>
    <w:rsid w:val="00C50433"/>
    <w:rsid w:val="00C548DB"/>
    <w:rsid w:val="00C5581D"/>
    <w:rsid w:val="00C84B55"/>
    <w:rsid w:val="00C92DD5"/>
    <w:rsid w:val="00CC4851"/>
    <w:rsid w:val="00CC78CF"/>
    <w:rsid w:val="00CD71B4"/>
    <w:rsid w:val="00CF03F6"/>
    <w:rsid w:val="00D004F2"/>
    <w:rsid w:val="00D010C8"/>
    <w:rsid w:val="00D24E20"/>
    <w:rsid w:val="00D35676"/>
    <w:rsid w:val="00D45C24"/>
    <w:rsid w:val="00D50B44"/>
    <w:rsid w:val="00D572AF"/>
    <w:rsid w:val="00D676E2"/>
    <w:rsid w:val="00D752F2"/>
    <w:rsid w:val="00D82975"/>
    <w:rsid w:val="00D84C8E"/>
    <w:rsid w:val="00D854AE"/>
    <w:rsid w:val="00D9215D"/>
    <w:rsid w:val="00D9752C"/>
    <w:rsid w:val="00DA2DC7"/>
    <w:rsid w:val="00DB602D"/>
    <w:rsid w:val="00DC1BFE"/>
    <w:rsid w:val="00DC6CDC"/>
    <w:rsid w:val="00DD182F"/>
    <w:rsid w:val="00DE1C67"/>
    <w:rsid w:val="00DF6F35"/>
    <w:rsid w:val="00E256BE"/>
    <w:rsid w:val="00E405EB"/>
    <w:rsid w:val="00E66663"/>
    <w:rsid w:val="00E774D5"/>
    <w:rsid w:val="00E85C5D"/>
    <w:rsid w:val="00E9684F"/>
    <w:rsid w:val="00E971D9"/>
    <w:rsid w:val="00EC024E"/>
    <w:rsid w:val="00EF08CA"/>
    <w:rsid w:val="00EF4EF7"/>
    <w:rsid w:val="00F17A64"/>
    <w:rsid w:val="00F46272"/>
    <w:rsid w:val="00F534B2"/>
    <w:rsid w:val="00F537F2"/>
    <w:rsid w:val="00F55DD7"/>
    <w:rsid w:val="00F6585D"/>
    <w:rsid w:val="00F7024A"/>
    <w:rsid w:val="00F821CE"/>
    <w:rsid w:val="00F90EA0"/>
    <w:rsid w:val="00F91C57"/>
    <w:rsid w:val="00F947F8"/>
    <w:rsid w:val="00F9661F"/>
    <w:rsid w:val="00FA3F1F"/>
    <w:rsid w:val="00FA6309"/>
    <w:rsid w:val="00FB619F"/>
    <w:rsid w:val="00FC38EA"/>
    <w:rsid w:val="00FC6046"/>
    <w:rsid w:val="00FC698B"/>
    <w:rsid w:val="00FC6F8B"/>
    <w:rsid w:val="00FD2202"/>
    <w:rsid w:val="00FD31F3"/>
    <w:rsid w:val="00FE0642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603"/>
  <w15:docId w15:val="{B994A8DD-4B2A-451A-9717-0CCC643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8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paragraph" w:customStyle="1" w:styleId="norm2">
    <w:name w:val="norm2"/>
    <w:basedOn w:val="Normlny"/>
    <w:rsid w:val="00176115"/>
    <w:pPr>
      <w:autoSpaceDE/>
      <w:autoSpaceDN/>
      <w:spacing w:before="120" w:line="312" w:lineRule="atLeast"/>
      <w:jc w:val="both"/>
    </w:pPr>
  </w:style>
  <w:style w:type="paragraph" w:customStyle="1" w:styleId="list1">
    <w:name w:val="list1"/>
    <w:basedOn w:val="Normlny"/>
    <w:rsid w:val="006065C7"/>
    <w:pPr>
      <w:autoSpaceDE/>
      <w:autoSpaceDN/>
      <w:spacing w:line="312" w:lineRule="atLeast"/>
      <w:ind w:left="240"/>
      <w:jc w:val="both"/>
    </w:pPr>
  </w:style>
  <w:style w:type="paragraph" w:styleId="Obyajntext">
    <w:name w:val="Plain Text"/>
    <w:basedOn w:val="Normlny"/>
    <w:link w:val="ObyajntextChar"/>
    <w:uiPriority w:val="99"/>
    <w:unhideWhenUsed/>
    <w:rsid w:val="00A15D13"/>
    <w:pPr>
      <w:autoSpaceDE/>
      <w:autoSpaceDN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15D13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A15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5D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5D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D1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1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l31">
    <w:name w:val="l3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41">
    <w:name w:val="l4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51">
    <w:name w:val="l51"/>
    <w:basedOn w:val="Normlny"/>
    <w:rsid w:val="004906D6"/>
    <w:pPr>
      <w:autoSpaceDE/>
      <w:autoSpaceDN/>
      <w:spacing w:before="144" w:after="144"/>
      <w:jc w:val="both"/>
    </w:pPr>
  </w:style>
  <w:style w:type="paragraph" w:customStyle="1" w:styleId="Normlny3">
    <w:name w:val="Normálny3"/>
    <w:basedOn w:val="Normlny"/>
    <w:rsid w:val="003C0E92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6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9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32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2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6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897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5106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41792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2351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4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167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01709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76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45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5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239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932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657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62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4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7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8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0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8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68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8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8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4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5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2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1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6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7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2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6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2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9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4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0919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87911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4778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09997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454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016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8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375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838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371/" TargetMode="External"/><Relationship Id="rId13" Type="http://schemas.openxmlformats.org/officeDocument/2006/relationships/hyperlink" Target="https://www.slov-lex.sk/pravne-predpisy/SK/ZZ/2014/37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4/37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37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4/371/" TargetMode="External"/><Relationship Id="rId10" Type="http://schemas.openxmlformats.org/officeDocument/2006/relationships/hyperlink" Target="https://www.slov-lex.sk/pravne-predpisy/SK/ZZ/2014/3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4/371/" TargetMode="External"/><Relationship Id="rId14" Type="http://schemas.openxmlformats.org/officeDocument/2006/relationships/hyperlink" Target="https://www.slov-lex.sk/pravne-predpisy/SK/ZZ/2014/37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023F-655E-43A9-878E-6E543C62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Bartikova Anna</dc:creator>
  <cp:lastModifiedBy>Precuchova Georgina</cp:lastModifiedBy>
  <cp:revision>2</cp:revision>
  <cp:lastPrinted>2022-01-31T07:41:00Z</cp:lastPrinted>
  <dcterms:created xsi:type="dcterms:W3CDTF">2022-01-31T11:58:00Z</dcterms:created>
  <dcterms:modified xsi:type="dcterms:W3CDTF">2022-01-31T11:58:00Z</dcterms:modified>
</cp:coreProperties>
</file>