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13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682"/>
        <w:gridCol w:w="6662"/>
        <w:gridCol w:w="426"/>
        <w:gridCol w:w="708"/>
        <w:gridCol w:w="709"/>
        <w:gridCol w:w="5670"/>
        <w:gridCol w:w="425"/>
        <w:gridCol w:w="851"/>
      </w:tblGrid>
      <w:tr>
        <w:tblPrEx>
          <w:tblW w:w="16133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13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DD2C4B" w:rsidP="0078287E">
            <w:pPr>
              <w:pStyle w:val="Heading1"/>
              <w:bidi w:val="0"/>
              <w:rPr>
                <w:rFonts w:ascii="Times New Roman" w:hAnsi="Times New Roman"/>
              </w:rPr>
            </w:pPr>
            <w:r w:rsidRPr="00DD2C4B">
              <w:rPr>
                <w:rFonts w:ascii="Times New Roman" w:hAnsi="Times New Roman"/>
              </w:rPr>
              <w:t>TABUĽKA  ZHODY</w:t>
            </w:r>
            <w:r w:rsidRPr="00DD2C4B" w:rsidR="006A1D7B">
              <w:rPr>
                <w:rFonts w:ascii="Times New Roman" w:hAnsi="Times New Roman"/>
              </w:rPr>
              <w:t xml:space="preserve"> </w:t>
            </w:r>
          </w:p>
          <w:p w:rsidR="006A1D7B" w:rsidRPr="00DD2C4B" w:rsidP="006A1D7B">
            <w:pPr>
              <w:bidi w:val="0"/>
              <w:spacing w:before="120" w:beforeAutospacing="0" w:after="0" w:afterAutospacing="0"/>
              <w:jc w:val="center"/>
              <w:rPr>
                <w:rFonts w:ascii="Times New Roman" w:hAnsi="Times New Roman"/>
              </w:rPr>
            </w:pPr>
            <w:r w:rsidRPr="00DD2C4B">
              <w:rPr>
                <w:rFonts w:ascii="Times New Roman" w:hAnsi="Times New Roman"/>
                <w:b/>
                <w:bCs/>
              </w:rPr>
              <w:t>návrhu zákona s právom Európskej únie</w:t>
            </w:r>
          </w:p>
          <w:p w:rsidR="008C54C3" w:rsidRPr="00DD2C4B" w:rsidP="007872B7">
            <w:pPr>
              <w:tabs>
                <w:tab w:val="left" w:pos="0"/>
              </w:tabs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16133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77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E7DD6" w:rsidRPr="00135528" w:rsidP="00135528">
            <w:pPr>
              <w:pStyle w:val="Heading4"/>
              <w:bidi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528" w:rsidR="00DE0F85">
              <w:rPr>
                <w:rFonts w:ascii="Times New Roman" w:hAnsi="Times New Roman"/>
                <w:sz w:val="24"/>
                <w:szCs w:val="24"/>
              </w:rPr>
              <w:t>Smernica EÚ</w:t>
            </w:r>
          </w:p>
          <w:p w:rsidR="009D5B18" w:rsidRPr="00135528" w:rsidP="009D5B18">
            <w:pPr>
              <w:autoSpaceDE w:val="0"/>
              <w:autoSpaceDN w:val="0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9D5B18" w:rsidRPr="001422B6" w:rsidP="009D5B18">
            <w:pPr>
              <w:pStyle w:val="doc-ti"/>
              <w:shd w:val="clear" w:color="auto" w:fill="FFFFFF"/>
              <w:bidi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22B6">
              <w:rPr>
                <w:rFonts w:ascii="Times New Roman" w:hAnsi="Times New Roman"/>
                <w:color w:val="000000"/>
                <w:sz w:val="22"/>
                <w:szCs w:val="22"/>
              </w:rPr>
              <w:t>SMERNICA EURÓPSKEHO PARLAMENTU A RADY (EÚ) 2019/1160 z 20. júna 2019, ktorou sa mení smernica 2009/65/ES a smernica 2011/61/EÚ, pokiaľ ide o cezhraničnú distribúciu podnikov kolektívneho investovania</w:t>
            </w:r>
          </w:p>
          <w:p w:rsidR="009D5B18" w:rsidRPr="00135528" w:rsidP="009D5B18">
            <w:pPr>
              <w:autoSpaceDE w:val="0"/>
              <w:autoSpaceDN w:val="0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A9658F">
              <w:rPr>
                <w:rFonts w:ascii="Times New Roman" w:hAnsi="Times New Roman"/>
              </w:rPr>
              <w:t>(</w:t>
            </w:r>
            <w:r w:rsidRPr="004E0B44" w:rsidR="00A9658F">
              <w:rPr>
                <w:rFonts w:ascii="Times New Roman" w:hAnsi="Times New Roman"/>
                <w:sz w:val="22"/>
                <w:szCs w:val="22"/>
              </w:rPr>
              <w:t xml:space="preserve">Ú.v. EÚ L </w:t>
            </w:r>
            <w:r w:rsidRPr="00874646" w:rsidR="00A9658F">
              <w:rPr>
                <w:rFonts w:ascii="Times New Roman" w:hAnsi="Times New Roman"/>
                <w:sz w:val="22"/>
                <w:szCs w:val="22"/>
              </w:rPr>
              <w:t>188, 1</w:t>
            </w:r>
            <w:r w:rsidRPr="00874646" w:rsidR="007A3407">
              <w:rPr>
                <w:rFonts w:ascii="Times New Roman" w:hAnsi="Times New Roman"/>
                <w:sz w:val="22"/>
                <w:szCs w:val="22"/>
              </w:rPr>
              <w:t>2</w:t>
            </w:r>
            <w:r w:rsidRPr="00874646" w:rsidR="00A9658F">
              <w:rPr>
                <w:rFonts w:ascii="Times New Roman" w:hAnsi="Times New Roman"/>
                <w:sz w:val="22"/>
                <w:szCs w:val="22"/>
              </w:rPr>
              <w:t>.7.</w:t>
            </w:r>
            <w:r w:rsidR="00A9658F">
              <w:rPr>
                <w:rFonts w:ascii="Times New Roman" w:hAnsi="Times New Roman"/>
                <w:sz w:val="22"/>
                <w:szCs w:val="22"/>
              </w:rPr>
              <w:t>2019)</w:t>
            </w:r>
          </w:p>
          <w:p w:rsidR="009D5B18" w:rsidRPr="00135528" w:rsidP="009D5B18">
            <w:pPr>
              <w:autoSpaceDE w:val="0"/>
              <w:autoSpaceDN w:val="0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9D5B18" w:rsidRPr="00135528" w:rsidP="009D5B18">
            <w:pPr>
              <w:autoSpaceDE w:val="0"/>
              <w:autoSpaceDN w:val="0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DD2C4B" w:rsidP="00135528">
            <w:pPr>
              <w:pStyle w:val="Heading4"/>
              <w:bidi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4B" w:rsidR="000E689A">
              <w:rPr>
                <w:rFonts w:ascii="Times New Roman" w:hAnsi="Times New Roman"/>
                <w:sz w:val="24"/>
                <w:szCs w:val="24"/>
              </w:rPr>
              <w:t>P</w:t>
            </w:r>
            <w:r w:rsidRPr="00DD2C4B">
              <w:rPr>
                <w:rFonts w:ascii="Times New Roman" w:hAnsi="Times New Roman"/>
                <w:sz w:val="24"/>
                <w:szCs w:val="24"/>
              </w:rPr>
              <w:t>rávne predpisy Slovenskej republiky</w:t>
            </w:r>
          </w:p>
          <w:p w:rsidR="00A9658F" w:rsidP="00A9658F">
            <w:pPr>
              <w:widowControl w:val="0"/>
              <w:bidi w:val="0"/>
              <w:spacing w:before="120" w:beforeAutospacing="0" w:after="0" w:afterAutospacing="0"/>
              <w:ind w:left="4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E0B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Návrh zákona, </w:t>
            </w:r>
            <w:r w:rsidRPr="009675C4">
              <w:rPr>
                <w:rFonts w:ascii="Times New Roman" w:hAnsi="Times New Roman"/>
                <w:b/>
                <w:bCs/>
                <w:sz w:val="22"/>
                <w:szCs w:val="22"/>
              </w:rPr>
              <w:t>ktorým sa mení a dopĺňa zákon č. 371/2014 Z. z. o riešení krízových situácií na finančnom trhu a o zmene a doplnení niektorých zákonov v znení neskorších predpisov a ktorým sa menia a dopĺňajú niektoré zákony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4E0B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(ďalej „návrh zákona“)</w:t>
            </w:r>
          </w:p>
          <w:p w:rsidR="008D4725" w:rsidP="008D4725">
            <w:pPr>
              <w:pStyle w:val="Heading4"/>
              <w:bidi w:val="0"/>
              <w:spacing w:before="12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4725" w:rsidRPr="00DD2C4B" w:rsidP="008D4725">
            <w:pPr>
              <w:pStyle w:val="Heading4"/>
              <w:bidi w:val="0"/>
              <w:spacing w:before="12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D2C4B">
              <w:rPr>
                <w:rFonts w:ascii="Times New Roman" w:hAnsi="Times New Roman"/>
                <w:b w:val="0"/>
                <w:sz w:val="24"/>
                <w:szCs w:val="24"/>
              </w:rPr>
              <w:t>Zákon č. 203/2011 Z. z. o kolektívnom investovaní</w:t>
            </w:r>
            <w:r w:rsidRPr="00DD2C4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v znení neskorších predpisov (ďalej „203/2011“)</w:t>
            </w:r>
          </w:p>
          <w:p w:rsidR="009D5B18" w:rsidRPr="00DD2C4B" w:rsidP="00FF3C39">
            <w:pPr>
              <w:tabs>
                <w:tab w:val="left" w:pos="0"/>
              </w:tabs>
              <w:autoSpaceDE w:val="0"/>
              <w:autoSpaceDN w:val="0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6133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153F7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153F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153F7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153F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153F7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153F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153F7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153F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153F7">
            <w:pPr>
              <w:pStyle w:val="BodyText2"/>
              <w:bidi w:val="0"/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  <w:r w:rsidRPr="002153F7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153F7">
            <w:pPr>
              <w:pStyle w:val="BodyText2"/>
              <w:bidi w:val="0"/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  <w:r w:rsidRPr="002153F7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153F7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153F7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153F7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153F7" w:rsidR="005170A9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>
        <w:tblPrEx>
          <w:tblW w:w="16133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153F7" w:rsidP="00874646">
            <w:pPr>
              <w:pStyle w:val="Normlny"/>
              <w:bidi w:val="0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153F7">
              <w:rPr>
                <w:rFonts w:ascii="Arial Narrow" w:hAnsi="Arial Narrow"/>
                <w:sz w:val="22"/>
                <w:szCs w:val="22"/>
              </w:rPr>
              <w:t>Článok</w:t>
            </w:r>
          </w:p>
          <w:p w:rsidR="00A9063F" w:rsidRPr="002153F7">
            <w:pPr>
              <w:pStyle w:val="Normlny"/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153F7">
              <w:rPr>
                <w:rFonts w:ascii="Arial Narrow" w:hAnsi="Arial Narrow"/>
                <w:sz w:val="22"/>
                <w:szCs w:val="22"/>
              </w:rPr>
              <w:t>(Č, O,</w:t>
            </w:r>
          </w:p>
          <w:p w:rsidR="00A9063F" w:rsidRPr="002153F7">
            <w:pPr>
              <w:pStyle w:val="Normlny"/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153F7">
              <w:rPr>
                <w:rFonts w:ascii="Arial Narrow" w:hAnsi="Arial Narrow"/>
                <w:sz w:val="22"/>
                <w:szCs w:val="22"/>
              </w:rPr>
              <w:t>V, P)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153F7">
            <w:pPr>
              <w:pStyle w:val="Normlny"/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153F7">
              <w:rPr>
                <w:rFonts w:ascii="Arial Narrow" w:hAnsi="Arial Narrow"/>
                <w:sz w:val="22"/>
                <w:szCs w:val="22"/>
              </w:rPr>
              <w:t>Text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153F7">
            <w:pPr>
              <w:pStyle w:val="Normlny"/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153F7">
              <w:rPr>
                <w:rFonts w:ascii="Arial Narrow" w:hAnsi="Arial Narrow"/>
                <w:sz w:val="22"/>
                <w:szCs w:val="22"/>
              </w:rPr>
              <w:t>Spôsob transp.</w:t>
            </w:r>
          </w:p>
          <w:p w:rsidR="00A9063F" w:rsidRPr="002153F7">
            <w:pPr>
              <w:pStyle w:val="Normlny"/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153F7">
              <w:rPr>
                <w:rFonts w:ascii="Arial Narrow" w:hAnsi="Arial Narrow"/>
                <w:sz w:val="22"/>
                <w:szCs w:val="22"/>
              </w:rPr>
              <w:t>(N, O, D, n.a.)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153F7">
            <w:pPr>
              <w:pStyle w:val="Normlny"/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153F7">
              <w:rPr>
                <w:rFonts w:ascii="Arial Narrow" w:hAnsi="Arial Narrow"/>
                <w:sz w:val="22"/>
                <w:szCs w:val="22"/>
              </w:rPr>
              <w:t>Číslo</w:t>
            </w:r>
          </w:p>
          <w:p w:rsidR="00A9063F" w:rsidRPr="002153F7">
            <w:pPr>
              <w:pStyle w:val="Normlny"/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153F7">
              <w:rPr>
                <w:rFonts w:ascii="Arial Narrow" w:hAnsi="Arial Narrow"/>
                <w:sz w:val="22"/>
                <w:szCs w:val="22"/>
              </w:rPr>
              <w:t>predpisu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153F7">
            <w:pPr>
              <w:pStyle w:val="Normlny"/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153F7">
              <w:rPr>
                <w:rFonts w:ascii="Arial Narrow" w:hAnsi="Arial Narrow"/>
                <w:sz w:val="22"/>
                <w:szCs w:val="22"/>
              </w:rPr>
              <w:t>Článok (Č, §, O, V, P)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153F7">
            <w:pPr>
              <w:pStyle w:val="Normlny"/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153F7">
              <w:rPr>
                <w:rFonts w:ascii="Arial Narrow" w:hAnsi="Arial Narrow"/>
                <w:sz w:val="22"/>
                <w:szCs w:val="22"/>
              </w:rPr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153F7">
            <w:pPr>
              <w:pStyle w:val="Normlny"/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153F7">
              <w:rPr>
                <w:rFonts w:ascii="Arial Narrow" w:hAnsi="Arial Narrow"/>
                <w:sz w:val="22"/>
                <w:szCs w:val="22"/>
              </w:rPr>
              <w:t>Zhoda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153F7">
            <w:pPr>
              <w:pStyle w:val="Normlny"/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153F7">
              <w:rPr>
                <w:rFonts w:ascii="Arial Narrow" w:hAnsi="Arial Narrow"/>
                <w:sz w:val="22"/>
                <w:szCs w:val="22"/>
              </w:rPr>
              <w:t>Poznámky</w:t>
            </w:r>
          </w:p>
        </w:tc>
      </w:tr>
      <w:tr>
        <w:tblPrEx>
          <w:tblW w:w="16133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2F39" w:rsidRPr="00874646" w:rsidP="00874646">
            <w:pPr>
              <w:autoSpaceDE w:val="0"/>
              <w:autoSpaceDN w:val="0"/>
              <w:bidi w:val="0"/>
              <w:spacing w:before="12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2A2757">
              <w:rPr>
                <w:rFonts w:ascii="Times New Roman" w:hAnsi="Times New Roman"/>
                <w:sz w:val="22"/>
                <w:szCs w:val="22"/>
              </w:rPr>
              <w:t>Čl</w:t>
            </w:r>
            <w:r w:rsidRPr="00874646" w:rsidR="002A2757">
              <w:rPr>
                <w:rFonts w:ascii="Times New Roman" w:hAnsi="Times New Roman"/>
                <w:sz w:val="22"/>
                <w:szCs w:val="22"/>
              </w:rPr>
              <w:t>. 1</w:t>
            </w:r>
          </w:p>
          <w:p w:rsidR="00A17274" w:rsidRPr="009D5B18" w:rsidP="00874646">
            <w:pPr>
              <w:autoSpaceDE w:val="0"/>
              <w:autoSpaceDN w:val="0"/>
              <w:bidi w:val="0"/>
              <w:spacing w:before="12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646">
              <w:rPr>
                <w:rFonts w:ascii="Times New Roman" w:hAnsi="Times New Roman"/>
                <w:sz w:val="22"/>
                <w:szCs w:val="22"/>
              </w:rPr>
              <w:t>Bod 4</w:t>
            </w:r>
            <w:r w:rsidRPr="00874646" w:rsidR="00D03F84">
              <w:rPr>
                <w:rFonts w:ascii="Times New Roman" w:hAnsi="Times New Roman"/>
                <w:sz w:val="22"/>
                <w:szCs w:val="22"/>
              </w:rPr>
              <w:t xml:space="preserve"> (čl. 92</w:t>
            </w:r>
            <w:r w:rsidR="00A4224E">
              <w:rPr>
                <w:rFonts w:ascii="Times New Roman" w:hAnsi="Times New Roman"/>
                <w:sz w:val="22"/>
                <w:szCs w:val="22"/>
              </w:rPr>
              <w:t xml:space="preserve"> ods. 1,ods. 2, ods. 3 písm. a), písm. b)</w:t>
            </w:r>
            <w:r w:rsidRPr="00874646" w:rsidR="00D03F84">
              <w:rPr>
                <w:rFonts w:ascii="Times New Roman" w:hAnsi="Times New Roman"/>
                <w:sz w:val="22"/>
                <w:szCs w:val="22"/>
              </w:rPr>
              <w:t xml:space="preserve"> smer. 2009/65/ES)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4AB7" w:rsidRPr="00874646" w:rsidP="00954AB7">
            <w:pPr>
              <w:shd w:val="clear" w:color="auto" w:fill="FFFFFF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iCs/>
              </w:rPr>
            </w:pPr>
            <w:r w:rsidRPr="00874646">
              <w:rPr>
                <w:rFonts w:ascii="Times New Roman" w:hAnsi="Times New Roman"/>
                <w:iCs/>
              </w:rPr>
              <w:t>Článok 1</w:t>
            </w:r>
          </w:p>
          <w:p w:rsidR="00954AB7" w:rsidRPr="00874646" w:rsidP="00954AB7">
            <w:pPr>
              <w:shd w:val="clear" w:color="auto" w:fill="FFFFFF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874646">
              <w:rPr>
                <w:rFonts w:ascii="Times New Roman" w:hAnsi="Times New Roman"/>
                <w:b/>
                <w:bCs/>
              </w:rPr>
              <w:t>Zmeny smernice 2009/65/ES</w:t>
            </w:r>
          </w:p>
          <w:p w:rsidR="00954AB7" w:rsidRPr="00954AB7" w:rsidP="00954AB7">
            <w:pPr>
              <w:shd w:val="clear" w:color="auto" w:fill="FFFFFF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74646">
              <w:rPr>
                <w:rFonts w:ascii="Times New Roman" w:hAnsi="Times New Roman"/>
              </w:rPr>
              <w:t>Smernica 2009/65/ES sa mení takto:</w:t>
            </w:r>
          </w:p>
          <w:tbl>
            <w:tblPr>
              <w:tblStyle w:val="TableNormal"/>
              <w:tblW w:w="6662" w:type="dxa"/>
              <w:tblInd w:w="9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7"/>
              <w:gridCol w:w="6525"/>
            </w:tblGrid>
            <w:tr>
              <w:tblPrEx>
                <w:tblW w:w="6662" w:type="dxa"/>
                <w:tblInd w:w="99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3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  <w:hideMark/>
                </w:tcPr>
                <w:p w:rsidR="009D5B18" w:rsidRPr="009D5B18" w:rsidP="009D5B18">
                  <w:pPr>
                    <w:bidi w:val="0"/>
                    <w:spacing w:before="120" w:beforeAutospacing="0" w:after="0" w:afterAutospacing="0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D5B1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652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  <w:hideMark/>
                </w:tcPr>
                <w:p w:rsidR="009D5B18" w:rsidRPr="009D5B18" w:rsidP="009D5B18">
                  <w:pPr>
                    <w:bidi w:val="0"/>
                    <w:spacing w:before="120" w:beforeAutospacing="0" w:after="0" w:afterAutospacing="0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D5B1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Článok 92 sa nahrádza takto:</w:t>
                  </w:r>
                </w:p>
                <w:p w:rsidR="009D5B18" w:rsidRPr="009D5B18" w:rsidP="009D5B18">
                  <w:pPr>
                    <w:bidi w:val="0"/>
                    <w:spacing w:before="360" w:beforeAutospacing="0" w:after="120" w:afterAutospacing="0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9D5B18">
                    <w:rPr>
                      <w:rFonts w:ascii="Times New Roman" w:hAnsi="Times New Roman"/>
                      <w:i/>
                      <w:iCs/>
                      <w:color w:val="000000"/>
                      <w:sz w:val="22"/>
                      <w:szCs w:val="22"/>
                    </w:rPr>
                    <w:t>„Článok 92</w:t>
                  </w:r>
                </w:p>
                <w:p w:rsidR="009D5B18" w:rsidP="00B4035A">
                  <w:pPr>
                    <w:bidi w:val="0"/>
                    <w:spacing w:before="120" w:beforeAutospacing="0" w:after="0" w:afterAutospacing="0"/>
                    <w:ind w:right="283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D5B1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1.   Členské štáty zabezpečia, aby PKIPCP sprístupnil v každom členskom štáte, v ktorom má v úmysle uvádzať na trh svoje podielové listy, zariadenia na vykonávanie týchto úloh:</w:t>
                  </w:r>
                </w:p>
                <w:p w:rsidR="00E80756" w:rsidP="00B4035A">
                  <w:pPr>
                    <w:bidi w:val="0"/>
                    <w:spacing w:before="120" w:beforeAutospacing="0" w:after="0" w:afterAutospacing="0"/>
                    <w:ind w:right="283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E80756" w:rsidRPr="009D5B18" w:rsidP="00B4035A">
                  <w:pPr>
                    <w:bidi w:val="0"/>
                    <w:spacing w:before="120" w:beforeAutospacing="0" w:after="0" w:afterAutospacing="0"/>
                    <w:ind w:right="283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Style w:val="TableNormal"/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5"/>
                    <w:gridCol w:w="15"/>
                    <w:gridCol w:w="6024"/>
                    <w:gridCol w:w="221"/>
                  </w:tblGrid>
                  <w:tr>
                    <w:tblPrEx>
                      <w:tblW w:w="5000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280" w:type="dxa"/>
                        <w:gridSpan w:val="2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9D5B18" w:rsidRPr="009D5B18" w:rsidP="009D5B18">
                        <w:pPr>
                          <w:bidi w:val="0"/>
                          <w:spacing w:before="120" w:beforeAutospacing="0" w:after="0" w:afterAutospacing="0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a)</w:t>
                        </w:r>
                      </w:p>
                    </w:tc>
                    <w:tc>
                      <w:tcPr>
                        <w:tcW w:w="6245" w:type="dxa"/>
                        <w:gridSpan w:val="2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9D5B18" w:rsidP="00B4035A">
                        <w:pPr>
                          <w:bidi w:val="0"/>
                          <w:spacing w:before="120" w:beforeAutospacing="0" w:after="0" w:afterAutospacing="0"/>
                          <w:ind w:right="283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spracovávanie pokynov na upísanie, odkúpenie a vyplatenie a vykonávanie iných platieb v prospech držiteľov podielových listov PKIPCP v súlade s podmienkami stanovenými v dokumentoch požadovaných podľa kapitoly IX;</w:t>
                        </w:r>
                      </w:p>
                      <w:p w:rsidR="00767086" w:rsidRPr="009D5B18" w:rsidP="00F63BAB">
                        <w:pPr>
                          <w:bidi w:val="0"/>
                          <w:spacing w:before="120" w:beforeAutospacing="0" w:after="120" w:afterAutospacing="0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>
                    <w:tblPrEx>
                      <w:tblW w:w="5000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280" w:type="dxa"/>
                        <w:gridSpan w:val="2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9D5B18" w:rsidRPr="009D5B18" w:rsidP="009D5B18">
                        <w:pPr>
                          <w:bidi w:val="0"/>
                          <w:spacing w:before="120" w:beforeAutospacing="0" w:after="0" w:afterAutospacing="0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b)</w:t>
                        </w:r>
                      </w:p>
                    </w:tc>
                    <w:tc>
                      <w:tcPr>
                        <w:tcW w:w="6245" w:type="dxa"/>
                        <w:gridSpan w:val="2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F63BAB" w:rsidP="00767086">
                        <w:pPr>
                          <w:bidi w:val="0"/>
                          <w:spacing w:before="120" w:beforeAutospacing="0" w:after="120" w:afterAutospacing="0"/>
                          <w:ind w:right="283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 w:rsid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poskytovanie informácií investorom o tom, ako možno vykonať pokyny uvedené v písmene a) a ako sa vyplácajú výnosy z odkúpenia a vyplatenia;</w:t>
                        </w:r>
                      </w:p>
                      <w:p w:rsidR="00767086" w:rsidRPr="009D5B18" w:rsidP="00767086">
                        <w:pPr>
                          <w:bidi w:val="0"/>
                          <w:spacing w:before="120" w:beforeAutospacing="0" w:after="120" w:afterAutospacing="0"/>
                          <w:ind w:right="283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>
                    <w:tblPrEx>
                      <w:tblW w:w="5000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rPr>
                      <w:gridAfter w:val="1"/>
                      <w:wAfter w:w="221" w:type="dxa"/>
                      <w:trHeight w:val="1165"/>
                    </w:trPr>
                    <w:tc>
                      <w:tcPr>
                        <w:tcW w:w="265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9D5B18" w:rsidRPr="009D5B18" w:rsidP="009D5B18">
                        <w:pPr>
                          <w:bidi w:val="0"/>
                          <w:spacing w:before="120" w:beforeAutospacing="0" w:after="0" w:afterAutospacing="0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c)</w:t>
                        </w:r>
                      </w:p>
                    </w:tc>
                    <w:tc>
                      <w:tcPr>
                        <w:tcW w:w="6039" w:type="dxa"/>
                        <w:gridSpan w:val="2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9D5B18" w:rsidP="009D5B18">
                        <w:pPr>
                          <w:bidi w:val="0"/>
                          <w:spacing w:before="120" w:beforeAutospacing="0" w:after="0" w:afterAutospacing="0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uľahčenie nakladania s informáciami a prístup k postupom a mechanizmom uvedeným v článku 15 týkajúcim sa uplatňovania práv investorov vyplývajúcich z ich investície do PKIPCP v členskom štáte, v ktorom sa PKIPCP uvádza na trh;</w:t>
                        </w:r>
                      </w:p>
                      <w:p w:rsidR="00F63BAB" w:rsidRPr="009D5B18" w:rsidP="009D5B18">
                        <w:pPr>
                          <w:bidi w:val="0"/>
                          <w:spacing w:before="120" w:beforeAutospacing="0" w:after="0" w:afterAutospacing="0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>
                    <w:tblPrEx>
                      <w:tblW w:w="5000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280" w:type="dxa"/>
                        <w:gridSpan w:val="2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9D5B18" w:rsidRPr="009D5B18" w:rsidP="009D5B18">
                        <w:pPr>
                          <w:bidi w:val="0"/>
                          <w:spacing w:before="120" w:beforeAutospacing="0" w:after="0" w:afterAutospacing="0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d)</w:t>
                        </w:r>
                      </w:p>
                    </w:tc>
                    <w:tc>
                      <w:tcPr>
                        <w:tcW w:w="6245" w:type="dxa"/>
                        <w:gridSpan w:val="2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F63BAB" w:rsidP="00767086">
                        <w:pPr>
                          <w:bidi w:val="0"/>
                          <w:spacing w:before="120" w:beforeAutospacing="0" w:after="240" w:afterAutospacing="0"/>
                          <w:ind w:right="283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 w:rsid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sprístupnenie informácií a dokumentov požadovaných podľa kapitoly IX investorom za podmienok stanovených v článku 94, a to na účely kontroly a získanie kópií;</w:t>
                        </w:r>
                      </w:p>
                      <w:p w:rsidR="00C00871" w:rsidRPr="009D5B18" w:rsidP="00767086">
                        <w:pPr>
                          <w:bidi w:val="0"/>
                          <w:spacing w:before="120" w:beforeAutospacing="0" w:after="240" w:afterAutospacing="0"/>
                          <w:ind w:right="283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>
                    <w:tblPrEx>
                      <w:tblW w:w="5000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280" w:type="dxa"/>
                        <w:gridSpan w:val="2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9D5B18" w:rsidRPr="009D5B18" w:rsidP="009D5B18">
                        <w:pPr>
                          <w:bidi w:val="0"/>
                          <w:spacing w:before="120" w:beforeAutospacing="0" w:after="0" w:afterAutospacing="0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e)</w:t>
                        </w:r>
                      </w:p>
                    </w:tc>
                    <w:tc>
                      <w:tcPr>
                        <w:tcW w:w="6245" w:type="dxa"/>
                        <w:gridSpan w:val="2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9D5B18" w:rsidP="00767086">
                        <w:pPr>
                          <w:bidi w:val="0"/>
                          <w:spacing w:before="120" w:beforeAutospacing="0" w:after="240" w:afterAutospacing="0"/>
                          <w:ind w:right="283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poskytovanie informácií investorom v súvislosti s úlohami, ktoré uvedené zariadenia zabezpečujú, na trvalom médiu; a</w:t>
                        </w:r>
                      </w:p>
                      <w:p w:rsidR="00C00871" w:rsidRPr="009D5B18" w:rsidP="00767086">
                        <w:pPr>
                          <w:bidi w:val="0"/>
                          <w:spacing w:before="120" w:beforeAutospacing="0" w:after="240" w:afterAutospacing="0"/>
                          <w:ind w:right="283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>
                    <w:tblPrEx>
                      <w:tblW w:w="5000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280" w:type="dxa"/>
                        <w:gridSpan w:val="2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9D5B18" w:rsidRPr="009D5B18" w:rsidP="009D5B18">
                        <w:pPr>
                          <w:bidi w:val="0"/>
                          <w:spacing w:before="120" w:beforeAutospacing="0" w:after="0" w:afterAutospacing="0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f)</w:t>
                        </w:r>
                      </w:p>
                    </w:tc>
                    <w:tc>
                      <w:tcPr>
                        <w:tcW w:w="6245" w:type="dxa"/>
                        <w:gridSpan w:val="2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9A0D1E" w:rsidRPr="009D5B18" w:rsidP="009D5B18">
                        <w:pPr>
                          <w:bidi w:val="0"/>
                          <w:spacing w:before="120" w:beforeAutospacing="0" w:after="0" w:afterAutospacing="0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 w:rsid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vykonávanie činnosti kontaktného miesta pre komunikáciu s príslušnými orgánmi.</w:t>
                        </w:r>
                      </w:p>
                    </w:tc>
                  </w:tr>
                </w:tbl>
                <w:p w:rsidR="0058152A" w:rsidP="00767086">
                  <w:pPr>
                    <w:bidi w:val="0"/>
                    <w:spacing w:before="120" w:beforeAutospacing="0" w:after="0" w:afterAutospacing="0"/>
                    <w:ind w:right="283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58152A" w:rsidP="00767086">
                  <w:pPr>
                    <w:bidi w:val="0"/>
                    <w:spacing w:before="120" w:beforeAutospacing="0" w:after="0" w:afterAutospacing="0"/>
                    <w:ind w:right="283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D5B18" w:rsidP="00767086">
                  <w:pPr>
                    <w:bidi w:val="0"/>
                    <w:spacing w:before="120" w:beforeAutospacing="0" w:after="0" w:afterAutospacing="0"/>
                    <w:ind w:right="283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D5B1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2.   Členské štáty od PKIPCP nevyžadujú fyzickú prítomnosť v hostiteľskom členskom štáte ani ustanovenie tretej strany na účely odseku 1.</w:t>
                  </w:r>
                </w:p>
                <w:p w:rsidR="009D60D8" w:rsidP="009D5B18">
                  <w:pPr>
                    <w:bidi w:val="0"/>
                    <w:spacing w:before="120" w:beforeAutospacing="0" w:after="0" w:afterAutospacing="0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D5B18" w:rsidRPr="009D5B18" w:rsidP="00767086">
                  <w:pPr>
                    <w:bidi w:val="0"/>
                    <w:spacing w:before="120" w:beforeAutospacing="0" w:after="0" w:afterAutospacing="0"/>
                    <w:ind w:right="283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D5B1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3.   PKIPCP zabezpečí, aby boli k dispozícii zariadenia na vykonávanie úloh, a to aj elektronicky, uvedených v odseku 1:</w:t>
                  </w:r>
                </w:p>
                <w:tbl>
                  <w:tblPr>
                    <w:tblStyle w:val="TableNormal"/>
                    <w:tblW w:w="4853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0"/>
                    <w:gridCol w:w="6053"/>
                  </w:tblGrid>
                  <w:tr>
                    <w:tblPrEx>
                      <w:tblW w:w="4853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28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9D5B18" w:rsidRPr="009D5B18" w:rsidP="009D5B18">
                        <w:pPr>
                          <w:bidi w:val="0"/>
                          <w:spacing w:before="120" w:beforeAutospacing="0" w:after="0" w:afterAutospacing="0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a)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9D5B18" w:rsidP="009D5B18">
                        <w:pPr>
                          <w:bidi w:val="0"/>
                          <w:spacing w:before="120" w:beforeAutospacing="0" w:after="0" w:afterAutospacing="0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v úradnom jazyku alebo v jednom z úradných jazykov členského štátu, v ktorom sa PKIPCP uvádzajú na trh, alebo v jazyku schválenom príslušnými orgánmi uvedeného členského štátu;</w:t>
                        </w:r>
                      </w:p>
                      <w:p w:rsidR="009D60D8" w:rsidRPr="009D5B18" w:rsidP="009D5B18">
                        <w:pPr>
                          <w:bidi w:val="0"/>
                          <w:spacing w:before="120" w:beforeAutospacing="0" w:after="0" w:afterAutospacing="0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D5B18" w:rsidRPr="009D5B18" w:rsidP="009D5B18">
                  <w:pPr>
                    <w:bidi w:val="0"/>
                    <w:spacing w:before="0" w:beforeAutospacing="0" w:after="0" w:afterAutospacing="0"/>
                    <w:rPr>
                      <w:rFonts w:ascii="Times New Roman" w:hAnsi="Times New Roman"/>
                      <w:vanish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Style w:val="TableNormal"/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0"/>
                    <w:gridCol w:w="6245"/>
                  </w:tblGrid>
                  <w:tr>
                    <w:tblPrEx>
                      <w:tblW w:w="5000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28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9D5B18" w:rsidRPr="00874646" w:rsidP="009D5B18">
                        <w:pPr>
                          <w:bidi w:val="0"/>
                          <w:spacing w:before="120" w:beforeAutospacing="0" w:after="0" w:afterAutospacing="0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874646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b)</w:t>
                        </w:r>
                      </w:p>
                    </w:tc>
                    <w:tc>
                      <w:tcPr>
                        <w:tcW w:w="6435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9D5B18" w:rsidRPr="00874646" w:rsidP="00767086">
                        <w:pPr>
                          <w:bidi w:val="0"/>
                          <w:spacing w:before="120" w:beforeAutospacing="0" w:after="0" w:afterAutospacing="0"/>
                          <w:ind w:right="283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874646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prostredníctvom samotného PKIPCP, tretej strany, ktorá podlieha predpisom a dohľadu, ktoré upravujú úlohy, ktoré sa majú vykonávať, alebo oboch týchto subjektov;</w:t>
                        </w:r>
                      </w:p>
                    </w:tc>
                  </w:tr>
                </w:tbl>
                <w:p w:rsidR="009A0D1E" w:rsidRPr="00874646" w:rsidP="009D5B18">
                  <w:pPr>
                    <w:bidi w:val="0"/>
                    <w:spacing w:before="120" w:beforeAutospacing="0" w:after="0" w:afterAutospacing="0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D5B18" w:rsidRPr="009D5B18" w:rsidP="00767086">
                  <w:pPr>
                    <w:bidi w:val="0"/>
                    <w:spacing w:before="120" w:beforeAutospacing="0" w:after="0" w:afterAutospacing="0"/>
                    <w:ind w:right="283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D5B18" w:rsidRPr="009D5B18" w:rsidP="009D5B18">
            <w:pPr>
              <w:shd w:val="clear" w:color="auto" w:fill="FFFFFF"/>
              <w:bidi w:val="0"/>
              <w:spacing w:before="0" w:beforeAutospacing="0" w:after="0" w:afterAutospacing="0"/>
              <w:rPr>
                <w:rFonts w:ascii="Times New Roman" w:hAnsi="Times New Roman"/>
                <w:vanish/>
                <w:color w:val="000000"/>
                <w:sz w:val="22"/>
                <w:szCs w:val="22"/>
              </w:rPr>
            </w:pPr>
          </w:p>
          <w:p w:rsidR="00162F39" w:rsidRPr="009D5B18" w:rsidP="00D83E5B">
            <w:pPr>
              <w:pStyle w:val="Default"/>
              <w:bidi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62F3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EC0" w:rsidR="002A2757">
              <w:rPr>
                <w:rFonts w:ascii="Times New Roman" w:hAnsi="Times New Roman"/>
                <w:sz w:val="22"/>
                <w:szCs w:val="22"/>
              </w:rPr>
              <w:t>N</w:t>
            </w: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0C6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00871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00871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00871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00871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00871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00871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00871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00871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00871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00871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00871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00871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00871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00871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4AB7" w:rsidRPr="00D31EC0" w:rsidP="0058152A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54AB7" w:rsidRPr="00D31EC0" w:rsidP="0058152A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54AB7" w:rsidRPr="00D31EC0" w:rsidP="0058152A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54AB7" w:rsidRPr="00D31EC0" w:rsidP="0058152A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54AB7" w:rsidRPr="00D31EC0" w:rsidP="0058152A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54AB7" w:rsidRPr="00D31EC0" w:rsidP="0058152A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8152A" w:rsidRPr="00D31EC0" w:rsidP="0058152A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70C0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sz w:val="22"/>
                <w:szCs w:val="22"/>
              </w:rPr>
              <w:t>203/2011 a</w:t>
            </w:r>
          </w:p>
          <w:p w:rsidR="00E621F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 w:themeColor="tx1" w:themeShade="FF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b/>
                <w:color w:val="000000" w:themeColor="tx1" w:themeShade="FF"/>
                <w:sz w:val="22"/>
                <w:szCs w:val="22"/>
              </w:rPr>
              <w:t>Návrh zákona čl.I</w:t>
            </w:r>
            <w:r w:rsidRPr="00D31EC0" w:rsidR="009D754C">
              <w:rPr>
                <w:rFonts w:ascii="Times New Roman" w:hAnsi="Times New Roman"/>
                <w:b/>
                <w:color w:val="000000" w:themeColor="tx1" w:themeShade="FF"/>
                <w:sz w:val="22"/>
                <w:szCs w:val="22"/>
              </w:rPr>
              <w:t>V</w:t>
            </w:r>
          </w:p>
          <w:p w:rsidR="00162F3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422B6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422B6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00871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422B6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422B6" w:rsidRPr="00D31EC0" w:rsidP="001422B6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Návrh zákona čl.IV</w:t>
            </w: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1EC0" w:rsidP="001422B6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422B6" w:rsidRPr="00D31EC0" w:rsidP="001422B6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70C0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sz w:val="22"/>
                <w:szCs w:val="22"/>
              </w:rPr>
              <w:t>203/2011 a</w:t>
            </w:r>
          </w:p>
          <w:p w:rsidR="001422B6" w:rsidRPr="00D31EC0" w:rsidP="001422B6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Návrh zákona čl.IV</w:t>
            </w: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70C0"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E49A4" w:rsidRPr="00D31EC0" w:rsidP="00CF0B93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  <w:p w:rsidR="00481ADF" w:rsidRPr="00D31EC0" w:rsidP="00CF0B93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  <w:p w:rsidR="006E49A4" w:rsidRPr="00D31EC0" w:rsidP="006E49A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70C0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sz w:val="22"/>
                <w:szCs w:val="22"/>
              </w:rPr>
              <w:t>203/2011 a</w:t>
            </w:r>
          </w:p>
          <w:p w:rsidR="004E1D1A" w:rsidRPr="00D31EC0" w:rsidP="006E49A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31EC0" w:rsidR="006E49A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Návrh zákona čl.IV</w:t>
            </w:r>
          </w:p>
          <w:p w:rsidR="00246440" w:rsidRPr="00D31EC0" w:rsidP="006E49A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246440" w:rsidRPr="00D31EC0" w:rsidP="006E49A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246440" w:rsidRPr="00D31EC0" w:rsidP="006E49A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246440" w:rsidRPr="00D31EC0" w:rsidP="006E49A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246440" w:rsidRPr="00D31EC0" w:rsidP="006E49A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246440" w:rsidRPr="00D31EC0" w:rsidP="006E49A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246440" w:rsidRPr="00D31EC0" w:rsidP="006E49A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246440" w:rsidRPr="00D31EC0" w:rsidP="006E49A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246440" w:rsidRPr="00D31EC0" w:rsidP="006E49A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246440" w:rsidRPr="00D31EC0" w:rsidP="006E49A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246440" w:rsidRPr="00D31EC0" w:rsidP="006E49A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246440" w:rsidRPr="00D31EC0" w:rsidP="006E49A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246440" w:rsidRPr="00D31EC0" w:rsidP="006E49A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246440" w:rsidRPr="00D31EC0" w:rsidP="006E49A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1D1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46440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46440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46440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46440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4644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1EC0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46440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46440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46440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1EC0">
              <w:rPr>
                <w:rFonts w:ascii="Times New Roman" w:hAnsi="Times New Roman"/>
                <w:sz w:val="22"/>
                <w:szCs w:val="22"/>
              </w:rPr>
              <w:t>203/2011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4AB7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954AB7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954AB7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954AB7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954AB7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954AB7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E621F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sz w:val="22"/>
                <w:szCs w:val="22"/>
              </w:rPr>
              <w:t xml:space="preserve">§ </w:t>
            </w:r>
            <w:r w:rsidRPr="00D31EC0" w:rsidR="009128CB">
              <w:rPr>
                <w:rFonts w:ascii="Times New Roman" w:hAnsi="Times New Roman"/>
                <w:sz w:val="22"/>
                <w:szCs w:val="22"/>
              </w:rPr>
              <w:t>14</w:t>
            </w:r>
            <w:r w:rsidRPr="00D31EC0" w:rsidR="00C83676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31EC0" w:rsidR="006F461A">
              <w:rPr>
                <w:rFonts w:ascii="Times New Roman" w:hAnsi="Times New Roman"/>
                <w:sz w:val="22"/>
                <w:szCs w:val="22"/>
              </w:rPr>
              <w:t xml:space="preserve">ods. </w:t>
            </w:r>
            <w:r w:rsidRPr="00D31EC0" w:rsidR="001810AF">
              <w:rPr>
                <w:rFonts w:ascii="Times New Roman" w:hAnsi="Times New Roman"/>
                <w:sz w:val="22"/>
                <w:szCs w:val="22"/>
              </w:rPr>
              <w:t>5</w:t>
            </w:r>
            <w:r w:rsidRPr="00D31EC0" w:rsidR="006F461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C00871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63BAB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9D60D8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31EC0" w:rsidR="001422B6">
              <w:rPr>
                <w:rFonts w:ascii="Times New Roman" w:hAnsi="Times New Roman"/>
                <w:sz w:val="22"/>
                <w:szCs w:val="22"/>
              </w:rPr>
              <w:t>§ 144 ods. 9</w:t>
            </w:r>
          </w:p>
          <w:p w:rsidR="009D60D8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9D60D8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9D60D8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9D60D8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31EC0" w:rsidR="00612684">
              <w:rPr>
                <w:rFonts w:ascii="Times New Roman" w:hAnsi="Times New Roman"/>
                <w:sz w:val="22"/>
                <w:szCs w:val="22"/>
              </w:rPr>
              <w:t xml:space="preserve">§ 144 </w:t>
            </w:r>
            <w:r w:rsidRPr="00D31EC0" w:rsidR="00F63BAB">
              <w:rPr>
                <w:rFonts w:ascii="Times New Roman" w:hAnsi="Times New Roman"/>
                <w:sz w:val="22"/>
                <w:szCs w:val="22"/>
              </w:rPr>
              <w:t>ods.7</w:t>
            </w:r>
          </w:p>
          <w:p w:rsidR="009D60D8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9D60D8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9D60D8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9D60D8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9D60D8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9D60D8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9D60D8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9D60D8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9D60D8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9D60D8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9D754C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481ADF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F461A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sz w:val="22"/>
                <w:szCs w:val="22"/>
              </w:rPr>
              <w:t>§ 14</w:t>
            </w:r>
            <w:r w:rsidRPr="00D31EC0" w:rsidR="001A3887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F461A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sz w:val="22"/>
                <w:szCs w:val="22"/>
              </w:rPr>
              <w:t>ods.</w:t>
            </w:r>
            <w:r w:rsidRPr="00D31EC0" w:rsidR="004E1D1A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D31EC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D31EC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46440" w:rsidRPr="00D31EC0" w:rsidP="00246440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sz w:val="22"/>
                <w:szCs w:val="22"/>
              </w:rPr>
              <w:t>§ 141</w:t>
            </w:r>
          </w:p>
          <w:p w:rsidR="00246440" w:rsidRPr="00D31EC0" w:rsidP="00246440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sz w:val="22"/>
                <w:szCs w:val="22"/>
              </w:rPr>
              <w:t>ods.6</w:t>
            </w:r>
          </w:p>
          <w:p w:rsidR="00246440" w:rsidRPr="00D31EC0" w:rsidP="006F461A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9D60D8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4E1D1A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4E1D1A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4AB7" w:rsidP="009D754C">
            <w:pPr>
              <w:shd w:val="clear" w:color="auto" w:fill="FFFFFF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x1" w:themeShade="FF"/>
              </w:rPr>
            </w:pPr>
          </w:p>
          <w:p w:rsidR="00954AB7" w:rsidP="009D754C">
            <w:pPr>
              <w:shd w:val="clear" w:color="auto" w:fill="FFFFFF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x1" w:themeShade="FF"/>
              </w:rPr>
            </w:pPr>
          </w:p>
          <w:p w:rsidR="00954AB7" w:rsidP="009D754C">
            <w:pPr>
              <w:shd w:val="clear" w:color="auto" w:fill="FFFFFF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x1" w:themeShade="FF"/>
              </w:rPr>
            </w:pPr>
          </w:p>
          <w:p w:rsidR="00954AB7" w:rsidP="009D754C">
            <w:pPr>
              <w:shd w:val="clear" w:color="auto" w:fill="FFFFFF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x1" w:themeShade="FF"/>
              </w:rPr>
            </w:pPr>
          </w:p>
          <w:p w:rsidR="00954AB7" w:rsidP="009D754C">
            <w:pPr>
              <w:shd w:val="clear" w:color="auto" w:fill="FFFFFF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x1" w:themeShade="FF"/>
              </w:rPr>
            </w:pPr>
          </w:p>
          <w:p w:rsidR="00954AB7" w:rsidP="009D754C">
            <w:pPr>
              <w:shd w:val="clear" w:color="auto" w:fill="FFFFFF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x1" w:themeShade="FF"/>
              </w:rPr>
            </w:pPr>
          </w:p>
          <w:p w:rsidR="009D754C" w:rsidRPr="00E80756" w:rsidP="009D754C">
            <w:pPr>
              <w:shd w:val="clear" w:color="auto" w:fill="FFFFFF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0756" w:rsidR="006F461A">
              <w:rPr>
                <w:rFonts w:ascii="Times New Roman" w:hAnsi="Times New Roman"/>
                <w:sz w:val="22"/>
                <w:szCs w:val="22"/>
              </w:rPr>
              <w:t>(</w:t>
            </w:r>
            <w:r w:rsidRPr="00E80756" w:rsidR="001810AF">
              <w:rPr>
                <w:rFonts w:ascii="Times New Roman" w:hAnsi="Times New Roman"/>
                <w:sz w:val="22"/>
                <w:szCs w:val="22"/>
              </w:rPr>
              <w:t>5</w:t>
            </w:r>
            <w:r w:rsidRPr="00E80756" w:rsidR="006F461A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Pr="00E80756">
              <w:rPr>
                <w:rFonts w:ascii="Times New Roman" w:hAnsi="Times New Roman"/>
                <w:sz w:val="22"/>
                <w:szCs w:val="22"/>
              </w:rPr>
              <w:t>Pri distribúcii svojich cenných papierov na území Slovenskej republiky je európsky fond povinný v súlade s týmto zákonom a inými všeobecne záväznými právnymi predpismi prijať nevyhnutné opatrenia, aby sa investorom zabezpečilo na území Slovenskej republiky</w:t>
            </w:r>
          </w:p>
          <w:p w:rsidR="009D754C" w:rsidP="009D754C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0756">
              <w:rPr>
                <w:rFonts w:ascii="Times New Roman" w:hAnsi="Times New Roman"/>
                <w:sz w:val="22"/>
                <w:szCs w:val="22"/>
              </w:rPr>
              <w:t>a)</w:t>
            </w:r>
            <w:r w:rsidR="008D47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80756">
              <w:rPr>
                <w:rFonts w:ascii="Times New Roman" w:hAnsi="Times New Roman"/>
                <w:sz w:val="22"/>
                <w:szCs w:val="22"/>
              </w:rPr>
              <w:t>spracovávanie pokynov na vydávanie, vyplatenie alebo odkúpenie cenných papierov európskeho štandardného fondu a vykonávanie iných platieb v prospech investorov európskeho štandardného fondu v súlade s podmienkami ustanovenými v kľúčových informáciách pre investorov, predajnom prospekte, ročnej správe a polročnej správe,</w:t>
            </w:r>
          </w:p>
          <w:p w:rsidR="002815B6" w:rsidRPr="00E80756" w:rsidP="009D754C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754C" w:rsidP="009D754C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0756">
              <w:rPr>
                <w:rFonts w:ascii="Times New Roman" w:hAnsi="Times New Roman"/>
                <w:sz w:val="22"/>
                <w:szCs w:val="22"/>
              </w:rPr>
              <w:t>b)</w:t>
            </w:r>
            <w:r w:rsidR="008D47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80756">
              <w:rPr>
                <w:rFonts w:ascii="Times New Roman" w:hAnsi="Times New Roman"/>
                <w:sz w:val="22"/>
                <w:szCs w:val="22"/>
              </w:rPr>
              <w:t>poskytovanie informácií o tom, ako možno zadať pokyny uvedené v písmene a) a ako sa vyplácajú výnosy z vyplatenia alebo odkúpenia cenných papierov európskeho štandardného fondu,</w:t>
            </w:r>
          </w:p>
          <w:p w:rsidR="002815B6" w:rsidRPr="00E80756" w:rsidP="009D754C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754C" w:rsidRPr="00E80756" w:rsidP="009D754C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0756">
              <w:rPr>
                <w:rFonts w:ascii="Times New Roman" w:hAnsi="Times New Roman"/>
                <w:sz w:val="22"/>
                <w:szCs w:val="22"/>
              </w:rPr>
              <w:t>c)</w:t>
            </w:r>
            <w:r w:rsidR="008D47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8075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zjednodušenie </w:t>
            </w:r>
            <w:r w:rsidR="00D31EC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nakladania s infomáciami a zabezpečil prístup k </w:t>
            </w:r>
            <w:r w:rsidRPr="00E80756">
              <w:rPr>
                <w:rFonts w:ascii="Times New Roman" w:hAnsi="Times New Roman"/>
                <w:b/>
                <w:noProof/>
                <w:sz w:val="22"/>
                <w:szCs w:val="22"/>
              </w:rPr>
              <w:t>postupo</w:t>
            </w:r>
            <w:r w:rsidR="00D31EC0">
              <w:rPr>
                <w:rFonts w:ascii="Times New Roman" w:hAnsi="Times New Roman"/>
                <w:b/>
                <w:noProof/>
                <w:sz w:val="22"/>
                <w:szCs w:val="22"/>
              </w:rPr>
              <w:t>m</w:t>
            </w:r>
            <w:r w:rsidRPr="00E8075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a mechanizmo</w:t>
            </w:r>
            <w:r w:rsidR="00D31EC0">
              <w:rPr>
                <w:rFonts w:ascii="Times New Roman" w:hAnsi="Times New Roman"/>
                <w:b/>
                <w:noProof/>
                <w:sz w:val="22"/>
                <w:szCs w:val="22"/>
              </w:rPr>
              <w:t>m</w:t>
            </w:r>
            <w:r w:rsidRPr="00E80756">
              <w:rPr>
                <w:rFonts w:ascii="Times New Roman" w:hAnsi="Times New Roman"/>
                <w:sz w:val="22"/>
                <w:szCs w:val="22"/>
              </w:rPr>
              <w:t xml:space="preserve"> vybavovania sťažností investorov týkajúcich sa uplatňovania práv investorov vyplývajúcich z investície do európskeho štandardného fondu, ktorý sa má distribuovať na území Slovenskej republiky,</w:t>
            </w:r>
          </w:p>
          <w:p w:rsidR="009D754C" w:rsidRPr="00E80756" w:rsidP="009D754C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0756">
              <w:rPr>
                <w:rFonts w:ascii="Times New Roman" w:hAnsi="Times New Roman"/>
                <w:sz w:val="22"/>
                <w:szCs w:val="22"/>
              </w:rPr>
              <w:t>d)</w:t>
            </w:r>
            <w:r w:rsidR="002815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80756">
              <w:rPr>
                <w:rFonts w:ascii="Times New Roman" w:hAnsi="Times New Roman"/>
                <w:sz w:val="22"/>
                <w:szCs w:val="22"/>
              </w:rPr>
              <w:t>sprístupnenie kľúčových informácií, predajného prospektu, ročnej správy a polročnej správy, informácií o aktuálnej hodnote podielu, predajnej cene podielu, nákupnej cene podielu a čistej hodnote majetku v európskom štandardnom fonde a marketingových materiálov európskeho štandardného fondu za podmienok ustanovených v odsekoch 1 až 4, a to na účely kontroly a získania kópií týchto dokumentov,</w:t>
            </w:r>
          </w:p>
          <w:p w:rsidR="009D754C" w:rsidP="009D754C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0756">
              <w:rPr>
                <w:rFonts w:ascii="Times New Roman" w:hAnsi="Times New Roman"/>
                <w:sz w:val="22"/>
                <w:szCs w:val="22"/>
              </w:rPr>
              <w:t>e)</w:t>
            </w:r>
            <w:r w:rsidR="002815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80756">
              <w:rPr>
                <w:rFonts w:ascii="Times New Roman" w:hAnsi="Times New Roman"/>
                <w:sz w:val="22"/>
                <w:szCs w:val="22"/>
              </w:rPr>
              <w:t>poskytovanie informácií v súvislosti so zabezpečovaním činností podľa písmen a ) až d) na trvanlivom médiu a</w:t>
            </w:r>
          </w:p>
          <w:p w:rsidR="002815B6" w:rsidRPr="00E80756" w:rsidP="009D754C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754C" w:rsidRPr="00E80756" w:rsidP="009D754C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0756">
              <w:rPr>
                <w:rFonts w:ascii="Times New Roman" w:hAnsi="Times New Roman"/>
                <w:sz w:val="22"/>
                <w:szCs w:val="22"/>
              </w:rPr>
              <w:t>f)</w:t>
            </w:r>
            <w:r w:rsidR="002815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80756">
              <w:rPr>
                <w:rFonts w:ascii="Times New Roman" w:hAnsi="Times New Roman"/>
                <w:sz w:val="22"/>
                <w:szCs w:val="22"/>
              </w:rPr>
              <w:t>vykonávanie činnosti kontaktného miesta pre komunikáciu s Národnou bankou Slovenska.</w:t>
            </w:r>
          </w:p>
          <w:p w:rsidR="00F63BAB" w:rsidP="009D754C">
            <w:pPr>
              <w:bidi w:val="0"/>
              <w:spacing w:before="120" w:beforeAutospacing="0" w:after="0" w:afterAutospacing="0"/>
              <w:ind w:left="9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0756" w:rsidR="009D754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00871" w:rsidP="009D754C">
            <w:pPr>
              <w:bidi w:val="0"/>
              <w:spacing w:before="120" w:beforeAutospacing="0" w:after="0" w:afterAutospacing="0"/>
              <w:ind w:left="9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00871" w:rsidRPr="00E80756" w:rsidP="009D754C">
            <w:pPr>
              <w:bidi w:val="0"/>
              <w:spacing w:before="120" w:beforeAutospacing="0" w:after="0" w:afterAutospacing="0"/>
              <w:ind w:left="9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422B6" w:rsidRPr="00E80756" w:rsidP="001422B6">
            <w:pPr>
              <w:pStyle w:val="NoSpacing"/>
              <w:bidi w:val="0"/>
              <w:ind w:left="99"/>
              <w:jc w:val="both"/>
              <w:rPr>
                <w:rFonts w:ascii="Times New Roman" w:hAnsi="Times New Roman"/>
                <w:b/>
                <w:noProof/>
                <w:color w:val="000000" w:themeColor="tx1" w:themeShade="FF"/>
                <w:lang w:eastAsia="sk-SK"/>
              </w:rPr>
            </w:pPr>
            <w:r w:rsidRPr="00E80756">
              <w:rPr>
                <w:rFonts w:ascii="Times New Roman" w:hAnsi="Times New Roman"/>
                <w:b/>
                <w:noProof/>
                <w:color w:val="000000" w:themeColor="tx1" w:themeShade="FF"/>
              </w:rPr>
              <w:t xml:space="preserve">(9) </w:t>
            </w:r>
            <w:r w:rsidRPr="00E80756">
              <w:rPr>
                <w:rFonts w:ascii="Times New Roman" w:hAnsi="Times New Roman"/>
                <w:b/>
                <w:color w:val="000000" w:themeColor="tx1" w:themeShade="FF"/>
                <w:lang w:eastAsia="sk-SK"/>
              </w:rPr>
              <w:t xml:space="preserve">Fyzická prítomnosť európskeho štandardného fondu na území Slovenskej republiky alebo určenie tretej osoby sa </w:t>
            </w:r>
            <w:r w:rsidR="00D31EC0">
              <w:rPr>
                <w:rFonts w:ascii="Times New Roman" w:hAnsi="Times New Roman"/>
                <w:b/>
                <w:color w:val="000000" w:themeColor="tx1" w:themeShade="FF"/>
                <w:lang w:eastAsia="sk-SK"/>
              </w:rPr>
              <w:t>na</w:t>
            </w:r>
            <w:r w:rsidRPr="00E80756">
              <w:rPr>
                <w:rFonts w:ascii="Times New Roman" w:hAnsi="Times New Roman"/>
                <w:b/>
                <w:color w:val="000000" w:themeColor="tx1" w:themeShade="FF"/>
                <w:lang w:eastAsia="sk-SK"/>
              </w:rPr>
              <w:t xml:space="preserve"> účely odseku 5 nevyžaduje</w:t>
            </w:r>
            <w:r w:rsidRPr="00E80756">
              <w:rPr>
                <w:rStyle w:val="y2iqfc"/>
                <w:rFonts w:ascii="Times New Roman" w:hAnsi="Times New Roman"/>
                <w:b/>
                <w:noProof/>
                <w:color w:val="000000" w:themeColor="tx1" w:themeShade="FF"/>
              </w:rPr>
              <w:t>.</w:t>
            </w:r>
            <w:r w:rsidRPr="00E80756">
              <w:rPr>
                <w:rFonts w:ascii="Times New Roman" w:hAnsi="Times New Roman"/>
                <w:b/>
                <w:noProof/>
                <w:color w:val="000000" w:themeColor="tx1" w:themeShade="FF"/>
                <w:lang w:eastAsia="sk-SK"/>
              </w:rPr>
              <w:t xml:space="preserve"> </w:t>
            </w:r>
          </w:p>
          <w:p w:rsidR="00F63BAB" w:rsidRPr="0058152A" w:rsidP="00557B98">
            <w:pPr>
              <w:bidi w:val="0"/>
              <w:spacing w:before="120" w:beforeAutospacing="0" w:after="0" w:afterAutospacing="0"/>
              <w:ind w:left="98"/>
              <w:jc w:val="both"/>
              <w:rPr>
                <w:rFonts w:ascii="Times New Roman" w:hAnsi="Times New Roman"/>
                <w:color w:val="0070C0"/>
              </w:rPr>
            </w:pPr>
          </w:p>
          <w:p w:rsidR="00C00871" w:rsidP="009D754C">
            <w:pPr>
              <w:shd w:val="clear" w:color="auto" w:fill="FFFFFF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658F" w:rsidRPr="00C00871" w:rsidP="009D754C">
            <w:pPr>
              <w:shd w:val="clear" w:color="auto" w:fill="FFFFFF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0871" w:rsidR="001810AF">
              <w:rPr>
                <w:rFonts w:ascii="Times New Roman" w:hAnsi="Times New Roman"/>
                <w:sz w:val="22"/>
                <w:szCs w:val="22"/>
              </w:rPr>
              <w:t>(7)</w:t>
            </w:r>
            <w:r w:rsidRPr="00C00871" w:rsidR="00F876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0871">
              <w:rPr>
                <w:rFonts w:ascii="Times New Roman" w:hAnsi="Times New Roman"/>
                <w:sz w:val="22"/>
                <w:szCs w:val="22"/>
              </w:rPr>
              <w:t>Európsky štandardný fond je povinný sprístupniť</w:t>
            </w:r>
            <w:r w:rsidRPr="00D31EC0" w:rsidR="00D31EC0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C008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0871" w:rsidR="00D31EC0">
              <w:rPr>
                <w:rFonts w:ascii="Times New Roman" w:hAnsi="Times New Roman"/>
                <w:b/>
                <w:noProof/>
                <w:sz w:val="22"/>
                <w:szCs w:val="22"/>
              </w:rPr>
              <w:t>a to aj elektronicky,</w:t>
            </w:r>
            <w:r w:rsidRPr="00C00871" w:rsidR="00D31E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0871">
              <w:rPr>
                <w:rFonts w:ascii="Times New Roman" w:hAnsi="Times New Roman"/>
                <w:sz w:val="22"/>
                <w:szCs w:val="22"/>
              </w:rPr>
              <w:t>informácie o</w:t>
            </w:r>
            <w:r w:rsidRPr="00C00871" w:rsidR="009D754C">
              <w:rPr>
                <w:rFonts w:ascii="Times New Roman" w:hAnsi="Times New Roman"/>
                <w:sz w:val="22"/>
                <w:szCs w:val="22"/>
              </w:rPr>
              <w:t> </w:t>
            </w:r>
            <w:r w:rsidRPr="00C00871">
              <w:rPr>
                <w:rFonts w:ascii="Times New Roman" w:hAnsi="Times New Roman"/>
                <w:sz w:val="22"/>
                <w:szCs w:val="22"/>
              </w:rPr>
              <w:t>opatreniach</w:t>
            </w:r>
            <w:r w:rsidRPr="00C00871" w:rsidR="009D754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0871">
              <w:rPr>
                <w:rFonts w:ascii="Times New Roman" w:hAnsi="Times New Roman"/>
                <w:sz w:val="22"/>
                <w:szCs w:val="22"/>
              </w:rPr>
              <w:t>na zabezpečenie plnenia povinností podľa odseku 5</w:t>
            </w:r>
          </w:p>
          <w:p w:rsidR="00A9658F" w:rsidRPr="00C00871" w:rsidP="00A9658F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0871">
              <w:rPr>
                <w:rFonts w:ascii="Times New Roman" w:hAnsi="Times New Roman"/>
                <w:sz w:val="22"/>
                <w:szCs w:val="22"/>
              </w:rPr>
              <w:t>a)</w:t>
            </w:r>
            <w:r w:rsidR="00306E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0871">
              <w:rPr>
                <w:rFonts w:ascii="Times New Roman" w:hAnsi="Times New Roman"/>
                <w:sz w:val="22"/>
                <w:szCs w:val="22"/>
              </w:rPr>
              <w:t>v slovenskom jazyku alebo v jazyku, ktorý môže na tento účel ustanoviť Národná banka Slovenska vo všeobecne záväznom právnom predpise vydanom podľa osobitného predpisu,</w:t>
            </w:r>
            <w:hyperlink r:id="rId5" w:anchor="poznamky.poznamka-58a" w:tooltip="Odkaz na predpis alebo ustanovenie" w:history="1">
              <w:r w:rsidRPr="00C00871">
                <w:rPr>
                  <w:rStyle w:val="Hyperlink"/>
                  <w:rFonts w:ascii="Times New Roman" w:hAnsi="Times New Roman"/>
                  <w:i/>
                  <w:iCs/>
                  <w:color w:val="auto"/>
                  <w:sz w:val="22"/>
                  <w:szCs w:val="22"/>
                  <w:u w:val="none"/>
                  <w:effect w:val="none"/>
                  <w:shd w:val="clear" w:color="auto" w:fill="auto"/>
                  <w:vertAlign w:val="superscript"/>
                </w:rPr>
                <w:t>58a</w:t>
              </w:r>
              <w:r w:rsidRPr="00C00871">
                <w:rPr>
                  <w:rStyle w:val="Hyperlink"/>
                  <w:rFonts w:ascii="Times New Roman" w:hAnsi="Times New Roman"/>
                  <w:i/>
                  <w:iCs/>
                  <w:color w:val="auto"/>
                  <w:sz w:val="22"/>
                  <w:szCs w:val="22"/>
                  <w:u w:val="none"/>
                  <w:effect w:val="none"/>
                  <w:shd w:val="clear" w:color="auto" w:fill="auto"/>
                </w:rPr>
                <w:t>)</w:t>
              </w:r>
            </w:hyperlink>
          </w:p>
          <w:p w:rsidR="00E16FAD" w:rsidP="009D754C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0871" w:rsidR="00A9658F">
              <w:rPr>
                <w:rFonts w:ascii="Times New Roman" w:hAnsi="Times New Roman"/>
                <w:sz w:val="22"/>
                <w:szCs w:val="22"/>
              </w:rPr>
              <w:t>b)</w:t>
            </w:r>
            <w:r w:rsidR="00306E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0871" w:rsidR="00A9658F">
              <w:rPr>
                <w:rFonts w:ascii="Times New Roman" w:hAnsi="Times New Roman"/>
                <w:sz w:val="22"/>
                <w:szCs w:val="22"/>
              </w:rPr>
              <w:t>samostatne alebo prostredníctvom tretej osoby podľa </w:t>
            </w:r>
            <w:hyperlink r:id="rId5" w:anchor="paragraf-58" w:tooltip="Odkaz na predpis alebo ustanovenie" w:history="1">
              <w:r w:rsidRPr="006E49A4" w:rsidR="00A9658F">
                <w:rPr>
                  <w:rStyle w:val="Hyperlink"/>
                  <w:rFonts w:ascii="Times New Roman" w:hAnsi="Times New Roman"/>
                  <w:iCs/>
                  <w:color w:val="auto"/>
                  <w:sz w:val="22"/>
                  <w:szCs w:val="22"/>
                  <w:u w:val="none"/>
                  <w:effect w:val="none"/>
                  <w:shd w:val="clear" w:color="auto" w:fill="auto"/>
                </w:rPr>
                <w:t>§ 58</w:t>
              </w:r>
            </w:hyperlink>
            <w:r w:rsidRPr="006E49A4" w:rsidR="00A9658F">
              <w:rPr>
                <w:rFonts w:ascii="Times New Roman" w:hAnsi="Times New Roman"/>
                <w:sz w:val="22"/>
                <w:szCs w:val="22"/>
              </w:rPr>
              <w:t> </w:t>
            </w:r>
            <w:r w:rsidRPr="00C00871" w:rsidR="00A9658F">
              <w:rPr>
                <w:rFonts w:ascii="Times New Roman" w:hAnsi="Times New Roman"/>
                <w:sz w:val="22"/>
                <w:szCs w:val="22"/>
              </w:rPr>
              <w:t>oprávnenej na vykonávanie činností podľa odseku 5 alebo obidvoma spôsobmi.</w:t>
            </w:r>
            <w:bookmarkStart w:id="0" w:name="_Hlk47710007"/>
          </w:p>
          <w:p w:rsidR="00481ADF" w:rsidP="00481ADF">
            <w:pPr>
              <w:shd w:val="clear" w:color="auto" w:fill="FFFFFF"/>
              <w:bidi w:val="0"/>
              <w:spacing w:before="120" w:beforeAutospacing="0" w:after="0" w:afterAutospacing="0"/>
              <w:ind w:left="382" w:hanging="38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58a) </w:t>
            </w:r>
            <w:r w:rsidRPr="00481ADF">
              <w:rPr>
                <w:rFonts w:ascii="Times New Roman" w:hAnsi="Times New Roman"/>
                <w:sz w:val="20"/>
                <w:szCs w:val="20"/>
              </w:rPr>
              <w:t xml:space="preserve">§ 1 ods. 3 písm. f) zákona č. 747/2004 Z. z. v </w:t>
            </w:r>
            <w:r w:rsidRPr="00481ADF">
              <w:rPr>
                <w:rFonts w:ascii="Times New Roman" w:hAnsi="Times New Roman"/>
              </w:rPr>
              <w:t xml:space="preserve"> </w:t>
            </w:r>
            <w:r w:rsidRPr="00481ADF">
              <w:rPr>
                <w:rFonts w:ascii="Times New Roman" w:hAnsi="Times New Roman"/>
                <w:sz w:val="20"/>
                <w:szCs w:val="20"/>
              </w:rPr>
              <w:t>znen</w:t>
            </w:r>
            <w:r w:rsidRPr="00481ADF">
              <w:rPr>
                <w:rFonts w:ascii="Times New Roman" w:hAnsi="Times New Roman"/>
              </w:rPr>
              <w:t>í</w:t>
            </w:r>
            <w:r w:rsidRPr="00481ADF">
              <w:rPr>
                <w:rFonts w:ascii="Times New Roman" w:hAnsi="Times New Roman"/>
                <w:sz w:val="20"/>
                <w:szCs w:val="20"/>
              </w:rPr>
              <w:t xml:space="preserve"> zákona č. 373/2014 Z.</w:t>
            </w:r>
            <w:r>
              <w:rPr>
                <w:rFonts w:ascii="Times New Roman" w:hAnsi="Times New Roman"/>
                <w:sz w:val="20"/>
                <w:szCs w:val="20"/>
              </w:rPr>
              <w:t>z.</w:t>
            </w:r>
          </w:p>
          <w:p w:rsidR="00481ADF" w:rsidP="009D754C">
            <w:pPr>
              <w:shd w:val="clear" w:color="auto" w:fill="FFFFFF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End w:id="0"/>
          </w:p>
          <w:p w:rsidR="009D754C" w:rsidRPr="00C00871" w:rsidP="009D754C">
            <w:pPr>
              <w:shd w:val="clear" w:color="auto" w:fill="FFFFFF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0871" w:rsidR="009D60D8">
              <w:rPr>
                <w:rFonts w:ascii="Times New Roman" w:hAnsi="Times New Roman"/>
                <w:sz w:val="22"/>
                <w:szCs w:val="22"/>
              </w:rPr>
              <w:t>(5)</w:t>
            </w:r>
            <w:r w:rsidRPr="00C00871" w:rsidR="00BC4A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0871">
              <w:rPr>
                <w:rFonts w:ascii="Times New Roman" w:hAnsi="Times New Roman"/>
                <w:sz w:val="22"/>
                <w:szCs w:val="22"/>
              </w:rPr>
              <w:t>Pri distribúcii cenných papierov štandardného fondu na území hostiteľského členského štátu je správcovská spoločnosť povinná v súlade s príslušnými právnymi predpismi tohto hostiteľského členského štátu prijať nevyhnutné opatrenia, aby sa investorom štandardného fondu zabezpečilo na území tohto hostiteľského členského štátu</w:t>
            </w:r>
          </w:p>
          <w:p w:rsidR="009D754C" w:rsidRPr="00C00871" w:rsidP="009D754C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0871">
              <w:rPr>
                <w:rFonts w:ascii="Times New Roman" w:hAnsi="Times New Roman"/>
                <w:sz w:val="22"/>
                <w:szCs w:val="22"/>
              </w:rPr>
              <w:t>a)</w:t>
            </w:r>
            <w:r w:rsidR="00306E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0871">
              <w:rPr>
                <w:rFonts w:ascii="Times New Roman" w:hAnsi="Times New Roman"/>
                <w:sz w:val="22"/>
                <w:szCs w:val="22"/>
              </w:rPr>
              <w:t>spracovávanie pokynov na vydávanie, vyplatenie a odkúpenie cenných papierov štandardného fondu a vykonávanie iných platieb v prospech investorov štandardného fondu v súlade s podmienkami ustanovenými v kľúčových informáciách pre investorov, predajnom prospekte, ročnej správe a polročnej správe,</w:t>
            </w:r>
          </w:p>
          <w:p w:rsidR="009D754C" w:rsidRPr="00C00871" w:rsidP="009D754C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0871">
              <w:rPr>
                <w:rFonts w:ascii="Times New Roman" w:hAnsi="Times New Roman"/>
                <w:sz w:val="22"/>
                <w:szCs w:val="22"/>
              </w:rPr>
              <w:t>b)</w:t>
            </w:r>
            <w:r w:rsidR="00306E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0871">
              <w:rPr>
                <w:rFonts w:ascii="Times New Roman" w:hAnsi="Times New Roman"/>
                <w:sz w:val="22"/>
                <w:szCs w:val="22"/>
              </w:rPr>
              <w:t>poskytovanie informácií o tom, ako možno zadať pokyny uvedené v písmene a) a ako sa vyplácajú výnosy z vyplatenia alebo odkúpenia cenných papierov štandardného fondu,</w:t>
            </w:r>
          </w:p>
          <w:p w:rsidR="009D754C" w:rsidRPr="00C00871" w:rsidP="009D754C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0871">
              <w:rPr>
                <w:rFonts w:ascii="Times New Roman" w:hAnsi="Times New Roman"/>
                <w:sz w:val="22"/>
                <w:szCs w:val="22"/>
              </w:rPr>
              <w:t>c)</w:t>
            </w:r>
            <w:r w:rsidR="00306E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0871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zjednodušenie </w:t>
            </w:r>
            <w:r w:rsidR="00D31EC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nakladania s informáciami a zabezpečil prístup k postupom a mechanizmom </w:t>
            </w:r>
            <w:r w:rsidRPr="00C00871">
              <w:rPr>
                <w:rFonts w:ascii="Times New Roman" w:hAnsi="Times New Roman"/>
                <w:sz w:val="22"/>
                <w:szCs w:val="22"/>
              </w:rPr>
              <w:t>vybavovania sťažností investorov týkajúcich sa uplatňovania práv investorov vyplývajúcich z investície do štandardného fondu, ktorý sa má distribuovať v hostiteľskom členskom štáte štandardného fondu,</w:t>
            </w:r>
          </w:p>
          <w:p w:rsidR="009D754C" w:rsidRPr="00C00871" w:rsidP="009D754C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0871">
              <w:rPr>
                <w:rFonts w:ascii="Times New Roman" w:hAnsi="Times New Roman"/>
                <w:sz w:val="22"/>
                <w:szCs w:val="22"/>
              </w:rPr>
              <w:t>d)</w:t>
            </w:r>
            <w:r w:rsidR="00306E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0871">
              <w:rPr>
                <w:rFonts w:ascii="Times New Roman" w:hAnsi="Times New Roman"/>
                <w:sz w:val="22"/>
                <w:szCs w:val="22"/>
              </w:rPr>
              <w:t>sprístupnenie informácií a dokumentov podľa </w:t>
            </w:r>
            <w:hyperlink r:id="rId5" w:anchor="paragraf-152" w:tooltip="Odkaz na predpis alebo ustanovenie" w:history="1">
              <w:r w:rsidRPr="006E49A4">
                <w:rPr>
                  <w:rStyle w:val="Hyperlink"/>
                  <w:rFonts w:ascii="Times New Roman" w:hAnsi="Times New Roman"/>
                  <w:iCs/>
                  <w:color w:val="auto"/>
                  <w:sz w:val="22"/>
                  <w:szCs w:val="22"/>
                  <w:u w:val="none"/>
                  <w:effect w:val="none"/>
                  <w:shd w:val="clear" w:color="auto" w:fill="auto"/>
                </w:rPr>
                <w:t>§ 152</w:t>
              </w:r>
            </w:hyperlink>
            <w:r w:rsidRPr="006E49A4">
              <w:rPr>
                <w:rFonts w:ascii="Times New Roman" w:hAnsi="Times New Roman"/>
                <w:sz w:val="22"/>
                <w:szCs w:val="22"/>
              </w:rPr>
              <w:t> a </w:t>
            </w:r>
            <w:hyperlink r:id="rId5" w:anchor="paragraf-161.odsek-1" w:tooltip="Odkaz na predpis alebo ustanovenie" w:history="1">
              <w:r w:rsidRPr="006E49A4">
                <w:rPr>
                  <w:rStyle w:val="Hyperlink"/>
                  <w:rFonts w:ascii="Times New Roman" w:hAnsi="Times New Roman"/>
                  <w:iCs/>
                  <w:color w:val="auto"/>
                  <w:sz w:val="22"/>
                  <w:szCs w:val="22"/>
                  <w:u w:val="none"/>
                  <w:effect w:val="none"/>
                  <w:shd w:val="clear" w:color="auto" w:fill="auto"/>
                </w:rPr>
                <w:t>§ 161 ods. 1</w:t>
              </w:r>
            </w:hyperlink>
            <w:r w:rsidRPr="00C00871">
              <w:rPr>
                <w:rFonts w:ascii="Times New Roman" w:hAnsi="Times New Roman"/>
                <w:sz w:val="22"/>
                <w:szCs w:val="22"/>
              </w:rPr>
              <w:t> za podmienok ustanovených v tomto paragrafe, a to na účely kontroly a získania kópií týchto dokumentov,</w:t>
            </w:r>
          </w:p>
          <w:p w:rsidR="009D754C" w:rsidRPr="00C00871" w:rsidP="009D754C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0871">
              <w:rPr>
                <w:rFonts w:ascii="Times New Roman" w:hAnsi="Times New Roman"/>
                <w:sz w:val="22"/>
                <w:szCs w:val="22"/>
              </w:rPr>
              <w:t>e)</w:t>
            </w:r>
            <w:r w:rsidR="00306E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0871">
              <w:rPr>
                <w:rFonts w:ascii="Times New Roman" w:hAnsi="Times New Roman"/>
                <w:sz w:val="22"/>
                <w:szCs w:val="22"/>
              </w:rPr>
              <w:t>poskytovanie informácií v súvislosti so zabezpečovaním činností podľa písmen a) až d) na trvanlivom médiu a</w:t>
            </w:r>
          </w:p>
          <w:p w:rsidR="009D754C" w:rsidRPr="00C00871" w:rsidP="009D754C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0871">
              <w:rPr>
                <w:rFonts w:ascii="Times New Roman" w:hAnsi="Times New Roman"/>
                <w:sz w:val="22"/>
                <w:szCs w:val="22"/>
              </w:rPr>
              <w:t>f)</w:t>
            </w:r>
            <w:r w:rsidR="00306E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0871">
              <w:rPr>
                <w:rFonts w:ascii="Times New Roman" w:hAnsi="Times New Roman"/>
                <w:sz w:val="22"/>
                <w:szCs w:val="22"/>
              </w:rPr>
              <w:t>vykonávanie činnosti kontaktného miesta pre komunikáciu s príslušnými orgánmi dohľadu hostiteľského členského štátu štandardného fondu.</w:t>
            </w:r>
          </w:p>
          <w:p w:rsidR="009D60D8" w:rsidP="00612684">
            <w:pPr>
              <w:pStyle w:val="Normlny"/>
              <w:bidi w:val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152A" w:rsidR="009D754C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</w:p>
          <w:p w:rsidR="00246440" w:rsidRPr="00246440" w:rsidP="00246440">
            <w:pPr>
              <w:bidi w:val="0"/>
              <w:spacing w:before="0" w:beforeAutospacing="0" w:after="0" w:afterAutospacing="0"/>
              <w:ind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6440">
              <w:rPr>
                <w:rFonts w:ascii="Times New Roman" w:hAnsi="Times New Roman"/>
                <w:sz w:val="22"/>
                <w:szCs w:val="22"/>
              </w:rPr>
              <w:t>(6) Správcovská spoločnosť je povinná sprístupniť informácie o opatreniach na zabezpečenie plnenia povinností podľa odseku 5</w:t>
            </w:r>
          </w:p>
          <w:p w:rsidR="00246440" w:rsidRPr="00246440" w:rsidP="00246440">
            <w:pPr>
              <w:bidi w:val="0"/>
              <w:spacing w:before="0" w:beforeAutospacing="0" w:after="0" w:afterAutospacing="0"/>
              <w:ind w:left="241" w:hanging="142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1" w:name="18816921"/>
            <w:bookmarkEnd w:id="1"/>
            <w:r w:rsidRPr="00246440">
              <w:rPr>
                <w:rFonts w:ascii="Times New Roman" w:hAnsi="Times New Roman"/>
                <w:sz w:val="22"/>
                <w:szCs w:val="22"/>
              </w:rPr>
              <w:t>a) v úradnom jazyku alebo v jednom z úradných jazykov hostiteľského členského štátu, v ktorom sa cenné papiere štandardného fondu distribuujú, alebo v jazyku schválenom príslušným orgánom dohľadu tohto hostiteľského členského štátu,</w:t>
            </w:r>
          </w:p>
          <w:p w:rsidR="00246440" w:rsidRPr="00246440" w:rsidP="00246440">
            <w:pPr>
              <w:bidi w:val="0"/>
              <w:spacing w:before="0" w:beforeAutospacing="0" w:after="0" w:afterAutospacing="0"/>
              <w:ind w:left="241" w:hanging="142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2" w:name="18816922"/>
            <w:bookmarkEnd w:id="2"/>
            <w:r w:rsidRPr="00246440">
              <w:rPr>
                <w:rFonts w:ascii="Times New Roman" w:hAnsi="Times New Roman"/>
                <w:sz w:val="22"/>
                <w:szCs w:val="22"/>
              </w:rPr>
              <w:t>b) samostatne alebo prostredníctvom tretej osoby, na ktorú sa vzťahuje dohľad a právne predpisy, ktoré upravujú činnosti, ktoré sa majú vykonávať, alebo obidvoma spôsobmi.</w:t>
            </w:r>
          </w:p>
          <w:p w:rsidR="00246440" w:rsidRPr="0058152A" w:rsidP="00612684">
            <w:pPr>
              <w:pStyle w:val="Normlny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0C69" w:rsidP="00180C69">
            <w:pPr>
              <w:autoSpaceDE w:val="0"/>
              <w:autoSpaceDN w:val="0"/>
              <w:bidi w:val="0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80C69" w:rsidP="00180C69">
            <w:pPr>
              <w:autoSpaceDE w:val="0"/>
              <w:autoSpaceDN w:val="0"/>
              <w:bidi w:val="0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80C69" w:rsidP="00180C69">
            <w:pPr>
              <w:autoSpaceDE w:val="0"/>
              <w:autoSpaceDN w:val="0"/>
              <w:bidi w:val="0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80C69" w:rsidP="00180C69">
            <w:pPr>
              <w:autoSpaceDE w:val="0"/>
              <w:autoSpaceDN w:val="0"/>
              <w:bidi w:val="0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80C69" w:rsidP="00180C69">
            <w:pPr>
              <w:autoSpaceDE w:val="0"/>
              <w:autoSpaceDN w:val="0"/>
              <w:bidi w:val="0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80C69" w:rsidP="00180C69">
            <w:pPr>
              <w:autoSpaceDE w:val="0"/>
              <w:autoSpaceDN w:val="0"/>
              <w:bidi w:val="0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80C69" w:rsidP="00180C69">
            <w:pPr>
              <w:autoSpaceDE w:val="0"/>
              <w:autoSpaceDN w:val="0"/>
              <w:bidi w:val="0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0C69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00871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00871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00871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00871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00871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00871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00871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00871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00871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00871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00871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00871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00871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00871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00871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00871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RPr="002153F7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62F39">
            <w:pPr>
              <w:pStyle w:val="Heading1"/>
              <w:bidi w:val="0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F63BAB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F63BAB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F63BAB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F63BAB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F63BAB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F63BAB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F63BAB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F63BAB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F63BAB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F63BAB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F63BAB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F63BAB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F63BAB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F63BAB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F63BAB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F63BAB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F63BAB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F63BAB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F63BAB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F63BAB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F63BAB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F63BAB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F63BAB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58152A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712FC3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C731F0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C731F0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C731F0" w:rsidP="00F63BAB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F63BAB" w:rsidRPr="00F63BAB" w:rsidP="00A9658F">
            <w:pPr>
              <w:bidi w:val="0"/>
              <w:spacing w:before="120" w:beforeAutospacing="0" w:after="0" w:afterAutospacing="0"/>
              <w:ind w:left="99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6133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2F39" w:rsidRPr="00874646" w:rsidP="00874646">
            <w:pPr>
              <w:autoSpaceDE w:val="0"/>
              <w:autoSpaceDN w:val="0"/>
              <w:bidi w:val="0"/>
              <w:spacing w:before="12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646" w:rsidR="002A2757">
              <w:rPr>
                <w:rFonts w:ascii="Times New Roman" w:hAnsi="Times New Roman"/>
                <w:sz w:val="22"/>
                <w:szCs w:val="22"/>
              </w:rPr>
              <w:t>Čl. 1</w:t>
            </w:r>
            <w:r w:rsidRPr="00874646" w:rsidR="00B4700F">
              <w:rPr>
                <w:rFonts w:ascii="Times New Roman" w:hAnsi="Times New Roman"/>
                <w:sz w:val="22"/>
                <w:szCs w:val="22"/>
              </w:rPr>
              <w:t xml:space="preserve"> bod 6</w:t>
            </w:r>
            <w:r w:rsidRPr="00874646" w:rsidR="00AF73CD">
              <w:rPr>
                <w:rFonts w:ascii="Times New Roman" w:hAnsi="Times New Roman"/>
                <w:sz w:val="22"/>
                <w:szCs w:val="22"/>
              </w:rPr>
              <w:t xml:space="preserve"> (čl. 93a ods. 4 smer. 2009/65/ES)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Normal"/>
              <w:tblW w:w="6378" w:type="dxa"/>
              <w:tblInd w:w="24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3"/>
              <w:gridCol w:w="6095"/>
            </w:tblGrid>
            <w:tr>
              <w:tblPrEx>
                <w:tblW w:w="6378" w:type="dxa"/>
                <w:tblInd w:w="241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30260C" w:rsidRPr="009D5B18" w:rsidP="0030260C">
                  <w:pPr>
                    <w:bidi w:val="0"/>
                    <w:spacing w:before="120" w:beforeAutospacing="0" w:after="0" w:afterAutospacing="0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tbl>
                  <w:tblPr>
                    <w:tblStyle w:val="TableNormal"/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69"/>
                    <w:gridCol w:w="5626"/>
                  </w:tblGrid>
                  <w:tr>
                    <w:tblPrEx>
                      <w:tblW w:w="5000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extDirection w:val="lrTb"/>
                        <w:vAlign w:val="top"/>
                        <w:hideMark/>
                      </w:tcPr>
                      <w:p w:rsidR="007A7C85" w:rsidRPr="00874646" w:rsidP="007A7C85">
                        <w:pPr>
                          <w:bidi w:val="0"/>
                          <w:spacing w:before="120" w:beforeAutospacing="0" w:after="0" w:afterAutospacing="0" w:line="312" w:lineRule="atLeast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874646">
                          <w:rPr>
                            <w:rFonts w:ascii="Times New Roman" w:hAnsi="Times New Roman"/>
                          </w:rPr>
                          <w:t>6.</w:t>
                        </w:r>
                      </w:p>
                    </w:tc>
                    <w:tc>
                      <w:tcPr>
                        <w:tcW w:w="8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extDirection w:val="lrTb"/>
                        <w:vAlign w:val="top"/>
                        <w:hideMark/>
                      </w:tcPr>
                      <w:p w:rsidR="007A7C85" w:rsidRPr="00874646" w:rsidP="007A7C85">
                        <w:pPr>
                          <w:bidi w:val="0"/>
                          <w:spacing w:before="120" w:beforeAutospacing="0" w:after="0" w:afterAutospacing="0" w:line="312" w:lineRule="atLeast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874646">
                          <w:rPr>
                            <w:rFonts w:ascii="Times New Roman" w:hAnsi="Times New Roman"/>
                          </w:rPr>
                          <w:t>Vkladá sa tento článok</w:t>
                        </w:r>
                      </w:p>
                    </w:tc>
                  </w:tr>
                </w:tbl>
                <w:p w:rsidR="007A7C85" w:rsidRPr="00874646" w:rsidP="0030260C">
                  <w:pPr>
                    <w:bidi w:val="0"/>
                    <w:spacing w:before="120" w:beforeAutospacing="0" w:after="0" w:afterAutospacing="0"/>
                    <w:ind w:right="283"/>
                    <w:jc w:val="both"/>
                    <w:rPr>
                      <w:rFonts w:ascii="Times New Roman" w:hAnsi="Times New Roman"/>
                    </w:rPr>
                  </w:pPr>
                  <w:r w:rsidRPr="00874646">
                    <w:rPr>
                      <w:rFonts w:ascii="Times New Roman" w:hAnsi="Times New Roman"/>
                      <w:i/>
                      <w:iCs/>
                      <w:shd w:val="clear" w:color="auto" w:fill="FFFFFF"/>
                    </w:rPr>
                    <w:t>Článok 93a</w:t>
                  </w:r>
                </w:p>
                <w:p w:rsidR="0030260C" w:rsidRPr="009D5B18" w:rsidP="0030260C">
                  <w:pPr>
                    <w:bidi w:val="0"/>
                    <w:spacing w:before="120" w:beforeAutospacing="0" w:after="0" w:afterAutospacing="0"/>
                    <w:ind w:right="283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7464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4.   PKIPCP</w:t>
                  </w:r>
                  <w:r w:rsidRPr="009D5B1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poskytuje investorom, ktorí v ňom naďalej majú investície, ako aj príslušným orgánom domovského členského štátu PKIPCP informácie požadované podľa článkov 68 až 82 a podľa článku 94.</w:t>
                  </w:r>
                </w:p>
                <w:p w:rsidR="0030260C" w:rsidRPr="009D5B18" w:rsidP="0030260C">
                  <w:pPr>
                    <w:bidi w:val="0"/>
                    <w:spacing w:before="60" w:beforeAutospacing="0" w:after="60" w:afterAutospacing="0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62F39" w:rsidRPr="009D5B18" w:rsidP="00D83E5B">
            <w:pPr>
              <w:pStyle w:val="Default"/>
              <w:bidi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62F3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EC0" w:rsidR="002A2757">
              <w:rPr>
                <w:rFonts w:ascii="Times New Roman" w:hAnsi="Times New Roman"/>
                <w:sz w:val="22"/>
                <w:szCs w:val="22"/>
              </w:rPr>
              <w:t>N</w:t>
            </w:r>
          </w:p>
          <w:p w:rsidR="007E7056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E7056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E7056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E7056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076AA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E7056" w:rsidRPr="00D31EC0" w:rsidP="001422B6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22B6" w:rsidRPr="00D31EC0" w:rsidP="001422B6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70C0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sz w:val="22"/>
                <w:szCs w:val="22"/>
              </w:rPr>
              <w:t>203/2011 a</w:t>
            </w:r>
          </w:p>
          <w:p w:rsidR="001422B6" w:rsidRPr="00D31EC0" w:rsidP="001422B6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Návrh zákona čl.IV</w:t>
            </w:r>
          </w:p>
          <w:p w:rsidR="00162F39" w:rsidRPr="00D31EC0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E7056" w:rsidRPr="00D31EC0" w:rsidP="00FD387D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1F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sz w:val="22"/>
                <w:szCs w:val="22"/>
              </w:rPr>
              <w:t xml:space="preserve">§ </w:t>
            </w:r>
            <w:r w:rsidRPr="00D31EC0" w:rsidR="009128CB">
              <w:rPr>
                <w:rFonts w:ascii="Times New Roman" w:hAnsi="Times New Roman"/>
                <w:sz w:val="22"/>
                <w:szCs w:val="22"/>
              </w:rPr>
              <w:t>14</w:t>
            </w:r>
            <w:r w:rsidRPr="00D31EC0" w:rsidR="007E7056">
              <w:rPr>
                <w:rFonts w:ascii="Times New Roman" w:hAnsi="Times New Roman"/>
                <w:sz w:val="22"/>
                <w:szCs w:val="22"/>
              </w:rPr>
              <w:t>1</w:t>
            </w:r>
            <w:r w:rsidRPr="00D31EC0" w:rsidR="009128CB">
              <w:rPr>
                <w:rFonts w:ascii="Times New Roman" w:hAnsi="Times New Roman"/>
                <w:sz w:val="22"/>
                <w:szCs w:val="22"/>
              </w:rPr>
              <w:t>a</w:t>
            </w:r>
          </w:p>
          <w:p w:rsidR="00162F39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7E7056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31EC0" w:rsidR="00DD16DC">
              <w:rPr>
                <w:rFonts w:ascii="Times New Roman" w:hAnsi="Times New Roman"/>
                <w:sz w:val="22"/>
                <w:szCs w:val="22"/>
              </w:rPr>
              <w:t>o</w:t>
            </w:r>
            <w:r w:rsidRPr="00D31EC0" w:rsidR="009D754C">
              <w:rPr>
                <w:rFonts w:ascii="Times New Roman" w:hAnsi="Times New Roman"/>
                <w:sz w:val="22"/>
                <w:szCs w:val="22"/>
              </w:rPr>
              <w:t>ds. 6</w:t>
            </w:r>
          </w:p>
          <w:p w:rsidR="007E7056" w:rsidRPr="00D31EC0" w:rsidP="00162F39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7E7056" w:rsidRPr="00D31EC0" w:rsidP="00FD387D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Normal"/>
              <w:tblW w:w="5275" w:type="dxa"/>
              <w:tblInd w:w="9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5255"/>
            </w:tblGrid>
            <w:tr>
              <w:tblPrEx>
                <w:tblW w:w="5275" w:type="dxa"/>
                <w:tblInd w:w="98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1845"/>
              </w:trPr>
              <w:tc>
                <w:tcPr>
                  <w:tcW w:w="19" w:type="pct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7E7056" w:rsidRPr="00F8764E" w:rsidP="007E7056">
                  <w:pPr>
                    <w:bidi w:val="0"/>
                    <w:spacing w:before="120" w:beforeAutospacing="0" w:after="0" w:afterAutospacing="0"/>
                    <w:jc w:val="both"/>
                    <w:rPr>
                      <w:rFonts w:ascii="Times New Roman" w:hAnsi="Times New Roman"/>
                      <w:color w:val="0070C0"/>
                    </w:rPr>
                  </w:pPr>
                </w:p>
              </w:tc>
              <w:tc>
                <w:tcPr>
                  <w:tcW w:w="4981" w:type="pct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7E7056" w:rsidRPr="00F8764E" w:rsidP="00D31EC0">
                  <w:pPr>
                    <w:pStyle w:val="ListParagraph"/>
                    <w:bidi w:val="0"/>
                    <w:spacing w:before="240" w:after="120"/>
                    <w:ind w:left="0" w:right="29"/>
                    <w:jc w:val="both"/>
                    <w:rPr>
                      <w:rFonts w:ascii="Times New Roman" w:hAnsi="Times New Roman"/>
                      <w:color w:val="0070C0"/>
                    </w:rPr>
                  </w:pPr>
                  <w:r w:rsidRPr="00DD16DC" w:rsidR="009D754C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 xml:space="preserve">Správcovská spoločnosť je povinná poskytovať investorom štandardného fondu na území hostiteľského členského štátu, ktorým v ňom zostali investície, </w:t>
                  </w:r>
                  <w:r w:rsidRPr="00DD16DC" w:rsidR="009D754C"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shd w:val="clear" w:color="auto" w:fill="FFFFFF"/>
                    </w:rPr>
                    <w:t>a</w:t>
                  </w:r>
                  <w:r w:rsidR="00D31EC0"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shd w:val="clear" w:color="auto" w:fill="FFFFFF"/>
                    </w:rPr>
                    <w:t> Národnej banke Slovenska</w:t>
                  </w:r>
                  <w:r w:rsidRPr="00DD16DC" w:rsidR="009D754C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 xml:space="preserve"> informácie podľa príslušných právnych predpisov tohto hostiteľského členského štátu obdobné ako podľa </w:t>
                  </w:r>
                  <w:hyperlink r:id="rId5" w:anchor="paragraf-141" w:tooltip="Odkaz na predpis alebo ustanovenie" w:history="1">
                    <w:r w:rsidRPr="00DD16DC" w:rsidR="009D754C">
                      <w:rPr>
                        <w:rStyle w:val="Hyperlink"/>
                        <w:rFonts w:ascii="Times New Roman" w:hAnsi="Times New Roman"/>
                        <w:iCs/>
                        <w:color w:val="auto"/>
                        <w:sz w:val="22"/>
                        <w:szCs w:val="22"/>
                        <w:u w:val="none"/>
                        <w:effect w:val="none"/>
                        <w:shd w:val="clear" w:color="auto" w:fill="FFFFFF"/>
                      </w:rPr>
                      <w:t>§ 141</w:t>
                    </w:r>
                  </w:hyperlink>
                  <w:r w:rsidRPr="00DD16DC" w:rsidR="009D754C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, </w:t>
                  </w:r>
                  <w:hyperlink r:id="rId5" w:anchor="paragraf-152" w:tooltip="Odkaz na predpis alebo ustanovenie" w:history="1">
                    <w:r w:rsidRPr="00DD16DC" w:rsidR="009D754C">
                      <w:rPr>
                        <w:rStyle w:val="Hyperlink"/>
                        <w:rFonts w:ascii="Times New Roman" w:hAnsi="Times New Roman"/>
                        <w:iCs/>
                        <w:color w:val="auto"/>
                        <w:sz w:val="22"/>
                        <w:szCs w:val="22"/>
                        <w:u w:val="none"/>
                        <w:effect w:val="none"/>
                        <w:shd w:val="clear" w:color="auto" w:fill="FFFFFF"/>
                      </w:rPr>
                      <w:t>§ 152 až 159</w:t>
                    </w:r>
                  </w:hyperlink>
                  <w:r w:rsidRPr="00DD16DC" w:rsidR="009D754C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 a </w:t>
                  </w:r>
                  <w:hyperlink r:id="rId5" w:anchor="paragraf-160" w:tooltip="Odkaz na predpis alebo ustanovenie" w:history="1">
                    <w:r w:rsidRPr="00DD16DC" w:rsidR="009D754C">
                      <w:rPr>
                        <w:rStyle w:val="Hyperlink"/>
                        <w:rFonts w:ascii="Times New Roman" w:hAnsi="Times New Roman"/>
                        <w:iCs/>
                        <w:color w:val="auto"/>
                        <w:sz w:val="22"/>
                        <w:szCs w:val="22"/>
                        <w:u w:val="none"/>
                        <w:effect w:val="none"/>
                        <w:shd w:val="clear" w:color="auto" w:fill="FFFFFF"/>
                      </w:rPr>
                      <w:t>§ 160</w:t>
                    </w:r>
                  </w:hyperlink>
                  <w:r w:rsidRPr="00DD16DC" w:rsidR="009D754C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c>
            </w:tr>
          </w:tbl>
          <w:p w:rsidR="00B1183A" w:rsidRPr="007B6307" w:rsidP="00867B3A">
            <w:pPr>
              <w:bidi w:val="0"/>
              <w:spacing w:before="120" w:beforeAutospacing="0" w:after="0" w:afterAutospacing="0"/>
              <w:ind w:right="9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2F39" w:rsidRPr="0061268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2684" w:rsidR="002A2757">
              <w:rPr>
                <w:rFonts w:ascii="Arial Narrow" w:hAnsi="Arial Narrow"/>
                <w:sz w:val="22"/>
                <w:szCs w:val="22"/>
              </w:rPr>
              <w:t>U</w:t>
            </w:r>
          </w:p>
          <w:p w:rsidR="00532D62" w:rsidRPr="001422B6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  <w:p w:rsidR="00532D62" w:rsidRPr="001422B6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  <w:p w:rsidR="00532D62" w:rsidRPr="001422B6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  <w:p w:rsidR="00532D62" w:rsidRPr="001422B6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  <w:p w:rsidR="00532D62" w:rsidRPr="001422B6" w:rsidP="001422B6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62F39" w:rsidRPr="002153F7" w:rsidP="003172BB">
            <w:pPr>
              <w:pStyle w:val="Heading1"/>
              <w:bidi w:val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133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1F4" w:rsidRPr="00874646" w:rsidP="00874646">
            <w:pPr>
              <w:autoSpaceDE w:val="0"/>
              <w:autoSpaceDN w:val="0"/>
              <w:bidi w:val="0"/>
              <w:spacing w:before="12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646" w:rsidR="00DE2DB9">
              <w:rPr>
                <w:rFonts w:ascii="Times New Roman" w:hAnsi="Times New Roman"/>
                <w:sz w:val="22"/>
                <w:szCs w:val="22"/>
              </w:rPr>
              <w:t xml:space="preserve">Čl. 2 bod </w:t>
            </w:r>
            <w:r w:rsidRPr="00874646" w:rsidR="00F96805">
              <w:rPr>
                <w:rFonts w:ascii="Times New Roman" w:hAnsi="Times New Roman"/>
                <w:sz w:val="22"/>
                <w:szCs w:val="22"/>
              </w:rPr>
              <w:t xml:space="preserve">4 (čl. 32a ods. 3 3. pododsek smer. 2011/61/EÚ)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Normal"/>
              <w:tblW w:w="6378" w:type="dxa"/>
              <w:tblInd w:w="24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3"/>
              <w:gridCol w:w="6095"/>
            </w:tblGrid>
            <w:tr>
              <w:tblPrEx>
                <w:tblW w:w="6378" w:type="dxa"/>
                <w:tblInd w:w="241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28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  <w:hideMark/>
                </w:tcPr>
                <w:p w:rsidR="00E621F4" w:rsidRPr="009D5B18" w:rsidP="00E621F4">
                  <w:pPr>
                    <w:bidi w:val="0"/>
                    <w:spacing w:before="120" w:beforeAutospacing="0" w:after="0" w:afterAutospacing="0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  <w:hideMark/>
                </w:tcPr>
                <w:p w:rsidR="00DD16DC" w:rsidRPr="00874646" w:rsidP="00DD16DC">
                  <w:pPr>
                    <w:shd w:val="clear" w:color="auto" w:fill="FFFFFF"/>
                    <w:bidi w:val="0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</w:pPr>
                  <w:r w:rsidRPr="00874646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Článok 2</w:t>
                  </w:r>
                </w:p>
                <w:p w:rsidR="00DD16DC" w:rsidRPr="00874646" w:rsidP="00DD16DC">
                  <w:pPr>
                    <w:shd w:val="clear" w:color="auto" w:fill="FFFFFF"/>
                    <w:bidi w:val="0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874646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Zmeny smernice 2011/61/EÚ</w:t>
                  </w:r>
                </w:p>
                <w:p w:rsidR="00DD16DC" w:rsidRPr="00874646" w:rsidP="00DD16DC">
                  <w:pPr>
                    <w:shd w:val="clear" w:color="auto" w:fill="FFFFFF"/>
                    <w:bidi w:val="0"/>
                    <w:spacing w:before="0" w:beforeAutospacing="0" w:after="0" w:afterAutospacing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4646">
                    <w:rPr>
                      <w:rFonts w:ascii="Times New Roman" w:hAnsi="Times New Roman"/>
                      <w:sz w:val="22"/>
                      <w:szCs w:val="22"/>
                    </w:rPr>
                    <w:t>Smernica 2011/61/EÚ sa mení takto:</w:t>
                  </w:r>
                </w:p>
                <w:tbl>
                  <w:tblPr>
                    <w:tblStyle w:val="TableNormal"/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7"/>
                    <w:gridCol w:w="5638"/>
                  </w:tblGrid>
                  <w:tr>
                    <w:tblPrEx>
                      <w:tblW w:w="5000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6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extDirection w:val="lrTb"/>
                        <w:vAlign w:val="top"/>
                        <w:hideMark/>
                      </w:tcPr>
                      <w:p w:rsidR="00F96805" w:rsidRPr="00874646" w:rsidP="00F96805">
                        <w:pPr>
                          <w:bidi w:val="0"/>
                          <w:spacing w:before="120" w:beforeAutospacing="0" w:after="0" w:afterAutospacing="0" w:line="312" w:lineRule="atLeast"/>
                          <w:jc w:val="both"/>
                          <w:rPr>
                            <w:rFonts w:ascii="Times New Roman" w:hAnsi="Times New Roman"/>
                            <w:color w:val="444444"/>
                            <w:sz w:val="22"/>
                            <w:szCs w:val="22"/>
                          </w:rPr>
                        </w:pPr>
                        <w:r w:rsidRPr="00874646">
                          <w:rPr>
                            <w:rFonts w:ascii="Times New Roman" w:hAnsi="Times New Roman"/>
                            <w:color w:val="444444"/>
                            <w:sz w:val="22"/>
                            <w:szCs w:val="22"/>
                          </w:rPr>
                          <w:t>4.</w:t>
                        </w:r>
                      </w:p>
                    </w:tc>
                    <w:tc>
                      <w:tcPr>
                        <w:tcW w:w="8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extDirection w:val="lrTb"/>
                        <w:vAlign w:val="top"/>
                        <w:hideMark/>
                      </w:tcPr>
                      <w:p w:rsidR="00F96805" w:rsidRPr="00874646" w:rsidP="00F96805">
                        <w:pPr>
                          <w:bidi w:val="0"/>
                          <w:spacing w:before="120" w:beforeAutospacing="0" w:after="0" w:afterAutospacing="0" w:line="312" w:lineRule="atLeast"/>
                          <w:jc w:val="both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874646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Vkladá sa tento článok:</w:t>
                        </w:r>
                      </w:p>
                    </w:tc>
                  </w:tr>
                </w:tbl>
                <w:p w:rsidR="00E621F4" w:rsidRPr="009D5B18" w:rsidP="00E621F4">
                  <w:pPr>
                    <w:bidi w:val="0"/>
                    <w:spacing w:before="0" w:beforeAutospacing="0" w:after="0" w:afterAutospacing="0"/>
                    <w:rPr>
                      <w:rFonts w:ascii="Times New Roman" w:hAnsi="Times New Roman"/>
                      <w:vanish/>
                      <w:color w:val="000000"/>
                      <w:sz w:val="22"/>
                      <w:szCs w:val="22"/>
                    </w:rPr>
                  </w:pPr>
                </w:p>
                <w:p w:rsidR="00385F7A" w:rsidP="00E621F4">
                  <w:pPr>
                    <w:bidi w:val="0"/>
                    <w:spacing w:before="120" w:beforeAutospacing="0" w:after="0" w:afterAutospacing="0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E621F4" w:rsidRPr="009D5B18" w:rsidP="00BD00A2">
                  <w:pPr>
                    <w:bidi w:val="0"/>
                    <w:spacing w:before="120" w:beforeAutospacing="0" w:after="0" w:afterAutospacing="0"/>
                    <w:ind w:right="141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D5B1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Počas obdobia 36 mesiacov od dátumu uvedeného v odseku 1 prvom pododseku písm. c) sa správca AIF nesmie zapojiť do predmarketingu podielových listov alebo akcií AIF z EÚ uvedených v oznámení alebo pokiaľ ide o podobné investičné stratégie alebo investičné zámery v členskom štáte určenom v oznámení uvedenom v odseku 2.</w:t>
                  </w:r>
                </w:p>
              </w:tc>
            </w:tr>
          </w:tbl>
          <w:p w:rsidR="00E621F4" w:rsidRPr="009D5B18" w:rsidP="00E621F4">
            <w:pPr>
              <w:pStyle w:val="Default"/>
              <w:bidi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96805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621F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EC0" w:rsidR="002A2757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3D7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70C0"/>
                <w:sz w:val="22"/>
                <w:szCs w:val="22"/>
              </w:rPr>
            </w:pPr>
          </w:p>
          <w:p w:rsidR="00430B1E" w:rsidRPr="00D31EC0" w:rsidP="00BD00A2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30B1E" w:rsidRPr="00D31EC0" w:rsidP="00BD00A2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30B1E" w:rsidRPr="00D31EC0" w:rsidP="00BD00A2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96805" w:rsidRPr="00D31EC0" w:rsidP="00BD00A2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30B1E" w:rsidRPr="00D31EC0" w:rsidP="00BD00A2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D00A2" w:rsidRPr="00D31EC0" w:rsidP="00BD00A2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70C0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sz w:val="22"/>
                <w:szCs w:val="22"/>
              </w:rPr>
              <w:t>203/2011 a</w:t>
            </w:r>
          </w:p>
          <w:p w:rsidR="00BD00A2" w:rsidRPr="00D31EC0" w:rsidP="00BD00A2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Návrh zákona čl.IV</w:t>
            </w:r>
          </w:p>
          <w:p w:rsidR="00E621F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C668B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C668B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C668B" w:rsidRPr="00D31EC0" w:rsidP="00F96805">
            <w:pPr>
              <w:autoSpaceDE w:val="0"/>
              <w:autoSpaceDN w:val="0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3D7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430B1E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430B1E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96805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430B1E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430B1E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7D53D7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31EC0" w:rsidR="00E621F4">
              <w:rPr>
                <w:rFonts w:ascii="Times New Roman" w:hAnsi="Times New Roman"/>
                <w:sz w:val="22"/>
                <w:szCs w:val="22"/>
              </w:rPr>
              <w:t xml:space="preserve">§ </w:t>
            </w:r>
            <w:r w:rsidRPr="00D31EC0" w:rsidR="00FE7B54">
              <w:rPr>
                <w:rFonts w:ascii="Times New Roman" w:hAnsi="Times New Roman"/>
                <w:sz w:val="22"/>
                <w:szCs w:val="22"/>
              </w:rPr>
              <w:t>150c</w:t>
            </w:r>
            <w:r w:rsidRPr="00D31EC0" w:rsidR="00C50E7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A04A2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sz w:val="22"/>
                <w:szCs w:val="22"/>
              </w:rPr>
              <w:t>ods.11</w:t>
            </w:r>
          </w:p>
          <w:p w:rsidR="005A04A2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5A04A2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7D53D7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7D53D7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C668B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C668B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B1E" w:rsidP="00BD00A2">
            <w:pPr>
              <w:autoSpaceDE w:val="0"/>
              <w:autoSpaceDN w:val="0"/>
              <w:bidi w:val="0"/>
              <w:adjustRightInd w:val="0"/>
              <w:spacing w:before="120" w:beforeAutospacing="0" w:after="0" w:afterAutospacing="0"/>
              <w:ind w:left="136"/>
              <w:jc w:val="both"/>
              <w:rPr>
                <w:rFonts w:ascii="Times New Roman" w:hAnsi="Times New Roman"/>
                <w:color w:val="000000" w:themeColor="tx1" w:themeShade="FF"/>
              </w:rPr>
            </w:pPr>
          </w:p>
          <w:p w:rsidR="00430B1E" w:rsidP="00BD00A2">
            <w:pPr>
              <w:autoSpaceDE w:val="0"/>
              <w:autoSpaceDN w:val="0"/>
              <w:bidi w:val="0"/>
              <w:adjustRightInd w:val="0"/>
              <w:spacing w:before="120" w:beforeAutospacing="0" w:after="0" w:afterAutospacing="0"/>
              <w:ind w:left="136"/>
              <w:jc w:val="both"/>
              <w:rPr>
                <w:rFonts w:ascii="Times New Roman" w:hAnsi="Times New Roman"/>
                <w:color w:val="000000" w:themeColor="tx1" w:themeShade="FF"/>
              </w:rPr>
            </w:pPr>
          </w:p>
          <w:p w:rsidR="00430B1E" w:rsidP="00BD00A2">
            <w:pPr>
              <w:autoSpaceDE w:val="0"/>
              <w:autoSpaceDN w:val="0"/>
              <w:bidi w:val="0"/>
              <w:adjustRightInd w:val="0"/>
              <w:spacing w:before="120" w:beforeAutospacing="0" w:after="0" w:afterAutospacing="0"/>
              <w:ind w:left="136"/>
              <w:jc w:val="both"/>
              <w:rPr>
                <w:rFonts w:ascii="Times New Roman" w:hAnsi="Times New Roman"/>
                <w:color w:val="000000" w:themeColor="tx1" w:themeShade="FF"/>
              </w:rPr>
            </w:pPr>
          </w:p>
          <w:p w:rsidR="00430B1E" w:rsidP="00BD00A2">
            <w:pPr>
              <w:autoSpaceDE w:val="0"/>
              <w:autoSpaceDN w:val="0"/>
              <w:bidi w:val="0"/>
              <w:adjustRightInd w:val="0"/>
              <w:spacing w:before="120" w:beforeAutospacing="0" w:after="0" w:afterAutospacing="0"/>
              <w:ind w:left="136"/>
              <w:jc w:val="both"/>
              <w:rPr>
                <w:rFonts w:ascii="Times New Roman" w:hAnsi="Times New Roman"/>
                <w:color w:val="000000" w:themeColor="tx1" w:themeShade="FF"/>
              </w:rPr>
            </w:pPr>
          </w:p>
          <w:p w:rsidR="007D53D7" w:rsidRPr="00F96805" w:rsidP="00BD00A2">
            <w:pPr>
              <w:autoSpaceDE w:val="0"/>
              <w:autoSpaceDN w:val="0"/>
              <w:bidi w:val="0"/>
              <w:adjustRightInd w:val="0"/>
              <w:spacing w:before="120" w:beforeAutospacing="0" w:after="0" w:afterAutospacing="0"/>
              <w:ind w:left="13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6805">
              <w:rPr>
                <w:rFonts w:ascii="Times New Roman" w:hAnsi="Times New Roman"/>
                <w:sz w:val="22"/>
                <w:szCs w:val="22"/>
              </w:rPr>
              <w:t xml:space="preserve">(11) </w:t>
            </w:r>
            <w:r w:rsidRPr="00F96805" w:rsidR="001422B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Počas obdobia 36 mesiacov od odvolania oznámenia podľa odseku 1 správcovská spoločnosť podľa odseku 1 nesmie vykonávať predmarketing alternatívneho investičného fondu alebo európskeho alternatívneho investičného fondu uvedených v odvolaní oznámenia podľa odseku 1 </w:t>
            </w:r>
            <w:r w:rsidRPr="00F96805" w:rsidR="001422B6">
              <w:rPr>
                <w:rStyle w:val="y2iqfc"/>
                <w:rFonts w:ascii="Times New Roman" w:hAnsi="Times New Roman"/>
                <w:b/>
                <w:noProof/>
                <w:sz w:val="22"/>
                <w:szCs w:val="22"/>
              </w:rPr>
              <w:t>alebo obdobných investičných stratégií alebo investičných zámerov</w:t>
            </w:r>
            <w:r w:rsidRPr="00F96805" w:rsidR="001422B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v príslušnom hostiteľskom členskom štáte</w:t>
            </w:r>
            <w:r w:rsidRPr="00F9680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621F4" w:rsidRPr="002153F7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="002A2757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621F4" w:rsidRPr="002153F7" w:rsidP="00E621F4">
            <w:pPr>
              <w:pStyle w:val="Heading1"/>
              <w:bidi w:val="0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133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1F4" w:rsidRPr="00874646" w:rsidP="00874646">
            <w:pPr>
              <w:autoSpaceDE w:val="0"/>
              <w:autoSpaceDN w:val="0"/>
              <w:bidi w:val="0"/>
              <w:spacing w:before="12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646" w:rsidR="00DE2DB9">
              <w:rPr>
                <w:rFonts w:ascii="Times New Roman" w:hAnsi="Times New Roman"/>
                <w:sz w:val="22"/>
                <w:szCs w:val="22"/>
              </w:rPr>
              <w:t>Č</w:t>
            </w:r>
            <w:r w:rsidR="00874646">
              <w:rPr>
                <w:rFonts w:ascii="Times New Roman" w:hAnsi="Times New Roman"/>
                <w:sz w:val="22"/>
                <w:szCs w:val="22"/>
              </w:rPr>
              <w:t>l</w:t>
            </w:r>
            <w:r w:rsidRPr="00874646" w:rsidR="00DE2DB9">
              <w:rPr>
                <w:rFonts w:ascii="Times New Roman" w:hAnsi="Times New Roman"/>
                <w:sz w:val="22"/>
                <w:szCs w:val="22"/>
              </w:rPr>
              <w:t>. 2 bod 6</w:t>
            </w:r>
            <w:r w:rsidRPr="00874646" w:rsidR="00AC0AC0">
              <w:rPr>
                <w:rFonts w:ascii="Times New Roman" w:hAnsi="Times New Roman"/>
                <w:sz w:val="22"/>
                <w:szCs w:val="22"/>
              </w:rPr>
              <w:t xml:space="preserve"> (čl. 43a </w:t>
            </w:r>
            <w:r w:rsidR="00A4224E">
              <w:rPr>
                <w:rFonts w:ascii="Times New Roman" w:hAnsi="Times New Roman"/>
                <w:sz w:val="22"/>
                <w:szCs w:val="22"/>
              </w:rPr>
              <w:t xml:space="preserve">ods.1, ods. 2, ods. 3 písm. a), písm. b) </w:t>
            </w:r>
            <w:r w:rsidRPr="00874646" w:rsidR="00AC0AC0">
              <w:rPr>
                <w:rFonts w:ascii="Times New Roman" w:hAnsi="Times New Roman"/>
                <w:sz w:val="22"/>
                <w:szCs w:val="22"/>
              </w:rPr>
              <w:t xml:space="preserve">smer. 2011/61/EÚ) </w:t>
            </w:r>
            <w:r w:rsidRPr="00874646" w:rsidR="00DE2DB9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Normal"/>
              <w:tblW w:w="6378" w:type="dxa"/>
              <w:tblInd w:w="24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3"/>
              <w:gridCol w:w="6095"/>
            </w:tblGrid>
            <w:tr>
              <w:tblPrEx>
                <w:tblW w:w="6378" w:type="dxa"/>
                <w:tblInd w:w="241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28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  <w:hideMark/>
                </w:tcPr>
                <w:p w:rsidR="00E621F4" w:rsidRPr="009D5B18" w:rsidP="00E621F4">
                  <w:pPr>
                    <w:bidi w:val="0"/>
                    <w:spacing w:before="120" w:beforeAutospacing="0" w:after="0" w:afterAutospacing="0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D5B1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609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  <w:hideMark/>
                </w:tcPr>
                <w:p w:rsidR="00E621F4" w:rsidRPr="009D5B18" w:rsidP="00E621F4">
                  <w:pPr>
                    <w:bidi w:val="0"/>
                    <w:spacing w:before="120" w:beforeAutospacing="0" w:after="0" w:afterAutospacing="0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D5B1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Vkladá sa tento článok:</w:t>
                  </w:r>
                </w:p>
                <w:p w:rsidR="00E621F4" w:rsidRPr="009D5B18" w:rsidP="00E621F4">
                  <w:pPr>
                    <w:bidi w:val="0"/>
                    <w:spacing w:before="360" w:beforeAutospacing="0" w:after="120" w:afterAutospacing="0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9D5B18">
                    <w:rPr>
                      <w:rFonts w:ascii="Times New Roman" w:hAnsi="Times New Roman"/>
                      <w:i/>
                      <w:iCs/>
                      <w:color w:val="000000"/>
                      <w:sz w:val="22"/>
                      <w:szCs w:val="22"/>
                    </w:rPr>
                    <w:t>„Článok 43a</w:t>
                  </w:r>
                </w:p>
                <w:p w:rsidR="00E621F4" w:rsidRPr="009D5B18" w:rsidP="00E621F4">
                  <w:pPr>
                    <w:bidi w:val="0"/>
                    <w:spacing w:before="60" w:beforeAutospacing="0" w:after="120" w:afterAutospacing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D5B18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Zariadenia, ktoré sú k dispozícii retailovým investorom</w:t>
                  </w:r>
                </w:p>
                <w:p w:rsidR="00E621F4" w:rsidRPr="009D5B18" w:rsidP="00D961DA">
                  <w:pPr>
                    <w:bidi w:val="0"/>
                    <w:spacing w:before="120" w:beforeAutospacing="0" w:after="0" w:afterAutospacing="0"/>
                    <w:ind w:right="141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D5B1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1.   Bez toho, aby bol dotknutý článok 26 nariadenia (EÚ) 2015/760, členské štáty zabezpečia, aby správca AIF sprístupnil v každom členskom štáte, v ktorom má v úmysle uvádzať na trh podielové listy alebo akcie AIF pre retailových investorov, zariadenia na vykonávanie týchto úloh:</w:t>
                  </w:r>
                </w:p>
                <w:tbl>
                  <w:tblPr>
                    <w:tblStyle w:val="TableNormal"/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5"/>
                    <w:gridCol w:w="5830"/>
                  </w:tblGrid>
                  <w:tr>
                    <w:tblPrEx>
                      <w:tblW w:w="5000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265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E621F4" w:rsidRPr="009D5B18" w:rsidP="00E621F4">
                        <w:pPr>
                          <w:bidi w:val="0"/>
                          <w:spacing w:before="120" w:beforeAutospacing="0" w:after="0" w:afterAutospacing="0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a)</w:t>
                        </w:r>
                      </w:p>
                    </w:tc>
                    <w:tc>
                      <w:tcPr>
                        <w:tcW w:w="5830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E621F4" w:rsidP="00D961DA">
                        <w:pPr>
                          <w:bidi w:val="0"/>
                          <w:spacing w:before="120" w:beforeAutospacing="0" w:after="0" w:afterAutospacing="0"/>
                          <w:ind w:right="141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spracovávanie pokynov investorov na upísanie, platbu, odkúpenie a vyplatenie vo vzťahu k podielovým listom alebo akciám AIF v súlade s podmienkami stanovenými v dokumentoch AIF;</w:t>
                        </w:r>
                      </w:p>
                      <w:p w:rsidR="00832B5F" w:rsidP="00D961DA">
                        <w:pPr>
                          <w:bidi w:val="0"/>
                          <w:spacing w:before="120" w:beforeAutospacing="0" w:after="0" w:afterAutospacing="0"/>
                          <w:ind w:right="141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306EF6" w:rsidRPr="009D5B18" w:rsidP="00D961DA">
                        <w:pPr>
                          <w:bidi w:val="0"/>
                          <w:spacing w:before="120" w:beforeAutospacing="0" w:after="0" w:afterAutospacing="0"/>
                          <w:ind w:right="141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>
                    <w:tblPrEx>
                      <w:tblW w:w="5000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265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E621F4" w:rsidRPr="009D5B18" w:rsidP="00E621F4">
                        <w:pPr>
                          <w:bidi w:val="0"/>
                          <w:spacing w:before="120" w:beforeAutospacing="0" w:after="0" w:afterAutospacing="0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b)</w:t>
                        </w:r>
                      </w:p>
                    </w:tc>
                    <w:tc>
                      <w:tcPr>
                        <w:tcW w:w="5830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E621F4" w:rsidRPr="009D5B18" w:rsidP="00D961DA">
                        <w:pPr>
                          <w:bidi w:val="0"/>
                          <w:spacing w:before="120" w:beforeAutospacing="0" w:after="0" w:afterAutospacing="0"/>
                          <w:ind w:right="141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poskytovanie informácií investorom o tom, ako možno vykonať pokyny uvedené v písmene a) a ako sa vyplácajú výnosy z odkúpenia a vyplatenia;</w:t>
                        </w:r>
                      </w:p>
                    </w:tc>
                  </w:tr>
                </w:tbl>
                <w:p w:rsidR="00E621F4" w:rsidRPr="009D5B18" w:rsidP="00E621F4">
                  <w:pPr>
                    <w:bidi w:val="0"/>
                    <w:spacing w:before="0" w:beforeAutospacing="0" w:after="0" w:afterAutospacing="0"/>
                    <w:rPr>
                      <w:rFonts w:ascii="Times New Roman" w:hAnsi="Times New Roman"/>
                      <w:vanish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Style w:val="TableNormal"/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5"/>
                    <w:gridCol w:w="5830"/>
                  </w:tblGrid>
                  <w:tr>
                    <w:tblPrEx>
                      <w:tblW w:w="5000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284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7D53D7" w:rsidP="00E621F4">
                        <w:pPr>
                          <w:bidi w:val="0"/>
                          <w:spacing w:before="120" w:beforeAutospacing="0" w:after="0" w:afterAutospacing="0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E621F4" w:rsidRPr="009D5B18" w:rsidP="00E621F4">
                        <w:pPr>
                          <w:bidi w:val="0"/>
                          <w:spacing w:before="120" w:beforeAutospacing="0" w:after="0" w:afterAutospacing="0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c)</w:t>
                        </w:r>
                      </w:p>
                    </w:tc>
                    <w:tc>
                      <w:tcPr>
                        <w:tcW w:w="6293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7D53D7" w:rsidP="00D961DA">
                        <w:pPr>
                          <w:bidi w:val="0"/>
                          <w:spacing w:before="120" w:beforeAutospacing="0" w:after="0" w:afterAutospacing="0"/>
                          <w:ind w:right="141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E621F4" w:rsidP="00D961DA">
                        <w:pPr>
                          <w:bidi w:val="0"/>
                          <w:spacing w:before="120" w:beforeAutospacing="0" w:after="0" w:afterAutospacing="0"/>
                          <w:ind w:right="141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uľahčenie nakladania s informáciami týkajúcimi sa uplatňovania práv investorov vyplývajúcich z ich investície do AIF v členskom štáte, v ktorom sa AIF uvádza na trh;</w:t>
                        </w:r>
                      </w:p>
                      <w:p w:rsidR="00D961DA" w:rsidP="00D961DA">
                        <w:pPr>
                          <w:bidi w:val="0"/>
                          <w:spacing w:before="120" w:beforeAutospacing="0" w:after="0" w:afterAutospacing="0"/>
                          <w:ind w:right="141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32B5F" w:rsidP="00D961DA">
                        <w:pPr>
                          <w:bidi w:val="0"/>
                          <w:spacing w:before="120" w:beforeAutospacing="0" w:after="0" w:afterAutospacing="0"/>
                          <w:ind w:right="141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D961DA" w:rsidP="00D961DA">
                        <w:pPr>
                          <w:bidi w:val="0"/>
                          <w:spacing w:before="120" w:beforeAutospacing="0" w:after="0" w:afterAutospacing="0"/>
                          <w:ind w:right="141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D961DA" w:rsidRPr="009D5B18" w:rsidP="00D961DA">
                        <w:pPr>
                          <w:bidi w:val="0"/>
                          <w:spacing w:before="120" w:beforeAutospacing="0" w:after="0" w:afterAutospacing="0"/>
                          <w:ind w:right="141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621F4" w:rsidRPr="009D5B18" w:rsidP="00E621F4">
                  <w:pPr>
                    <w:bidi w:val="0"/>
                    <w:spacing w:before="0" w:beforeAutospacing="0" w:after="0" w:afterAutospacing="0"/>
                    <w:rPr>
                      <w:rFonts w:ascii="Times New Roman" w:hAnsi="Times New Roman"/>
                      <w:vanish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Style w:val="TableNormal"/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5"/>
                    <w:gridCol w:w="5830"/>
                  </w:tblGrid>
                  <w:tr>
                    <w:tblPrEx>
                      <w:tblW w:w="5000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265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E621F4" w:rsidRPr="009D5B18" w:rsidP="00E621F4">
                        <w:pPr>
                          <w:bidi w:val="0"/>
                          <w:spacing w:before="120" w:beforeAutospacing="0" w:after="0" w:afterAutospacing="0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d)</w:t>
                        </w:r>
                      </w:p>
                    </w:tc>
                    <w:tc>
                      <w:tcPr>
                        <w:tcW w:w="5830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E621F4" w:rsidP="00D961DA">
                        <w:pPr>
                          <w:bidi w:val="0"/>
                          <w:spacing w:before="120" w:beforeAutospacing="0" w:after="0" w:afterAutospacing="0"/>
                          <w:ind w:right="141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sprístupnenie informácií a dokumentov požadovaných podľa článkov 22 a 23 investorom na účely kontrol a na získanie ich kópií;</w:t>
                        </w:r>
                      </w:p>
                      <w:p w:rsidR="00832B5F" w:rsidRPr="009D5B18" w:rsidP="00D961DA">
                        <w:pPr>
                          <w:bidi w:val="0"/>
                          <w:spacing w:before="120" w:beforeAutospacing="0" w:after="0" w:afterAutospacing="0"/>
                          <w:ind w:right="141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>
                    <w:tblPrEx>
                      <w:tblW w:w="5000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265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E621F4" w:rsidRPr="009D5B18" w:rsidP="00E621F4">
                        <w:pPr>
                          <w:bidi w:val="0"/>
                          <w:spacing w:before="120" w:beforeAutospacing="0" w:after="0" w:afterAutospacing="0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e)</w:t>
                        </w:r>
                      </w:p>
                    </w:tc>
                    <w:tc>
                      <w:tcPr>
                        <w:tcW w:w="5830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E621F4" w:rsidP="00D961DA">
                        <w:pPr>
                          <w:bidi w:val="0"/>
                          <w:spacing w:before="120" w:beforeAutospacing="0" w:after="0" w:afterAutospacing="0"/>
                          <w:ind w:right="141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poskytovanie informácií investorom v súvislosti s úlohami, ktoré tieto zariadenia zabezpečujú, na trvalom médiu, ako sa vymedzuje v článku 2 ods. 1 písm. m) smernice 2009/65/ES; a</w:t>
                        </w:r>
                      </w:p>
                      <w:p w:rsidR="006B55A4" w:rsidRPr="009D5B18" w:rsidP="00D961DA">
                        <w:pPr>
                          <w:bidi w:val="0"/>
                          <w:spacing w:before="120" w:beforeAutospacing="0" w:after="0" w:afterAutospacing="0"/>
                          <w:ind w:right="141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>
                    <w:tblPrEx>
                      <w:tblW w:w="5000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265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E621F4" w:rsidRPr="009D5B18" w:rsidP="00E621F4">
                        <w:pPr>
                          <w:bidi w:val="0"/>
                          <w:spacing w:before="120" w:beforeAutospacing="0" w:after="0" w:afterAutospacing="0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f)</w:t>
                        </w:r>
                      </w:p>
                    </w:tc>
                    <w:tc>
                      <w:tcPr>
                        <w:tcW w:w="5830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E621F4" w:rsidP="00D961DA">
                        <w:pPr>
                          <w:bidi w:val="0"/>
                          <w:spacing w:before="120" w:beforeAutospacing="0" w:after="0" w:afterAutospacing="0"/>
                          <w:ind w:right="141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pôsobenie v pozícii kontaktného miesta pre komunikáciu s príslušnými orgánmi.</w:t>
                        </w:r>
                      </w:p>
                      <w:p w:rsidR="00612684" w:rsidRPr="009D5B18" w:rsidP="00D961DA">
                        <w:pPr>
                          <w:bidi w:val="0"/>
                          <w:spacing w:before="120" w:beforeAutospacing="0" w:after="0" w:afterAutospacing="0"/>
                          <w:ind w:right="141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621F4" w:rsidRPr="009D5B18" w:rsidP="00D961DA">
                  <w:pPr>
                    <w:bidi w:val="0"/>
                    <w:spacing w:before="120" w:beforeAutospacing="0" w:after="0" w:afterAutospacing="0"/>
                    <w:ind w:right="141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D5B1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2.   Členské štáty od správcu AIF nevyžadujú fyzickú prítomnosť v hostiteľskom členskom štáte ani ustanovenie tretej strany na účely odseku 1.</w:t>
                  </w:r>
                </w:p>
                <w:p w:rsidR="001657CD" w:rsidP="00E621F4">
                  <w:pPr>
                    <w:bidi w:val="0"/>
                    <w:spacing w:before="120" w:beforeAutospacing="0" w:after="0" w:afterAutospacing="0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D03F84" w:rsidP="00E621F4">
                  <w:pPr>
                    <w:bidi w:val="0"/>
                    <w:spacing w:before="120" w:beforeAutospacing="0" w:after="0" w:afterAutospacing="0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D961DA" w:rsidRPr="009D5B18" w:rsidP="00E621F4">
                  <w:pPr>
                    <w:bidi w:val="0"/>
                    <w:spacing w:before="120" w:beforeAutospacing="0" w:after="0" w:afterAutospacing="0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D5B18" w:rsidR="00E621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3.   Správca AIF zabezpečí, aby boli k dispozícii zariadenia na vykonávanie úloh, a to aj ele</w:t>
                  </w:r>
                  <w:r w:rsidR="006B55A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ktronicky, uvedených v odseku 1</w:t>
                  </w:r>
                </w:p>
                <w:tbl>
                  <w:tblPr>
                    <w:tblStyle w:val="TableNormal"/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5"/>
                    <w:gridCol w:w="5830"/>
                  </w:tblGrid>
                  <w:tr>
                    <w:tblPrEx>
                      <w:tblW w:w="5000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284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E621F4" w:rsidRPr="009D5B18" w:rsidP="00E621F4">
                        <w:pPr>
                          <w:bidi w:val="0"/>
                          <w:spacing w:before="120" w:beforeAutospacing="0" w:after="0" w:afterAutospacing="0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a)</w:t>
                        </w:r>
                      </w:p>
                    </w:tc>
                    <w:tc>
                      <w:tcPr>
                        <w:tcW w:w="6293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E621F4" w:rsidRPr="009D5B18" w:rsidP="00D961DA">
                        <w:pPr>
                          <w:bidi w:val="0"/>
                          <w:spacing w:before="120" w:beforeAutospacing="0" w:after="0" w:afterAutospacing="0"/>
                          <w:ind w:right="141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v úradnom jazyku alebo v jednom z úradných jazykov členského štátu, v ktorom sa AIF uvádza na trh, alebo v jazyku schválenom príslušnými orgánmi uvedeného členského štátu;</w:t>
                        </w:r>
                      </w:p>
                    </w:tc>
                  </w:tr>
                </w:tbl>
                <w:p w:rsidR="00E621F4" w:rsidRPr="009D5B18" w:rsidP="00E621F4">
                  <w:pPr>
                    <w:bidi w:val="0"/>
                    <w:spacing w:before="0" w:beforeAutospacing="0" w:after="0" w:afterAutospacing="0"/>
                    <w:rPr>
                      <w:rFonts w:ascii="Times New Roman" w:hAnsi="Times New Roman"/>
                      <w:vanish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Style w:val="TableNormal"/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5"/>
                    <w:gridCol w:w="5830"/>
                  </w:tblGrid>
                  <w:tr>
                    <w:tblPrEx>
                      <w:tblW w:w="5000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284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E621F4" w:rsidRPr="009D5B18" w:rsidP="00E621F4">
                        <w:pPr>
                          <w:bidi w:val="0"/>
                          <w:spacing w:before="120" w:beforeAutospacing="0" w:after="0" w:afterAutospacing="0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b)</w:t>
                        </w:r>
                      </w:p>
                    </w:tc>
                    <w:tc>
                      <w:tcPr>
                        <w:tcW w:w="6293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  <w:hideMark/>
                      </w:tcPr>
                      <w:p w:rsidR="00E621F4" w:rsidP="00D961DA">
                        <w:pPr>
                          <w:bidi w:val="0"/>
                          <w:spacing w:before="120" w:beforeAutospacing="0" w:after="0" w:afterAutospacing="0"/>
                          <w:ind w:right="141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D5B1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prostredníctvom samotného správcu AIF, tretej strany, ktorá podlieha predpisom a dohľadu, ktoré upravujú úlohy, ktoré sa majú vykonávať, alebo oboch.</w:t>
                        </w:r>
                      </w:p>
                      <w:p w:rsidR="0030409A" w:rsidRPr="009D5B18" w:rsidP="00D961DA">
                        <w:pPr>
                          <w:bidi w:val="0"/>
                          <w:spacing w:before="120" w:beforeAutospacing="0" w:after="0" w:afterAutospacing="0"/>
                          <w:ind w:right="141"/>
                          <w:jc w:val="both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621F4" w:rsidRPr="009D5B18" w:rsidP="00612684">
                  <w:pPr>
                    <w:bidi w:val="0"/>
                    <w:spacing w:before="120" w:beforeAutospacing="0" w:after="0" w:afterAutospacing="0"/>
                    <w:ind w:right="141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621F4" w:rsidRPr="0030409A" w:rsidP="00E621F4">
            <w:pPr>
              <w:pStyle w:val="Default"/>
              <w:bidi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2B5F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2B5F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621F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EC0" w:rsidR="002A2757">
              <w:rPr>
                <w:rFonts w:ascii="Times New Roman" w:hAnsi="Times New Roman"/>
                <w:sz w:val="22"/>
                <w:szCs w:val="22"/>
              </w:rPr>
              <w:t>N</w:t>
            </w: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46FD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B5F" w:rsidRPr="00D31EC0" w:rsidP="00BD00A2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2B5F" w:rsidRPr="00D31EC0" w:rsidP="00BD00A2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2B5F" w:rsidRPr="00D31EC0" w:rsidP="00BD00A2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2B5F" w:rsidRPr="00D31EC0" w:rsidP="00BD00A2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D00A2" w:rsidRPr="00D31EC0" w:rsidP="00BD00A2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70C0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sz w:val="22"/>
                <w:szCs w:val="22"/>
              </w:rPr>
              <w:t>203/2011 a</w:t>
            </w:r>
          </w:p>
          <w:p w:rsidR="00BD00A2" w:rsidRPr="00D31EC0" w:rsidP="00BD00A2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Návrh zákona čl.IV</w:t>
            </w:r>
          </w:p>
          <w:p w:rsidR="00E621F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61268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Návrh zákona čl.IV</w:t>
            </w: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61268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70C0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sz w:val="22"/>
                <w:szCs w:val="22"/>
              </w:rPr>
              <w:t>203/2011 a</w:t>
            </w:r>
          </w:p>
          <w:p w:rsidR="00612684" w:rsidRPr="00D31EC0" w:rsidP="0061268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Návrh zákona čl.IV</w:t>
            </w:r>
          </w:p>
          <w:p w:rsidR="00612684" w:rsidRPr="00D31EC0" w:rsidP="0061268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612684" w:rsidRPr="00D31EC0" w:rsidP="0061268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612684" w:rsidRPr="00D31EC0" w:rsidP="0061268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684" w:rsidRPr="00D31EC0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B5F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832B5F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832B5F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832B5F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E621F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sz w:val="22"/>
                <w:szCs w:val="22"/>
              </w:rPr>
              <w:t xml:space="preserve">§ </w:t>
            </w:r>
            <w:r w:rsidRPr="00D31EC0" w:rsidR="00FE7B54">
              <w:rPr>
                <w:rFonts w:ascii="Times New Roman" w:hAnsi="Times New Roman"/>
                <w:sz w:val="22"/>
                <w:szCs w:val="22"/>
              </w:rPr>
              <w:t>1</w:t>
            </w:r>
            <w:r w:rsidRPr="00D31EC0" w:rsidR="006C668B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31EC0" w:rsidR="00832B5F">
              <w:rPr>
                <w:rFonts w:ascii="Times New Roman" w:hAnsi="Times New Roman"/>
                <w:sz w:val="22"/>
                <w:szCs w:val="22"/>
              </w:rPr>
              <w:t>o</w:t>
            </w:r>
            <w:r w:rsidRPr="00D31EC0">
              <w:rPr>
                <w:rFonts w:ascii="Times New Roman" w:hAnsi="Times New Roman"/>
                <w:sz w:val="22"/>
                <w:szCs w:val="22"/>
              </w:rPr>
              <w:t>ds. 1</w:t>
            </w:r>
          </w:p>
          <w:p w:rsidR="00E621F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612684">
            <w:pPr>
              <w:pStyle w:val="Normlny"/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31EC0">
              <w:rPr>
                <w:rFonts w:ascii="Times New Roman" w:hAnsi="Times New Roman"/>
                <w:b/>
                <w:sz w:val="22"/>
                <w:szCs w:val="22"/>
              </w:rPr>
              <w:t>§ 150</w:t>
            </w:r>
          </w:p>
          <w:p w:rsidR="00612684" w:rsidRPr="00D31EC0" w:rsidP="00612684">
            <w:pPr>
              <w:pStyle w:val="Normlny"/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31EC0" w:rsidR="00832B5F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D31EC0">
              <w:rPr>
                <w:rFonts w:ascii="Times New Roman" w:hAnsi="Times New Roman"/>
                <w:b/>
                <w:sz w:val="22"/>
                <w:szCs w:val="22"/>
              </w:rPr>
              <w:t>ds. 6</w:t>
            </w: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61268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31EC0">
              <w:rPr>
                <w:rFonts w:ascii="Times New Roman" w:hAnsi="Times New Roman"/>
                <w:sz w:val="22"/>
                <w:szCs w:val="22"/>
              </w:rPr>
              <w:t>§ 150</w:t>
            </w:r>
          </w:p>
          <w:p w:rsidR="00612684" w:rsidRPr="00D31EC0" w:rsidP="0061268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31EC0" w:rsidR="00832B5F">
              <w:rPr>
                <w:rFonts w:ascii="Times New Roman" w:hAnsi="Times New Roman"/>
                <w:sz w:val="22"/>
                <w:szCs w:val="22"/>
              </w:rPr>
              <w:t>o</w:t>
            </w:r>
            <w:r w:rsidRPr="00D31EC0">
              <w:rPr>
                <w:rFonts w:ascii="Times New Roman" w:hAnsi="Times New Roman"/>
                <w:sz w:val="22"/>
                <w:szCs w:val="22"/>
              </w:rPr>
              <w:t>ds. 3</w:t>
            </w:r>
          </w:p>
          <w:p w:rsidR="00612684" w:rsidRPr="00D31EC0" w:rsidP="0061268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61268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61268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61268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61268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61268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61268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12684" w:rsidRPr="00D31EC0" w:rsidP="00E621F4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B5F" w:rsidP="00BD00A2">
            <w:pPr>
              <w:shd w:val="clear" w:color="auto" w:fill="FFFFFF"/>
              <w:bidi w:val="0"/>
              <w:spacing w:before="0" w:beforeAutospacing="0" w:after="0" w:afterAutospacing="0"/>
              <w:jc w:val="both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bookmarkStart w:id="3" w:name="_Hlk52967472"/>
          </w:p>
          <w:p w:rsidR="00832B5F" w:rsidP="00BD00A2">
            <w:pPr>
              <w:shd w:val="clear" w:color="auto" w:fill="FFFFFF"/>
              <w:bidi w:val="0"/>
              <w:spacing w:before="0" w:beforeAutospacing="0" w:after="0" w:afterAutospacing="0"/>
              <w:jc w:val="both"/>
              <w:rPr>
                <w:rFonts w:ascii="Open Sans" w:hAnsi="Open Sans" w:cs="Open Sans"/>
                <w:color w:val="000000"/>
                <w:sz w:val="21"/>
                <w:szCs w:val="21"/>
              </w:rPr>
            </w:pPr>
          </w:p>
          <w:p w:rsidR="00832B5F" w:rsidP="00BD00A2">
            <w:pPr>
              <w:shd w:val="clear" w:color="auto" w:fill="FFFFFF"/>
              <w:bidi w:val="0"/>
              <w:spacing w:before="0" w:beforeAutospacing="0" w:after="0" w:afterAutospacing="0"/>
              <w:jc w:val="both"/>
              <w:rPr>
                <w:rFonts w:ascii="Open Sans" w:hAnsi="Open Sans" w:cs="Open Sans"/>
                <w:color w:val="000000"/>
                <w:sz w:val="21"/>
                <w:szCs w:val="21"/>
              </w:rPr>
            </w:pPr>
          </w:p>
          <w:p w:rsidR="00832B5F" w:rsidP="00BD00A2">
            <w:pPr>
              <w:shd w:val="clear" w:color="auto" w:fill="FFFFFF"/>
              <w:bidi w:val="0"/>
              <w:spacing w:before="0" w:beforeAutospacing="0" w:after="0" w:afterAutospacing="0"/>
              <w:jc w:val="both"/>
              <w:rPr>
                <w:rFonts w:ascii="Open Sans" w:hAnsi="Open Sans" w:cs="Open Sans"/>
                <w:color w:val="000000"/>
                <w:sz w:val="21"/>
                <w:szCs w:val="21"/>
              </w:rPr>
            </w:pPr>
          </w:p>
          <w:p w:rsidR="00BD00A2" w:rsidRPr="00832B5F" w:rsidP="00BD00A2">
            <w:pPr>
              <w:shd w:val="clear" w:color="auto" w:fill="FFFFFF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2B5F">
              <w:rPr>
                <w:rFonts w:ascii="Times New Roman" w:hAnsi="Times New Roman"/>
                <w:sz w:val="22"/>
                <w:szCs w:val="22"/>
              </w:rPr>
              <w:t>(1)</w:t>
            </w:r>
          </w:p>
          <w:p w:rsidR="00BD00A2" w:rsidRPr="00832B5F" w:rsidP="00BD00A2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2B5F">
              <w:rPr>
                <w:rFonts w:ascii="Times New Roman" w:hAnsi="Times New Roman"/>
                <w:sz w:val="22"/>
                <w:szCs w:val="22"/>
              </w:rPr>
              <w:t>Pri distribúcii cenných papierov alebo majetkových účastí zahraničného alternatívneho investičného fondu na území Slovenskej republiky na základe povolenia podľa </w:t>
            </w:r>
            <w:hyperlink r:id="rId5" w:anchor="paragraf-148" w:tooltip="Odkaz na predpis alebo ustanovenie" w:history="1">
              <w:r w:rsidRPr="00832B5F">
                <w:rPr>
                  <w:rStyle w:val="Hyperlink"/>
                  <w:rFonts w:ascii="Times New Roman" w:hAnsi="Times New Roman"/>
                  <w:iCs/>
                  <w:color w:val="auto"/>
                  <w:sz w:val="22"/>
                  <w:szCs w:val="22"/>
                  <w:u w:val="none"/>
                  <w:effect w:val="none"/>
                  <w:shd w:val="clear" w:color="auto" w:fill="auto"/>
                </w:rPr>
                <w:t>§ 148</w:t>
              </w:r>
            </w:hyperlink>
            <w:r w:rsidRPr="00832B5F">
              <w:rPr>
                <w:rFonts w:ascii="Times New Roman" w:hAnsi="Times New Roman"/>
                <w:sz w:val="22"/>
                <w:szCs w:val="22"/>
              </w:rPr>
              <w:t> sú správcovská spoločnosť a zahraničná správcovská spoločnosť povinné zaviesť opatrenia na vykonávanie týchto činností:</w:t>
            </w:r>
          </w:p>
          <w:p w:rsidR="00BD00A2" w:rsidRPr="00832B5F" w:rsidP="00BD00A2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2B5F">
              <w:rPr>
                <w:rFonts w:ascii="Times New Roman" w:hAnsi="Times New Roman"/>
                <w:sz w:val="22"/>
                <w:szCs w:val="22"/>
              </w:rPr>
              <w:t>a)</w:t>
            </w:r>
            <w:r w:rsidR="00306E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32B5F">
              <w:rPr>
                <w:rFonts w:ascii="Times New Roman" w:hAnsi="Times New Roman"/>
                <w:sz w:val="22"/>
                <w:szCs w:val="22"/>
              </w:rPr>
              <w:t>spracovávanie pokynov na vydávanie, vyplatenie alebo odkúpenie cenných papierov zahraničného alternatívneho investičného fondu a vykonávanie iných platieb v prospech investorov zahraničného alternatívneho investičného fondu v súlade s podmienkami ustanovenými v predajnom prospekte, ročnej správe, polročnej správe alebo v kľúčových informáciách pre investorov, ak sa zostavujú,</w:t>
            </w:r>
          </w:p>
          <w:p w:rsidR="00BD00A2" w:rsidP="00BD00A2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2B5F">
              <w:rPr>
                <w:rFonts w:ascii="Times New Roman" w:hAnsi="Times New Roman"/>
                <w:sz w:val="22"/>
                <w:szCs w:val="22"/>
              </w:rPr>
              <w:t>b)</w:t>
            </w:r>
            <w:r w:rsidR="00306E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32B5F">
              <w:rPr>
                <w:rFonts w:ascii="Times New Roman" w:hAnsi="Times New Roman"/>
                <w:sz w:val="22"/>
                <w:szCs w:val="22"/>
              </w:rPr>
              <w:t>poskytovanie informácií investorom o tom, ako možno zadať pokyny uvedené v písmene a) a ako sa vyplácajú výnosy z vyplatenia alebo odkúpenia cenných papierov zahraničného alternatívneho investičného fondu,</w:t>
            </w:r>
          </w:p>
          <w:p w:rsidR="00306EF6" w:rsidRPr="00832B5F" w:rsidP="00BD00A2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D00A2" w:rsidP="00BD00A2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2B5F">
              <w:rPr>
                <w:rFonts w:ascii="Times New Roman" w:hAnsi="Times New Roman"/>
                <w:sz w:val="22"/>
                <w:szCs w:val="22"/>
              </w:rPr>
              <w:t>c)</w:t>
            </w:r>
            <w:r w:rsidR="00306E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32B5F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zjednodušenie </w:t>
            </w:r>
            <w:r w:rsidR="00D31EC0">
              <w:rPr>
                <w:rFonts w:ascii="Times New Roman" w:hAnsi="Times New Roman"/>
                <w:b/>
                <w:noProof/>
                <w:sz w:val="22"/>
                <w:szCs w:val="22"/>
              </w:rPr>
              <w:t>nakladania s i</w:t>
            </w:r>
            <w:r w:rsidRPr="00832B5F">
              <w:rPr>
                <w:rFonts w:ascii="Times New Roman" w:hAnsi="Times New Roman"/>
                <w:b/>
                <w:noProof/>
                <w:sz w:val="22"/>
                <w:szCs w:val="22"/>
              </w:rPr>
              <w:t>nformáci</w:t>
            </w:r>
            <w:r w:rsidR="00D31EC0">
              <w:rPr>
                <w:rFonts w:ascii="Times New Roman" w:hAnsi="Times New Roman"/>
                <w:b/>
                <w:noProof/>
                <w:sz w:val="22"/>
                <w:szCs w:val="22"/>
              </w:rPr>
              <w:t>ami</w:t>
            </w:r>
            <w:r w:rsidRPr="00832B5F">
              <w:rPr>
                <w:rFonts w:ascii="Times New Roman" w:hAnsi="Times New Roman"/>
                <w:b/>
                <w:noProof/>
                <w:sz w:val="22"/>
                <w:szCs w:val="22"/>
              </w:rPr>
              <w:t>, postupov a mechanizmov</w:t>
            </w:r>
            <w:r w:rsidRPr="00832B5F">
              <w:rPr>
                <w:rFonts w:ascii="Times New Roman" w:hAnsi="Times New Roman"/>
                <w:sz w:val="22"/>
                <w:szCs w:val="22"/>
              </w:rPr>
              <w:t xml:space="preserve"> týkajúcim sa uplatňovania práv investorov vyplývajúcich z investície do zahraničného alternatívneho investičného fondu, ktorý sa má na území Slovenskej republiky distribuovať neprofesionálnym investorom,</w:t>
            </w:r>
          </w:p>
          <w:p w:rsidR="00306EF6" w:rsidP="00BD00A2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06EF6" w:rsidP="00BD00A2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06EF6" w:rsidRPr="00832B5F" w:rsidP="00BD00A2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D00A2" w:rsidP="00BD00A2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2B5F">
              <w:rPr>
                <w:rFonts w:ascii="Times New Roman" w:hAnsi="Times New Roman"/>
                <w:sz w:val="22"/>
                <w:szCs w:val="22"/>
              </w:rPr>
              <w:t>d)</w:t>
            </w:r>
            <w:r w:rsidR="00306E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32B5F">
              <w:rPr>
                <w:rFonts w:ascii="Times New Roman" w:hAnsi="Times New Roman"/>
                <w:sz w:val="22"/>
                <w:szCs w:val="22"/>
              </w:rPr>
              <w:t>sprístupnenie ročnej správy a polročnej správy, predajného prospektu, kľúčových informácií pre investorov, ak sa zostavujú, a informácií podľa </w:t>
            </w:r>
            <w:hyperlink r:id="rId5" w:anchor="paragraf-159a" w:tooltip="Odkaz na predpis alebo ustanovenie" w:history="1">
              <w:r w:rsidRPr="00832B5F">
                <w:rPr>
                  <w:rStyle w:val="Hyperlink"/>
                  <w:rFonts w:ascii="Times New Roman" w:hAnsi="Times New Roman"/>
                  <w:iCs/>
                  <w:color w:val="auto"/>
                  <w:sz w:val="22"/>
                  <w:szCs w:val="22"/>
                  <w:u w:val="none"/>
                  <w:effect w:val="none"/>
                  <w:shd w:val="clear" w:color="auto" w:fill="auto"/>
                </w:rPr>
                <w:t>§ 159a</w:t>
              </w:r>
            </w:hyperlink>
            <w:r w:rsidRPr="00832B5F">
              <w:rPr>
                <w:rFonts w:ascii="Times New Roman" w:hAnsi="Times New Roman"/>
                <w:sz w:val="22"/>
                <w:szCs w:val="22"/>
              </w:rPr>
              <w:t> na účely kontroly a získania kópií týchto dokumentov,</w:t>
            </w:r>
          </w:p>
          <w:p w:rsidR="00306EF6" w:rsidRPr="00832B5F" w:rsidP="00BD00A2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D00A2" w:rsidP="00BD00A2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2B5F">
              <w:rPr>
                <w:rFonts w:ascii="Times New Roman" w:hAnsi="Times New Roman"/>
                <w:sz w:val="22"/>
                <w:szCs w:val="22"/>
              </w:rPr>
              <w:t>e)</w:t>
            </w:r>
            <w:r w:rsidR="00306E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32B5F">
              <w:rPr>
                <w:rFonts w:ascii="Times New Roman" w:hAnsi="Times New Roman"/>
                <w:sz w:val="22"/>
                <w:szCs w:val="22"/>
              </w:rPr>
              <w:t>poskytovanie informácií investorom v súvislosti so zabezpečovaním činností podľa tohto odseku, pričom informácie sa poskytujú na trvanlivom médiu, a</w:t>
            </w:r>
          </w:p>
          <w:p w:rsidR="00306EF6" w:rsidRPr="00832B5F" w:rsidP="00BD00A2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D00A2" w:rsidRPr="00832B5F" w:rsidP="00BD00A2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2B5F">
              <w:rPr>
                <w:rFonts w:ascii="Times New Roman" w:hAnsi="Times New Roman"/>
                <w:sz w:val="22"/>
                <w:szCs w:val="22"/>
              </w:rPr>
              <w:t>f)</w:t>
            </w:r>
            <w:r w:rsidR="00306E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32B5F">
              <w:rPr>
                <w:rFonts w:ascii="Times New Roman" w:hAnsi="Times New Roman"/>
                <w:sz w:val="22"/>
                <w:szCs w:val="22"/>
              </w:rPr>
              <w:t>vykonávanie činnosti kontaktného miesta pre komunikáciu s Národnou bankou Slovenska.</w:t>
            </w:r>
          </w:p>
          <w:p w:rsidR="00612684" w:rsidRPr="00832B5F" w:rsidP="00612684">
            <w:pPr>
              <w:widowControl w:val="0"/>
              <w:autoSpaceDE w:val="0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  <w:p w:rsidR="00612684" w:rsidRPr="00832B5F" w:rsidP="00612684">
            <w:pPr>
              <w:widowControl w:val="0"/>
              <w:autoSpaceDE w:val="0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2B5F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(6) </w:t>
            </w:r>
            <w:r w:rsidRPr="00832B5F">
              <w:rPr>
                <w:rFonts w:ascii="Times New Roman" w:hAnsi="Times New Roman"/>
                <w:b/>
                <w:sz w:val="22"/>
                <w:szCs w:val="22"/>
              </w:rPr>
              <w:t xml:space="preserve">Fyzická prítomnosť </w:t>
            </w:r>
            <w:r w:rsidRPr="00832B5F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zahraničného alternatívneho investičného fondu </w:t>
            </w:r>
            <w:r w:rsidRPr="00832B5F">
              <w:rPr>
                <w:rFonts w:ascii="Times New Roman" w:hAnsi="Times New Roman"/>
                <w:b/>
                <w:sz w:val="22"/>
                <w:szCs w:val="22"/>
              </w:rPr>
              <w:t xml:space="preserve">na území Slovenskej republiky alebo určenie tretej osoby sa </w:t>
            </w:r>
            <w:r w:rsidR="00D31EC0">
              <w:rPr>
                <w:rFonts w:ascii="Times New Roman" w:hAnsi="Times New Roman"/>
                <w:b/>
                <w:sz w:val="22"/>
                <w:szCs w:val="22"/>
              </w:rPr>
              <w:t>na</w:t>
            </w:r>
            <w:r w:rsidRPr="00832B5F">
              <w:rPr>
                <w:rFonts w:ascii="Times New Roman" w:hAnsi="Times New Roman"/>
                <w:b/>
                <w:sz w:val="22"/>
                <w:szCs w:val="22"/>
              </w:rPr>
              <w:t xml:space="preserve"> účely odseku 1 nevyžaduje</w:t>
            </w:r>
            <w:r w:rsidRPr="00832B5F">
              <w:rPr>
                <w:rStyle w:val="y2iqfc"/>
                <w:rFonts w:ascii="Times New Roman" w:hAnsi="Times New Roman"/>
                <w:b/>
                <w:noProof/>
                <w:sz w:val="22"/>
                <w:szCs w:val="22"/>
              </w:rPr>
              <w:t>.</w:t>
            </w:r>
            <w:r w:rsidRPr="00832B5F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</w:p>
          <w:p w:rsidR="00BD00A2" w:rsidRPr="00832B5F" w:rsidP="00BD00A2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D00A2" w:rsidRPr="00832B5F" w:rsidP="00BD00A2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2B5F" w:rsidR="006126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D00A2" w:rsidRPr="00832B5F" w:rsidP="00BD00A2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="00306E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32B5F" w:rsidR="00306EF6">
              <w:rPr>
                <w:rFonts w:ascii="Times New Roman" w:hAnsi="Times New Roman"/>
                <w:sz w:val="22"/>
                <w:szCs w:val="22"/>
              </w:rPr>
              <w:t>(3)</w:t>
            </w:r>
            <w:r w:rsidR="00306E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32B5F">
              <w:rPr>
                <w:rFonts w:ascii="Times New Roman" w:hAnsi="Times New Roman"/>
                <w:sz w:val="22"/>
                <w:szCs w:val="22"/>
              </w:rPr>
              <w:t>Pri distribúcii cenných papierov alebo majetkových účastí zahraničného alternatívneho investičného fondu na území Slovenskej republiky na základe povolenia podľa </w:t>
            </w:r>
            <w:hyperlink r:id="rId5" w:anchor="paragraf-148" w:tooltip="Odkaz na predpis alebo ustanovenie" w:history="1">
              <w:r w:rsidRPr="0030409A">
                <w:rPr>
                  <w:rStyle w:val="Hyperlink"/>
                  <w:rFonts w:ascii="Times New Roman" w:hAnsi="Times New Roman"/>
                  <w:iCs/>
                  <w:color w:val="auto"/>
                  <w:sz w:val="22"/>
                  <w:szCs w:val="22"/>
                  <w:u w:val="none"/>
                  <w:effect w:val="none"/>
                  <w:shd w:val="clear" w:color="auto" w:fill="auto"/>
                </w:rPr>
                <w:t>§ 148</w:t>
              </w:r>
            </w:hyperlink>
            <w:r w:rsidRPr="00832B5F">
              <w:rPr>
                <w:rFonts w:ascii="Times New Roman" w:hAnsi="Times New Roman"/>
                <w:sz w:val="22"/>
                <w:szCs w:val="22"/>
              </w:rPr>
              <w:t> správcovská spoločnosť alebo zahraničná správcovská spoločnosť prijme opatrenia</w:t>
            </w:r>
            <w:r w:rsidRPr="00832B5F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832B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32B5F">
              <w:rPr>
                <w:rFonts w:ascii="Times New Roman" w:hAnsi="Times New Roman"/>
                <w:b/>
                <w:noProof/>
                <w:sz w:val="22"/>
                <w:szCs w:val="22"/>
                <w:shd w:val="clear" w:color="auto" w:fill="FFFFFF"/>
              </w:rPr>
              <w:t>a to aj elektronicky,</w:t>
            </w:r>
            <w:r w:rsidRPr="00832B5F">
              <w:rPr>
                <w:rFonts w:ascii="Times New Roman" w:hAnsi="Times New Roman"/>
                <w:sz w:val="22"/>
                <w:szCs w:val="22"/>
              </w:rPr>
              <w:t xml:space="preserve"> na vykonávanie činností uvedených v odseku 1 v slovenskom jazyku alebo v jazyku, ktorý na tieto účely môže ustanoviť Národná banka Slovenska vo všeobecne záväznom právnom predpise vydanom podľa osobitného predpisu,</w:t>
            </w:r>
            <w:hyperlink r:id="rId5" w:anchor="poznamky.poznamka-58a" w:tooltip="Odkaz na predpis alebo ustanovenie" w:history="1">
              <w:r w:rsidRPr="00B425CB">
                <w:rPr>
                  <w:rStyle w:val="Hyperlink"/>
                  <w:rFonts w:ascii="Times New Roman" w:hAnsi="Times New Roman"/>
                  <w:iCs/>
                  <w:color w:val="auto"/>
                  <w:sz w:val="22"/>
                  <w:szCs w:val="22"/>
                  <w:u w:val="none"/>
                  <w:effect w:val="none"/>
                  <w:shd w:val="clear" w:color="auto" w:fill="auto"/>
                  <w:vertAlign w:val="superscript"/>
                </w:rPr>
                <w:t>58a</w:t>
              </w:r>
              <w:r w:rsidRPr="00B425CB">
                <w:rPr>
                  <w:rStyle w:val="Hyperlink"/>
                  <w:rFonts w:ascii="Times New Roman" w:hAnsi="Times New Roman"/>
                  <w:iCs/>
                  <w:color w:val="auto"/>
                  <w:sz w:val="22"/>
                  <w:szCs w:val="22"/>
                  <w:u w:val="none"/>
                  <w:effect w:val="none"/>
                  <w:shd w:val="clear" w:color="auto" w:fill="auto"/>
                </w:rPr>
                <w:t>)</w:t>
              </w:r>
            </w:hyperlink>
            <w:r w:rsidRPr="00832B5F">
              <w:rPr>
                <w:rFonts w:ascii="Times New Roman" w:hAnsi="Times New Roman"/>
                <w:sz w:val="22"/>
                <w:szCs w:val="22"/>
              </w:rPr>
              <w:t> samostatne alebo prostredníctvom tretej osoby podľa </w:t>
            </w:r>
            <w:hyperlink r:id="rId5" w:anchor="paragraf-58" w:tooltip="Odkaz na predpis alebo ustanovenie" w:history="1">
              <w:r w:rsidRPr="00B425CB">
                <w:rPr>
                  <w:rStyle w:val="Hyperlink"/>
                  <w:rFonts w:ascii="Times New Roman" w:hAnsi="Times New Roman"/>
                  <w:iCs/>
                  <w:color w:val="auto"/>
                  <w:sz w:val="22"/>
                  <w:szCs w:val="22"/>
                  <w:u w:val="none"/>
                  <w:effect w:val="none"/>
                  <w:shd w:val="clear" w:color="auto" w:fill="auto"/>
                </w:rPr>
                <w:t>§ 58</w:t>
              </w:r>
            </w:hyperlink>
            <w:r w:rsidRPr="00832B5F">
              <w:rPr>
                <w:rFonts w:ascii="Times New Roman" w:hAnsi="Times New Roman"/>
                <w:sz w:val="22"/>
                <w:szCs w:val="22"/>
              </w:rPr>
              <w:t> oprávnenej na vykonávanie činností podľa odseku 1 alebo obidvoma spôsobmi.</w:t>
            </w:r>
          </w:p>
          <w:p w:rsidR="00BD00A2" w:rsidRPr="00832B5F" w:rsidP="00BD00A2">
            <w:pPr>
              <w:shd w:val="clear" w:color="auto" w:fill="FFFFFF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C668B" w:rsidRPr="00D961DA" w:rsidP="00612684">
            <w:pPr>
              <w:widowControl w:val="0"/>
              <w:autoSpaceDE w:val="0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iCs/>
                <w:color w:val="0070C0"/>
              </w:rPr>
            </w:pPr>
            <w:bookmarkEnd w:id="3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621F4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="002A2757">
              <w:rPr>
                <w:rFonts w:ascii="Arial Narrow" w:hAnsi="Arial Narrow"/>
                <w:sz w:val="22"/>
                <w:szCs w:val="22"/>
              </w:rPr>
              <w:t>U</w:t>
            </w: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46FD" w:rsidRPr="002153F7" w:rsidP="00E621F4">
            <w:pPr>
              <w:autoSpaceDE w:val="0"/>
              <w:autoSpaceDN w:val="0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621F4" w:rsidP="00E621F4">
            <w:pPr>
              <w:pStyle w:val="Heading1"/>
              <w:bidi w:val="0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6B55A4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6B55A4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D961DA" w:rsidRPr="00D961DA" w:rsidP="00D961DA">
            <w:pPr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C54C3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Arial Narrow" w:hAnsi="Arial Narrow"/>
          <w:sz w:val="22"/>
          <w:szCs w:val="22"/>
        </w:rPr>
      </w:pPr>
    </w:p>
    <w:p w:rsidR="00162F39" w:rsidRPr="00E030B3" w:rsidP="00162F39">
      <w:pPr>
        <w:bidi w:val="0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E030B3">
        <w:rPr>
          <w:rFonts w:ascii="Arial Narrow" w:hAnsi="Arial Narrow"/>
          <w:sz w:val="22"/>
          <w:szCs w:val="22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62F39" w:rsidRPr="00E030B3" w:rsidP="00344B44">
            <w:pPr>
              <w:pStyle w:val="Normlny"/>
              <w:autoSpaceDE/>
              <w:autoSpaceDN/>
              <w:bidi w:val="0"/>
              <w:spacing w:after="60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E030B3">
              <w:rPr>
                <w:rFonts w:ascii="Arial Narrow" w:hAnsi="Arial Narrow"/>
                <w:sz w:val="22"/>
                <w:szCs w:val="22"/>
                <w:lang w:eastAsia="sk-SK"/>
              </w:rPr>
              <w:t>V stĺpci (1):</w:t>
            </w:r>
          </w:p>
          <w:p w:rsidR="00162F39" w:rsidRPr="00E030B3" w:rsidP="00344B44">
            <w:pPr>
              <w:bidi w:val="0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E030B3">
              <w:rPr>
                <w:rFonts w:ascii="Arial Narrow" w:hAnsi="Arial Narrow"/>
                <w:sz w:val="22"/>
                <w:szCs w:val="22"/>
              </w:rPr>
              <w:t>Č – článok</w:t>
            </w:r>
          </w:p>
          <w:p w:rsidR="00162F39" w:rsidRPr="00E030B3" w:rsidP="00344B44">
            <w:pPr>
              <w:bidi w:val="0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E030B3">
              <w:rPr>
                <w:rFonts w:ascii="Arial Narrow" w:hAnsi="Arial Narrow"/>
                <w:sz w:val="22"/>
                <w:szCs w:val="22"/>
              </w:rPr>
              <w:t>O – odsek</w:t>
            </w:r>
          </w:p>
          <w:p w:rsidR="00162F39" w:rsidRPr="00E030B3" w:rsidP="00344B44">
            <w:pPr>
              <w:bidi w:val="0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E030B3">
              <w:rPr>
                <w:rFonts w:ascii="Arial Narrow" w:hAnsi="Arial Narrow"/>
                <w:sz w:val="22"/>
                <w:szCs w:val="22"/>
              </w:rPr>
              <w:t>V – veta</w:t>
            </w:r>
          </w:p>
          <w:p w:rsidR="00162F39" w:rsidRPr="00E030B3" w:rsidP="00344B44">
            <w:pPr>
              <w:bidi w:val="0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E030B3">
              <w:rPr>
                <w:rFonts w:ascii="Arial Narrow" w:hAnsi="Arial Narrow"/>
                <w:sz w:val="22"/>
                <w:szCs w:val="22"/>
              </w:rPr>
              <w:t>P – číslo (písmeno)</w:t>
            </w:r>
          </w:p>
          <w:p w:rsidR="00162F39" w:rsidRPr="00E030B3" w:rsidP="00344B44">
            <w:pPr>
              <w:bidi w:val="0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62F39" w:rsidRPr="00E030B3" w:rsidP="00344B44">
            <w:pPr>
              <w:pStyle w:val="Normlny"/>
              <w:autoSpaceDE/>
              <w:autoSpaceDN/>
              <w:bidi w:val="0"/>
              <w:spacing w:after="60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E030B3">
              <w:rPr>
                <w:rFonts w:ascii="Arial Narrow" w:hAnsi="Arial Narrow"/>
                <w:sz w:val="22"/>
                <w:szCs w:val="22"/>
                <w:lang w:eastAsia="sk-SK"/>
              </w:rPr>
              <w:t>V stĺpci (3):</w:t>
            </w:r>
          </w:p>
          <w:p w:rsidR="00162F39" w:rsidRPr="00E030B3" w:rsidP="00344B44">
            <w:pPr>
              <w:bidi w:val="0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E030B3">
              <w:rPr>
                <w:rFonts w:ascii="Arial Narrow" w:hAnsi="Arial Narrow"/>
                <w:sz w:val="22"/>
                <w:szCs w:val="22"/>
              </w:rPr>
              <w:t>N – bežná transpozícia</w:t>
            </w:r>
          </w:p>
          <w:p w:rsidR="00162F39" w:rsidRPr="00E030B3" w:rsidP="00344B44">
            <w:pPr>
              <w:bidi w:val="0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E030B3">
              <w:rPr>
                <w:rFonts w:ascii="Arial Narrow" w:hAnsi="Arial Narrow"/>
                <w:sz w:val="22"/>
                <w:szCs w:val="22"/>
              </w:rPr>
              <w:t>O – transpozícia s možnosťou voľby</w:t>
            </w:r>
          </w:p>
          <w:p w:rsidR="00162F39" w:rsidRPr="00E030B3" w:rsidP="00344B44">
            <w:pPr>
              <w:bidi w:val="0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E030B3">
              <w:rPr>
                <w:rFonts w:ascii="Arial Narrow" w:hAnsi="Arial Narrow"/>
                <w:sz w:val="22"/>
                <w:szCs w:val="22"/>
              </w:rPr>
              <w:t>D – transpozícia podľa úvahy (dobrovoľná)</w:t>
            </w:r>
          </w:p>
          <w:p w:rsidR="00162F39" w:rsidRPr="00E030B3" w:rsidP="00344B44">
            <w:pPr>
              <w:bidi w:val="0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E030B3">
              <w:rPr>
                <w:rFonts w:ascii="Arial Narrow" w:hAnsi="Arial Narrow"/>
                <w:sz w:val="22"/>
                <w:szCs w:val="22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62F39" w:rsidRPr="00E030B3" w:rsidP="00344B44">
            <w:pPr>
              <w:pStyle w:val="Normlny"/>
              <w:autoSpaceDE/>
              <w:autoSpaceDN/>
              <w:bidi w:val="0"/>
              <w:spacing w:after="60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E030B3">
              <w:rPr>
                <w:rFonts w:ascii="Arial Narrow" w:hAnsi="Arial Narrow"/>
                <w:sz w:val="22"/>
                <w:szCs w:val="22"/>
                <w:lang w:eastAsia="sk-SK"/>
              </w:rPr>
              <w:t>V stĺpci (5):</w:t>
            </w:r>
          </w:p>
          <w:p w:rsidR="00162F39" w:rsidRPr="00E030B3" w:rsidP="00344B44">
            <w:pPr>
              <w:bidi w:val="0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E030B3">
              <w:rPr>
                <w:rFonts w:ascii="Arial Narrow" w:hAnsi="Arial Narrow"/>
                <w:sz w:val="22"/>
                <w:szCs w:val="22"/>
              </w:rPr>
              <w:t>Č – článok</w:t>
            </w:r>
          </w:p>
          <w:p w:rsidR="00162F39" w:rsidRPr="00E030B3" w:rsidP="00344B44">
            <w:pPr>
              <w:bidi w:val="0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E030B3">
              <w:rPr>
                <w:rFonts w:ascii="Arial Narrow" w:hAnsi="Arial Narrow"/>
                <w:sz w:val="22"/>
                <w:szCs w:val="22"/>
              </w:rPr>
              <w:t>§ – paragraf</w:t>
            </w:r>
          </w:p>
          <w:p w:rsidR="00162F39" w:rsidRPr="00E030B3" w:rsidP="00344B44">
            <w:pPr>
              <w:bidi w:val="0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E030B3">
              <w:rPr>
                <w:rFonts w:ascii="Arial Narrow" w:hAnsi="Arial Narrow"/>
                <w:sz w:val="22"/>
                <w:szCs w:val="22"/>
              </w:rPr>
              <w:t>O – odsek</w:t>
            </w:r>
          </w:p>
          <w:p w:rsidR="00162F39" w:rsidRPr="00E030B3" w:rsidP="00344B44">
            <w:pPr>
              <w:bidi w:val="0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E030B3">
              <w:rPr>
                <w:rFonts w:ascii="Arial Narrow" w:hAnsi="Arial Narrow"/>
                <w:sz w:val="22"/>
                <w:szCs w:val="22"/>
              </w:rPr>
              <w:t>V – veta</w:t>
            </w:r>
          </w:p>
          <w:p w:rsidR="00162F39" w:rsidRPr="00E030B3" w:rsidP="00344B44">
            <w:pPr>
              <w:bidi w:val="0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E030B3">
              <w:rPr>
                <w:rFonts w:ascii="Arial Narrow" w:hAnsi="Arial Narrow"/>
                <w:sz w:val="22"/>
                <w:szCs w:val="22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62F39" w:rsidRPr="00E030B3" w:rsidP="00344B44">
            <w:pPr>
              <w:pStyle w:val="Normlny"/>
              <w:autoSpaceDE/>
              <w:autoSpaceDN/>
              <w:bidi w:val="0"/>
              <w:spacing w:after="60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E030B3">
              <w:rPr>
                <w:rFonts w:ascii="Arial Narrow" w:hAnsi="Arial Narrow"/>
                <w:sz w:val="22"/>
                <w:szCs w:val="22"/>
                <w:lang w:eastAsia="sk-SK"/>
              </w:rPr>
              <w:t>V stĺpci (7):</w:t>
            </w:r>
          </w:p>
          <w:p w:rsidR="00162F39" w:rsidRPr="00E030B3" w:rsidP="00344B44">
            <w:pPr>
              <w:bidi w:val="0"/>
              <w:spacing w:before="0" w:beforeAutospacing="0" w:after="0" w:afterAutospacing="0"/>
              <w:ind w:left="290" w:hanging="290"/>
              <w:rPr>
                <w:rFonts w:ascii="Arial Narrow" w:hAnsi="Arial Narrow"/>
                <w:sz w:val="22"/>
                <w:szCs w:val="22"/>
              </w:rPr>
            </w:pPr>
            <w:r w:rsidRPr="00E030B3">
              <w:rPr>
                <w:rFonts w:ascii="Arial Narrow" w:hAnsi="Arial Narrow"/>
                <w:sz w:val="22"/>
                <w:szCs w:val="22"/>
              </w:rPr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:rsidR="00162F39" w:rsidRPr="00E030B3" w:rsidP="00344B44">
            <w:pPr>
              <w:bidi w:val="0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E030B3">
              <w:rPr>
                <w:rFonts w:ascii="Arial Narrow" w:hAnsi="Arial Narrow"/>
                <w:sz w:val="22"/>
                <w:szCs w:val="22"/>
              </w:rPr>
              <w:t>Č – čiastočná zhoda (ak minimálne jedna z podmienok úplnej zhody nie je splnená)</w:t>
            </w:r>
          </w:p>
          <w:p w:rsidR="00162F39" w:rsidRPr="00E030B3" w:rsidP="00344B44">
            <w:pPr>
              <w:pStyle w:val="BodyTextIndent2"/>
              <w:bidi w:val="0"/>
              <w:rPr>
                <w:rFonts w:ascii="Arial Narrow" w:hAnsi="Arial Narrow"/>
                <w:sz w:val="22"/>
                <w:szCs w:val="22"/>
              </w:rPr>
            </w:pPr>
            <w:r w:rsidRPr="00E030B3">
              <w:rPr>
                <w:rFonts w:ascii="Arial Narrow" w:hAnsi="Arial Narrow"/>
                <w:sz w:val="22"/>
                <w:szCs w:val="22"/>
              </w:rPr>
              <w:t>Ž – žiadna zhoda (ak nebola dosiahnutá ani úplná ani čiast. zhoda alebo k prebratiu dôjde v budúcnosti)</w:t>
            </w:r>
          </w:p>
          <w:p w:rsidR="00162F39" w:rsidRPr="00E030B3" w:rsidP="00344B44">
            <w:pPr>
              <w:bidi w:val="0"/>
              <w:spacing w:before="0" w:beforeAutospacing="0" w:after="0" w:afterAutospacing="0"/>
              <w:ind w:left="290" w:hanging="290"/>
              <w:rPr>
                <w:rFonts w:ascii="Arial Narrow" w:hAnsi="Arial Narrow"/>
                <w:sz w:val="22"/>
                <w:szCs w:val="22"/>
              </w:rPr>
            </w:pPr>
            <w:r w:rsidRPr="00E030B3">
              <w:rPr>
                <w:rFonts w:ascii="Arial Narrow" w:hAnsi="Arial Narrow"/>
                <w:sz w:val="22"/>
                <w:szCs w:val="22"/>
              </w:rPr>
              <w:t>n.a. – neaplikovateľnosť (ak sa ustanovenie smernice netýka SR alebo nie je potrebné ho prebrať)</w:t>
            </w:r>
          </w:p>
        </w:tc>
      </w:tr>
    </w:tbl>
    <w:p w:rsidR="00162F39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Arial Narrow" w:hAnsi="Arial Narrow"/>
          <w:sz w:val="22"/>
          <w:szCs w:val="22"/>
        </w:rPr>
      </w:pPr>
    </w:p>
    <w:p w:rsidR="006E47AF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Arial Narrow" w:hAnsi="Arial Narrow"/>
          <w:sz w:val="22"/>
          <w:szCs w:val="22"/>
        </w:rPr>
      </w:pPr>
    </w:p>
    <w:p w:rsidR="006E47AF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Arial Narrow" w:hAnsi="Arial Narrow"/>
          <w:sz w:val="22"/>
          <w:szCs w:val="22"/>
        </w:rPr>
      </w:pPr>
    </w:p>
    <w:p w:rsidR="006E47AF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Arial Narrow" w:hAnsi="Arial Narrow"/>
          <w:sz w:val="22"/>
          <w:szCs w:val="22"/>
        </w:rPr>
      </w:pPr>
    </w:p>
    <w:p w:rsidR="006E47AF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Arial Narrow" w:hAnsi="Arial Narrow"/>
          <w:sz w:val="22"/>
          <w:szCs w:val="22"/>
        </w:rPr>
      </w:pPr>
    </w:p>
    <w:p w:rsidR="006E47AF" w:rsidRPr="002153F7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Arial Narrow" w:hAnsi="Arial Narrow"/>
          <w:sz w:val="22"/>
          <w:szCs w:val="22"/>
        </w:rPr>
      </w:pPr>
    </w:p>
    <w:sectPr>
      <w:footerReference w:type="default" r:id="rId6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Open Sans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8B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31EC0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6C668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FD76BE"/>
    <w:multiLevelType w:val="hybridMultilevel"/>
    <w:tmpl w:val="33CEE382"/>
    <w:lvl w:ilvl="0">
      <w:start w:val="1"/>
      <w:numFmt w:val="decimal"/>
      <w:lvlText w:val="(%1)"/>
      <w:lvlJc w:val="left"/>
      <w:pPr>
        <w:ind w:left="-629" w:hanging="46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-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70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42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4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86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58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30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026" w:hanging="180"/>
      </w:pPr>
      <w:rPr>
        <w:rFonts w:cs="Times New Roman"/>
        <w:rtl w:val="0"/>
        <w:cs w:val="0"/>
      </w:rPr>
    </w:lvl>
  </w:abstractNum>
  <w:abstractNum w:abstractNumId="2">
    <w:nsid w:val="09C90950"/>
    <w:multiLevelType w:val="hybridMultilevel"/>
    <w:tmpl w:val="EE48F374"/>
    <w:lvl w:ilvl="0">
      <w:start w:val="5"/>
      <w:numFmt w:val="decimal"/>
      <w:lvlText w:val="(%1)"/>
      <w:lvlJc w:val="left"/>
      <w:pPr>
        <w:ind w:left="241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F76737"/>
    <w:multiLevelType w:val="hybridMultilevel"/>
    <w:tmpl w:val="C66A54A6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  <w:rtl w:val="0"/>
        <w:cs w:val="0"/>
      </w:rPr>
    </w:lvl>
  </w:abstractNum>
  <w:abstractNum w:abstractNumId="4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755745"/>
    <w:multiLevelType w:val="hybridMultilevel"/>
    <w:tmpl w:val="9A0647FC"/>
    <w:lvl w:ilvl="0">
      <w:start w:val="1"/>
      <w:numFmt w:val="lowerLetter"/>
      <w:lvlText w:val="%1)"/>
      <w:lvlJc w:val="left"/>
      <w:pPr>
        <w:ind w:left="184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6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8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0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2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4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6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8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09" w:hanging="180"/>
      </w:pPr>
      <w:rPr>
        <w:rFonts w:cs="Times New Roman"/>
        <w:rtl w:val="0"/>
        <w:cs w:val="0"/>
      </w:rPr>
    </w:lvl>
  </w:abstractNum>
  <w:abstractNum w:abstractNumId="7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8">
    <w:nsid w:val="17497A59"/>
    <w:multiLevelType w:val="hybridMultilevel"/>
    <w:tmpl w:val="E2AC8FE0"/>
    <w:lvl w:ilvl="0">
      <w:start w:val="2"/>
      <w:numFmt w:val="lowerLetter"/>
      <w:lvlText w:val="%1)"/>
      <w:lvlJc w:val="left"/>
      <w:pPr>
        <w:ind w:left="184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B2A5620"/>
    <w:multiLevelType w:val="hybridMultilevel"/>
    <w:tmpl w:val="D37A8B2C"/>
    <w:lvl w:ilvl="0">
      <w:start w:val="1"/>
      <w:numFmt w:val="lowerLetter"/>
      <w:lvlText w:val="%1)"/>
      <w:lvlJc w:val="left"/>
      <w:pPr>
        <w:ind w:left="185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257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16" w:hanging="180"/>
      </w:pPr>
      <w:rPr>
        <w:rFonts w:cs="Times New Roman"/>
        <w:rtl w:val="0"/>
        <w:cs w:val="0"/>
      </w:rPr>
    </w:lvl>
  </w:abstractNum>
  <w:abstractNum w:abstractNumId="1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1">
    <w:nsid w:val="21BE31B6"/>
    <w:multiLevelType w:val="hybridMultilevel"/>
    <w:tmpl w:val="A532F480"/>
    <w:lvl w:ilvl="0">
      <w:start w:val="1"/>
      <w:numFmt w:val="lowerLetter"/>
      <w:lvlText w:val="%1)"/>
      <w:lvlJc w:val="left"/>
      <w:pPr>
        <w:ind w:left="177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cs="Times New Roman"/>
        <w:rtl w:val="0"/>
        <w:cs w:val="0"/>
      </w:rPr>
    </w:lvl>
  </w:abstractNum>
  <w:abstractNum w:abstractNumId="12">
    <w:nsid w:val="22DF790E"/>
    <w:multiLevelType w:val="hybridMultilevel"/>
    <w:tmpl w:val="A36A933E"/>
    <w:lvl w:ilvl="0">
      <w:start w:val="1"/>
      <w:numFmt w:val="decimal"/>
      <w:lvlText w:val="(%1)"/>
      <w:lvlJc w:val="left"/>
      <w:pPr>
        <w:ind w:left="163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35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5" w:hanging="180"/>
      </w:pPr>
      <w:rPr>
        <w:rFonts w:cs="Times New Roman"/>
        <w:rtl w:val="0"/>
        <w:cs w:val="0"/>
      </w:rPr>
    </w:lvl>
  </w:abstractNum>
  <w:abstractNum w:abstractNumId="13">
    <w:nsid w:val="266D4F24"/>
    <w:multiLevelType w:val="hybridMultilevel"/>
    <w:tmpl w:val="C99886BA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4">
    <w:nsid w:val="286E3C14"/>
    <w:multiLevelType w:val="hybridMultilevel"/>
    <w:tmpl w:val="C66A54A6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  <w:rtl w:val="0"/>
        <w:cs w:val="0"/>
      </w:rPr>
    </w:lvl>
  </w:abstractNum>
  <w:abstractNum w:abstractNumId="15">
    <w:nsid w:val="2CA43A60"/>
    <w:multiLevelType w:val="hybridMultilevel"/>
    <w:tmpl w:val="CE4840E8"/>
    <w:lvl w:ilvl="0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CE74469"/>
    <w:multiLevelType w:val="hybridMultilevel"/>
    <w:tmpl w:val="5BECE14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F4E7494"/>
    <w:multiLevelType w:val="hybridMultilevel"/>
    <w:tmpl w:val="287A3348"/>
    <w:lvl w:ilvl="0">
      <w:start w:val="1"/>
      <w:numFmt w:val="lowerLetter"/>
      <w:lvlText w:val="%1)"/>
      <w:lvlJc w:val="left"/>
      <w:pPr>
        <w:ind w:left="241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313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85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5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2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0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7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4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175" w:hanging="180"/>
      </w:pPr>
      <w:rPr>
        <w:rFonts w:cs="Times New Roman"/>
        <w:rtl w:val="0"/>
        <w:cs w:val="0"/>
      </w:rPr>
    </w:lvl>
  </w:abstractNum>
  <w:abstractNum w:abstractNumId="18">
    <w:nsid w:val="2FDC3876"/>
    <w:multiLevelType w:val="hybridMultilevel"/>
    <w:tmpl w:val="322E62CE"/>
    <w:lvl w:ilvl="0">
      <w:start w:val="1"/>
      <w:numFmt w:val="decimal"/>
      <w:lvlText w:val="(%1)"/>
      <w:lvlJc w:val="left"/>
      <w:pPr>
        <w:ind w:left="167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0" w:hanging="180"/>
      </w:pPr>
      <w:rPr>
        <w:rFonts w:cs="Times New Roman"/>
        <w:rtl w:val="0"/>
        <w:cs w:val="0"/>
      </w:rPr>
    </w:lvl>
  </w:abstractNum>
  <w:abstractNum w:abstractNumId="19">
    <w:nsid w:val="33E10911"/>
    <w:multiLevelType w:val="hybridMultilevel"/>
    <w:tmpl w:val="48E84B02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80E47"/>
    <w:multiLevelType w:val="hybridMultilevel"/>
    <w:tmpl w:val="B2C492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EA20FE4"/>
    <w:multiLevelType w:val="hybridMultilevel"/>
    <w:tmpl w:val="8F7E36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24">
    <w:nsid w:val="464E6845"/>
    <w:multiLevelType w:val="hybridMultilevel"/>
    <w:tmpl w:val="31EA5B8E"/>
    <w:lvl w:ilvl="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B4E3C4D"/>
    <w:multiLevelType w:val="hybridMultilevel"/>
    <w:tmpl w:val="3222ABB4"/>
    <w:lvl w:ilvl="0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CB57BF4"/>
    <w:multiLevelType w:val="hybridMultilevel"/>
    <w:tmpl w:val="6AAA5F84"/>
    <w:lvl w:ilvl="0">
      <w:start w:val="1"/>
      <w:numFmt w:val="decimal"/>
      <w:lvlText w:val="(%1)"/>
      <w:lvlJc w:val="left"/>
      <w:pPr>
        <w:ind w:left="49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1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3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5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7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9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1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3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59" w:hanging="180"/>
      </w:pPr>
      <w:rPr>
        <w:rFonts w:cs="Times New Roman"/>
        <w:rtl w:val="0"/>
        <w:cs w:val="0"/>
      </w:rPr>
    </w:lvl>
  </w:abstractNum>
  <w:abstractNum w:abstractNumId="28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DA3849"/>
    <w:multiLevelType w:val="hybridMultilevel"/>
    <w:tmpl w:val="C066C100"/>
    <w:lvl w:ilvl="0">
      <w:start w:val="1"/>
      <w:numFmt w:val="decimal"/>
      <w:lvlText w:val="(%1)"/>
      <w:lvlJc w:val="left"/>
      <w:pPr>
        <w:ind w:left="413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0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2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4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6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8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0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2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43" w:hanging="180"/>
      </w:pPr>
      <w:rPr>
        <w:rFonts w:cs="Times New Roman"/>
        <w:rtl w:val="0"/>
        <w:cs w:val="0"/>
      </w:rPr>
    </w:lvl>
  </w:abstractNum>
  <w:abstractNum w:abstractNumId="31">
    <w:nsid w:val="5E6171F8"/>
    <w:multiLevelType w:val="hybridMultilevel"/>
    <w:tmpl w:val="19B23600"/>
    <w:lvl w:ilvl="0">
      <w:start w:val="1"/>
      <w:numFmt w:val="lowerLetter"/>
      <w:lvlText w:val="%1)"/>
      <w:lvlJc w:val="left"/>
      <w:pPr>
        <w:ind w:left="284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356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28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00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72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44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16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88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607" w:hanging="180"/>
      </w:pPr>
      <w:rPr>
        <w:rFonts w:cs="Times New Roman"/>
        <w:rtl w:val="0"/>
        <w:cs w:val="0"/>
      </w:rPr>
    </w:lvl>
  </w:abstractNum>
  <w:abstractNum w:abstractNumId="32">
    <w:nsid w:val="65523604"/>
    <w:multiLevelType w:val="hybridMultilevel"/>
    <w:tmpl w:val="FE746A6A"/>
    <w:lvl w:ilvl="0">
      <w:start w:val="1"/>
      <w:numFmt w:val="lowerLetter"/>
      <w:lvlText w:val="%1)"/>
      <w:lvlJc w:val="left"/>
      <w:pPr>
        <w:ind w:left="184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6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8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0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2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4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6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8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09" w:hanging="180"/>
      </w:pPr>
      <w:rPr>
        <w:rFonts w:cs="Times New Roman"/>
        <w:rtl w:val="0"/>
        <w:cs w:val="0"/>
      </w:rPr>
    </w:lvl>
  </w:abstractNum>
  <w:abstractNum w:abstractNumId="33">
    <w:nsid w:val="663670ED"/>
    <w:multiLevelType w:val="hybridMultilevel"/>
    <w:tmpl w:val="2CF05F98"/>
    <w:lvl w:ilvl="0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4">
    <w:nsid w:val="705E13AA"/>
    <w:multiLevelType w:val="hybridMultilevel"/>
    <w:tmpl w:val="75F4829E"/>
    <w:lvl w:ilvl="0">
      <w:start w:val="1"/>
      <w:numFmt w:val="decimal"/>
      <w:lvlText w:val="(%1)"/>
      <w:lvlJc w:val="left"/>
      <w:pPr>
        <w:ind w:left="61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60" w:hanging="180"/>
      </w:pPr>
      <w:rPr>
        <w:rFonts w:cs="Times New Roman"/>
        <w:rtl w:val="0"/>
        <w:cs w:val="0"/>
      </w:rPr>
    </w:lvl>
  </w:abstractNum>
  <w:abstractNum w:abstractNumId="35">
    <w:nsid w:val="71395D7E"/>
    <w:multiLevelType w:val="hybridMultilevel"/>
    <w:tmpl w:val="1E38BB04"/>
    <w:lvl w:ilvl="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60" w:hanging="180"/>
      </w:pPr>
      <w:rPr>
        <w:rFonts w:cs="Times New Roman"/>
        <w:rtl w:val="0"/>
        <w:cs w:val="0"/>
      </w:rPr>
    </w:lvl>
  </w:abstractNum>
  <w:abstractNum w:abstractNumId="36">
    <w:nsid w:val="719065AB"/>
    <w:multiLevelType w:val="hybridMultilevel"/>
    <w:tmpl w:val="5142D162"/>
    <w:lvl w:ilvl="0">
      <w:start w:val="1"/>
      <w:numFmt w:val="lowerLetter"/>
      <w:lvlText w:val="%1)"/>
      <w:lvlJc w:val="left"/>
      <w:pPr>
        <w:ind w:left="211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3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5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7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9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1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3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5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78" w:hanging="180"/>
      </w:pPr>
      <w:rPr>
        <w:rFonts w:cs="Times New Roman"/>
        <w:rtl w:val="0"/>
        <w:cs w:val="0"/>
      </w:rPr>
    </w:lvl>
  </w:abstractNum>
  <w:abstractNum w:abstractNumId="37">
    <w:nsid w:val="72236C24"/>
    <w:multiLevelType w:val="hybridMultilevel"/>
    <w:tmpl w:val="E10AFBE8"/>
    <w:lvl w:ilvl="0">
      <w:start w:val="1"/>
      <w:numFmt w:val="lowerLetter"/>
      <w:lvlText w:val="%1)"/>
      <w:lvlJc w:val="left"/>
      <w:pPr>
        <w:ind w:left="61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60" w:hanging="180"/>
      </w:pPr>
      <w:rPr>
        <w:rFonts w:cs="Times New Roman"/>
        <w:rtl w:val="0"/>
        <w:cs w:val="0"/>
      </w:rPr>
    </w:lvl>
  </w:abstractNum>
  <w:abstractNum w:abstractNumId="38">
    <w:nsid w:val="7AE87458"/>
    <w:multiLevelType w:val="hybridMultilevel"/>
    <w:tmpl w:val="4316F708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9">
    <w:nsid w:val="7B6A68DF"/>
    <w:multiLevelType w:val="hybridMultilevel"/>
    <w:tmpl w:val="1AC4128E"/>
    <w:lvl w:ilvl="0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0">
    <w:nsid w:val="7B9B3FBF"/>
    <w:multiLevelType w:val="hybridMultilevel"/>
    <w:tmpl w:val="0BD4FDE4"/>
    <w:lvl w:ilvl="0">
      <w:start w:val="1"/>
      <w:numFmt w:val="decimal"/>
      <w:lvlText w:val="(%1)"/>
      <w:lvlJc w:val="left"/>
      <w:pPr>
        <w:ind w:left="1534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0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2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4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6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8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0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2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49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7"/>
    <w:lvlOverride w:ilvl="0">
      <w:startOverride w:val="3"/>
    </w:lvlOverride>
  </w:num>
  <w:num w:numId="3">
    <w:abstractNumId w:val="23"/>
  </w:num>
  <w:num w:numId="4">
    <w:abstractNumId w:val="23"/>
    <w:lvlOverride w:ilvl="0">
      <w:startOverride w:val="2"/>
    </w:lvlOverride>
  </w:num>
  <w:num w:numId="5">
    <w:abstractNumId w:val="10"/>
  </w:num>
  <w:num w:numId="6">
    <w:abstractNumId w:val="10"/>
    <w:lvlOverride w:ilvl="0">
      <w:startOverride w:val="1"/>
    </w:lvlOverride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0"/>
  </w:num>
  <w:num w:numId="11">
    <w:abstractNumId w:val="29"/>
  </w:num>
  <w:num w:numId="12">
    <w:abstractNumId w:val="5"/>
  </w:num>
  <w:num w:numId="13">
    <w:abstractNumId w:val="28"/>
  </w:num>
  <w:num w:numId="14">
    <w:abstractNumId w:val="4"/>
  </w:num>
  <w:num w:numId="15">
    <w:abstractNumId w:val="26"/>
  </w:num>
  <w:num w:numId="16">
    <w:abstractNumId w:val="22"/>
  </w:num>
  <w:num w:numId="17">
    <w:abstractNumId w:val="19"/>
  </w:num>
  <w:num w:numId="18">
    <w:abstractNumId w:val="24"/>
  </w:num>
  <w:num w:numId="19">
    <w:abstractNumId w:val="38"/>
  </w:num>
  <w:num w:numId="20">
    <w:abstractNumId w:val="13"/>
  </w:num>
  <w:num w:numId="21">
    <w:abstractNumId w:val="15"/>
  </w:num>
  <w:num w:numId="22">
    <w:abstractNumId w:val="34"/>
  </w:num>
  <w:num w:numId="23">
    <w:abstractNumId w:val="17"/>
  </w:num>
  <w:num w:numId="24">
    <w:abstractNumId w:val="37"/>
  </w:num>
  <w:num w:numId="25">
    <w:abstractNumId w:val="1"/>
  </w:num>
  <w:num w:numId="26">
    <w:abstractNumId w:val="36"/>
  </w:num>
  <w:num w:numId="27">
    <w:abstractNumId w:val="12"/>
  </w:num>
  <w:num w:numId="28">
    <w:abstractNumId w:val="31"/>
  </w:num>
  <w:num w:numId="29">
    <w:abstractNumId w:val="27"/>
  </w:num>
  <w:num w:numId="30">
    <w:abstractNumId w:val="18"/>
  </w:num>
  <w:num w:numId="31">
    <w:abstractNumId w:val="2"/>
  </w:num>
  <w:num w:numId="32">
    <w:abstractNumId w:val="32"/>
  </w:num>
  <w:num w:numId="33">
    <w:abstractNumId w:val="6"/>
  </w:num>
  <w:num w:numId="34">
    <w:abstractNumId w:val="8"/>
  </w:num>
  <w:num w:numId="35">
    <w:abstractNumId w:val="40"/>
  </w:num>
  <w:num w:numId="36">
    <w:abstractNumId w:val="21"/>
  </w:num>
  <w:num w:numId="37">
    <w:abstractNumId w:val="35"/>
  </w:num>
  <w:num w:numId="38">
    <w:abstractNumId w:val="33"/>
  </w:num>
  <w:num w:numId="39">
    <w:abstractNumId w:val="3"/>
  </w:num>
  <w:num w:numId="40">
    <w:abstractNumId w:val="9"/>
  </w:num>
  <w:num w:numId="41">
    <w:abstractNumId w:val="11"/>
  </w:num>
  <w:num w:numId="42">
    <w:abstractNumId w:val="14"/>
  </w:num>
  <w:num w:numId="43">
    <w:abstractNumId w:val="30"/>
  </w:num>
  <w:num w:numId="44">
    <w:abstractNumId w:val="39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9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00825"/>
    <w:rsid w:val="000033C4"/>
    <w:rsid w:val="00023207"/>
    <w:rsid w:val="000432A6"/>
    <w:rsid w:val="00044B40"/>
    <w:rsid w:val="00045E2C"/>
    <w:rsid w:val="00054907"/>
    <w:rsid w:val="00082912"/>
    <w:rsid w:val="00085854"/>
    <w:rsid w:val="00093769"/>
    <w:rsid w:val="000A11DA"/>
    <w:rsid w:val="000B1D95"/>
    <w:rsid w:val="000B3D14"/>
    <w:rsid w:val="000C09DB"/>
    <w:rsid w:val="000C2E53"/>
    <w:rsid w:val="000C62ED"/>
    <w:rsid w:val="000C7690"/>
    <w:rsid w:val="000E1B28"/>
    <w:rsid w:val="000E5DD7"/>
    <w:rsid w:val="000E689A"/>
    <w:rsid w:val="00102B75"/>
    <w:rsid w:val="001076AA"/>
    <w:rsid w:val="00122932"/>
    <w:rsid w:val="00127033"/>
    <w:rsid w:val="00135528"/>
    <w:rsid w:val="001364EF"/>
    <w:rsid w:val="00140EDC"/>
    <w:rsid w:val="001422B6"/>
    <w:rsid w:val="00153B33"/>
    <w:rsid w:val="00162F39"/>
    <w:rsid w:val="001657CD"/>
    <w:rsid w:val="0017562A"/>
    <w:rsid w:val="0017797B"/>
    <w:rsid w:val="00180C69"/>
    <w:rsid w:val="001810AF"/>
    <w:rsid w:val="00182787"/>
    <w:rsid w:val="00185E6D"/>
    <w:rsid w:val="001900EB"/>
    <w:rsid w:val="001915C9"/>
    <w:rsid w:val="0019277E"/>
    <w:rsid w:val="001948CC"/>
    <w:rsid w:val="001A3887"/>
    <w:rsid w:val="001B254B"/>
    <w:rsid w:val="001C487F"/>
    <w:rsid w:val="001D154F"/>
    <w:rsid w:val="001D59AD"/>
    <w:rsid w:val="001E2365"/>
    <w:rsid w:val="001F5D69"/>
    <w:rsid w:val="0021426F"/>
    <w:rsid w:val="002153F7"/>
    <w:rsid w:val="00217BF4"/>
    <w:rsid w:val="002229D7"/>
    <w:rsid w:val="002236EE"/>
    <w:rsid w:val="002257C9"/>
    <w:rsid w:val="00225CF4"/>
    <w:rsid w:val="0023046B"/>
    <w:rsid w:val="00241AA3"/>
    <w:rsid w:val="00246440"/>
    <w:rsid w:val="00250283"/>
    <w:rsid w:val="00266DA1"/>
    <w:rsid w:val="00270E65"/>
    <w:rsid w:val="00271A7E"/>
    <w:rsid w:val="002815B6"/>
    <w:rsid w:val="00282BD1"/>
    <w:rsid w:val="00294E54"/>
    <w:rsid w:val="002A2757"/>
    <w:rsid w:val="002B1E92"/>
    <w:rsid w:val="002C2B0C"/>
    <w:rsid w:val="002C503A"/>
    <w:rsid w:val="002E1D16"/>
    <w:rsid w:val="002F16A9"/>
    <w:rsid w:val="0030260C"/>
    <w:rsid w:val="0030409A"/>
    <w:rsid w:val="003063D9"/>
    <w:rsid w:val="00306EF6"/>
    <w:rsid w:val="003172BB"/>
    <w:rsid w:val="00321521"/>
    <w:rsid w:val="00325F1C"/>
    <w:rsid w:val="00326A23"/>
    <w:rsid w:val="00333A53"/>
    <w:rsid w:val="00342851"/>
    <w:rsid w:val="00344B44"/>
    <w:rsid w:val="00345B09"/>
    <w:rsid w:val="00346101"/>
    <w:rsid w:val="003468D4"/>
    <w:rsid w:val="0035758B"/>
    <w:rsid w:val="00367159"/>
    <w:rsid w:val="00380F43"/>
    <w:rsid w:val="003838FB"/>
    <w:rsid w:val="00385F7A"/>
    <w:rsid w:val="00391DC5"/>
    <w:rsid w:val="003B6BBB"/>
    <w:rsid w:val="003B7AFF"/>
    <w:rsid w:val="003D2266"/>
    <w:rsid w:val="003E2B3D"/>
    <w:rsid w:val="003E5A3C"/>
    <w:rsid w:val="003E7B78"/>
    <w:rsid w:val="003F5C68"/>
    <w:rsid w:val="00401433"/>
    <w:rsid w:val="00417AD4"/>
    <w:rsid w:val="004219E0"/>
    <w:rsid w:val="00424270"/>
    <w:rsid w:val="00424A65"/>
    <w:rsid w:val="00430B1E"/>
    <w:rsid w:val="00440A2A"/>
    <w:rsid w:val="004434E9"/>
    <w:rsid w:val="004577EC"/>
    <w:rsid w:val="00471105"/>
    <w:rsid w:val="004812CA"/>
    <w:rsid w:val="00481ADF"/>
    <w:rsid w:val="00484790"/>
    <w:rsid w:val="004930E0"/>
    <w:rsid w:val="00494CFC"/>
    <w:rsid w:val="004A288E"/>
    <w:rsid w:val="004B34BD"/>
    <w:rsid w:val="004B5A48"/>
    <w:rsid w:val="004D155B"/>
    <w:rsid w:val="004D7304"/>
    <w:rsid w:val="004E0B44"/>
    <w:rsid w:val="004E1D1A"/>
    <w:rsid w:val="004F1F90"/>
    <w:rsid w:val="004F6C21"/>
    <w:rsid w:val="0050517D"/>
    <w:rsid w:val="00510804"/>
    <w:rsid w:val="00513669"/>
    <w:rsid w:val="005170A9"/>
    <w:rsid w:val="00532929"/>
    <w:rsid w:val="00532D62"/>
    <w:rsid w:val="005452F8"/>
    <w:rsid w:val="00557B98"/>
    <w:rsid w:val="00561781"/>
    <w:rsid w:val="0057138A"/>
    <w:rsid w:val="0058152A"/>
    <w:rsid w:val="0058239E"/>
    <w:rsid w:val="005947B8"/>
    <w:rsid w:val="005A04A2"/>
    <w:rsid w:val="005A1508"/>
    <w:rsid w:val="005A4CFF"/>
    <w:rsid w:val="005A5EED"/>
    <w:rsid w:val="005D168D"/>
    <w:rsid w:val="005D2A10"/>
    <w:rsid w:val="005D4A2D"/>
    <w:rsid w:val="005E0477"/>
    <w:rsid w:val="005E147F"/>
    <w:rsid w:val="005E29C5"/>
    <w:rsid w:val="005F4F18"/>
    <w:rsid w:val="00601F13"/>
    <w:rsid w:val="00604B01"/>
    <w:rsid w:val="00610398"/>
    <w:rsid w:val="00612684"/>
    <w:rsid w:val="0064397E"/>
    <w:rsid w:val="00647B9A"/>
    <w:rsid w:val="00656B18"/>
    <w:rsid w:val="00656E27"/>
    <w:rsid w:val="006662FB"/>
    <w:rsid w:val="0068235D"/>
    <w:rsid w:val="00683A6B"/>
    <w:rsid w:val="006A1D7B"/>
    <w:rsid w:val="006B2EB1"/>
    <w:rsid w:val="006B55A4"/>
    <w:rsid w:val="006C668B"/>
    <w:rsid w:val="006D6CF1"/>
    <w:rsid w:val="006E47AF"/>
    <w:rsid w:val="006E49A4"/>
    <w:rsid w:val="006E689D"/>
    <w:rsid w:val="006F461A"/>
    <w:rsid w:val="006F70AE"/>
    <w:rsid w:val="00712FC3"/>
    <w:rsid w:val="007162B7"/>
    <w:rsid w:val="0072380B"/>
    <w:rsid w:val="0073389B"/>
    <w:rsid w:val="00735D25"/>
    <w:rsid w:val="00742DA6"/>
    <w:rsid w:val="00745A3B"/>
    <w:rsid w:val="007537CE"/>
    <w:rsid w:val="0076366F"/>
    <w:rsid w:val="00767086"/>
    <w:rsid w:val="00773A4D"/>
    <w:rsid w:val="0078287E"/>
    <w:rsid w:val="007872B7"/>
    <w:rsid w:val="00796A51"/>
    <w:rsid w:val="007A3407"/>
    <w:rsid w:val="007A7C09"/>
    <w:rsid w:val="007A7C85"/>
    <w:rsid w:val="007B6307"/>
    <w:rsid w:val="007C28AB"/>
    <w:rsid w:val="007D53D7"/>
    <w:rsid w:val="007E6410"/>
    <w:rsid w:val="007E7056"/>
    <w:rsid w:val="00805684"/>
    <w:rsid w:val="00806BB0"/>
    <w:rsid w:val="00807D3E"/>
    <w:rsid w:val="00826E45"/>
    <w:rsid w:val="00832B5F"/>
    <w:rsid w:val="008370B3"/>
    <w:rsid w:val="00845C69"/>
    <w:rsid w:val="0085085C"/>
    <w:rsid w:val="00851837"/>
    <w:rsid w:val="0085688F"/>
    <w:rsid w:val="00857A75"/>
    <w:rsid w:val="00861E2E"/>
    <w:rsid w:val="0086278A"/>
    <w:rsid w:val="00867B3A"/>
    <w:rsid w:val="00872278"/>
    <w:rsid w:val="00874646"/>
    <w:rsid w:val="008A0B4B"/>
    <w:rsid w:val="008A5161"/>
    <w:rsid w:val="008A635A"/>
    <w:rsid w:val="008B7688"/>
    <w:rsid w:val="008C0A9E"/>
    <w:rsid w:val="008C54C3"/>
    <w:rsid w:val="008D458A"/>
    <w:rsid w:val="008D4725"/>
    <w:rsid w:val="008D47A4"/>
    <w:rsid w:val="008E2791"/>
    <w:rsid w:val="008F1E95"/>
    <w:rsid w:val="009004A8"/>
    <w:rsid w:val="009128CB"/>
    <w:rsid w:val="0091636B"/>
    <w:rsid w:val="00916B73"/>
    <w:rsid w:val="0093354F"/>
    <w:rsid w:val="0093685F"/>
    <w:rsid w:val="00954AB7"/>
    <w:rsid w:val="009612CE"/>
    <w:rsid w:val="009675C4"/>
    <w:rsid w:val="009719C2"/>
    <w:rsid w:val="00974B24"/>
    <w:rsid w:val="00975B0C"/>
    <w:rsid w:val="009826E3"/>
    <w:rsid w:val="00986D0B"/>
    <w:rsid w:val="00991880"/>
    <w:rsid w:val="009A0D1E"/>
    <w:rsid w:val="009A1BB9"/>
    <w:rsid w:val="009C4901"/>
    <w:rsid w:val="009C5E2D"/>
    <w:rsid w:val="009D3258"/>
    <w:rsid w:val="009D5B18"/>
    <w:rsid w:val="009D60D8"/>
    <w:rsid w:val="009D754C"/>
    <w:rsid w:val="009E0AC7"/>
    <w:rsid w:val="009F601A"/>
    <w:rsid w:val="009F77A5"/>
    <w:rsid w:val="00A02F9A"/>
    <w:rsid w:val="00A03ACF"/>
    <w:rsid w:val="00A16B41"/>
    <w:rsid w:val="00A17274"/>
    <w:rsid w:val="00A3185B"/>
    <w:rsid w:val="00A4224E"/>
    <w:rsid w:val="00A4695C"/>
    <w:rsid w:val="00A47BED"/>
    <w:rsid w:val="00A52A6D"/>
    <w:rsid w:val="00A56859"/>
    <w:rsid w:val="00A56F58"/>
    <w:rsid w:val="00A61517"/>
    <w:rsid w:val="00A62CE4"/>
    <w:rsid w:val="00A75EA4"/>
    <w:rsid w:val="00A856BA"/>
    <w:rsid w:val="00A87C8A"/>
    <w:rsid w:val="00A9063F"/>
    <w:rsid w:val="00A91B17"/>
    <w:rsid w:val="00A9658F"/>
    <w:rsid w:val="00AA227A"/>
    <w:rsid w:val="00AA55DA"/>
    <w:rsid w:val="00AB46FD"/>
    <w:rsid w:val="00AB7D27"/>
    <w:rsid w:val="00AC0AC0"/>
    <w:rsid w:val="00AD50AE"/>
    <w:rsid w:val="00AD606C"/>
    <w:rsid w:val="00AE3AEA"/>
    <w:rsid w:val="00AE663E"/>
    <w:rsid w:val="00AF6011"/>
    <w:rsid w:val="00AF73CD"/>
    <w:rsid w:val="00B067A6"/>
    <w:rsid w:val="00B1183A"/>
    <w:rsid w:val="00B4035A"/>
    <w:rsid w:val="00B425CB"/>
    <w:rsid w:val="00B46A56"/>
    <w:rsid w:val="00B4700F"/>
    <w:rsid w:val="00B50DF3"/>
    <w:rsid w:val="00B64B09"/>
    <w:rsid w:val="00B67FBD"/>
    <w:rsid w:val="00B87EBC"/>
    <w:rsid w:val="00B918DE"/>
    <w:rsid w:val="00B931C3"/>
    <w:rsid w:val="00B95416"/>
    <w:rsid w:val="00BA300C"/>
    <w:rsid w:val="00BB1D59"/>
    <w:rsid w:val="00BC499A"/>
    <w:rsid w:val="00BC4AE6"/>
    <w:rsid w:val="00BD00A2"/>
    <w:rsid w:val="00BD0A66"/>
    <w:rsid w:val="00BD55E7"/>
    <w:rsid w:val="00C00871"/>
    <w:rsid w:val="00C11BCA"/>
    <w:rsid w:val="00C139A5"/>
    <w:rsid w:val="00C13D1F"/>
    <w:rsid w:val="00C21CEF"/>
    <w:rsid w:val="00C24B3E"/>
    <w:rsid w:val="00C2594E"/>
    <w:rsid w:val="00C2723E"/>
    <w:rsid w:val="00C33C3C"/>
    <w:rsid w:val="00C34EF5"/>
    <w:rsid w:val="00C42435"/>
    <w:rsid w:val="00C46781"/>
    <w:rsid w:val="00C50E73"/>
    <w:rsid w:val="00C51057"/>
    <w:rsid w:val="00C57FA5"/>
    <w:rsid w:val="00C649F0"/>
    <w:rsid w:val="00C731F0"/>
    <w:rsid w:val="00C817D9"/>
    <w:rsid w:val="00C83676"/>
    <w:rsid w:val="00C8496F"/>
    <w:rsid w:val="00C86AA0"/>
    <w:rsid w:val="00C96C5C"/>
    <w:rsid w:val="00CA4706"/>
    <w:rsid w:val="00CB2E5D"/>
    <w:rsid w:val="00CC21B9"/>
    <w:rsid w:val="00CD057F"/>
    <w:rsid w:val="00CE1A97"/>
    <w:rsid w:val="00CE34C2"/>
    <w:rsid w:val="00CF0B93"/>
    <w:rsid w:val="00CF53E2"/>
    <w:rsid w:val="00CF74FD"/>
    <w:rsid w:val="00D01A8F"/>
    <w:rsid w:val="00D03F84"/>
    <w:rsid w:val="00D05FBF"/>
    <w:rsid w:val="00D205AC"/>
    <w:rsid w:val="00D22A7B"/>
    <w:rsid w:val="00D24E77"/>
    <w:rsid w:val="00D27B01"/>
    <w:rsid w:val="00D31EC0"/>
    <w:rsid w:val="00D33B5F"/>
    <w:rsid w:val="00D3404B"/>
    <w:rsid w:val="00D42BE3"/>
    <w:rsid w:val="00D62259"/>
    <w:rsid w:val="00D6475D"/>
    <w:rsid w:val="00D83E5B"/>
    <w:rsid w:val="00D91EEB"/>
    <w:rsid w:val="00D961DA"/>
    <w:rsid w:val="00D973B5"/>
    <w:rsid w:val="00DA0F6C"/>
    <w:rsid w:val="00DA3EFA"/>
    <w:rsid w:val="00DC0F95"/>
    <w:rsid w:val="00DC78D0"/>
    <w:rsid w:val="00DD106C"/>
    <w:rsid w:val="00DD16DC"/>
    <w:rsid w:val="00DD2C4B"/>
    <w:rsid w:val="00DE0F85"/>
    <w:rsid w:val="00DE2DB9"/>
    <w:rsid w:val="00DE4D35"/>
    <w:rsid w:val="00E030B3"/>
    <w:rsid w:val="00E03DE8"/>
    <w:rsid w:val="00E06B18"/>
    <w:rsid w:val="00E16FAD"/>
    <w:rsid w:val="00E170A8"/>
    <w:rsid w:val="00E210BA"/>
    <w:rsid w:val="00E3259D"/>
    <w:rsid w:val="00E621F4"/>
    <w:rsid w:val="00E71C6A"/>
    <w:rsid w:val="00E7253E"/>
    <w:rsid w:val="00E745BA"/>
    <w:rsid w:val="00E77CB2"/>
    <w:rsid w:val="00E80756"/>
    <w:rsid w:val="00E823BF"/>
    <w:rsid w:val="00E937FC"/>
    <w:rsid w:val="00EA5A2B"/>
    <w:rsid w:val="00EB4C54"/>
    <w:rsid w:val="00ED5087"/>
    <w:rsid w:val="00EE419A"/>
    <w:rsid w:val="00EE7DD6"/>
    <w:rsid w:val="00EF0A64"/>
    <w:rsid w:val="00F047A8"/>
    <w:rsid w:val="00F120C4"/>
    <w:rsid w:val="00F1494B"/>
    <w:rsid w:val="00F165E9"/>
    <w:rsid w:val="00F3295C"/>
    <w:rsid w:val="00F34C0E"/>
    <w:rsid w:val="00F4080C"/>
    <w:rsid w:val="00F56804"/>
    <w:rsid w:val="00F63BAB"/>
    <w:rsid w:val="00F659B0"/>
    <w:rsid w:val="00F84C34"/>
    <w:rsid w:val="00F8764E"/>
    <w:rsid w:val="00F9160D"/>
    <w:rsid w:val="00F96805"/>
    <w:rsid w:val="00FB43AB"/>
    <w:rsid w:val="00FC6F56"/>
    <w:rsid w:val="00FC742B"/>
    <w:rsid w:val="00FD387D"/>
    <w:rsid w:val="00FD5ABC"/>
    <w:rsid w:val="00FE7B54"/>
    <w:rsid w:val="00FF3C39"/>
    <w:rsid w:val="00FF417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endnote text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54AB7"/>
    <w:pPr>
      <w:framePr w:wrap="auto"/>
      <w:widowControl/>
      <w:autoSpaceDE/>
      <w:autoSpaceDN/>
      <w:adjustRightInd/>
      <w:spacing w:before="100" w:beforeAutospacing="1" w:after="100" w:afterAutospacing="1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autoSpaceDE w:val="0"/>
      <w:autoSpaceDN w:val="0"/>
      <w:spacing w:before="120" w:beforeAutospacing="0" w:after="0" w:afterAutospacing="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autoSpaceDE w:val="0"/>
      <w:autoSpaceDN w:val="0"/>
      <w:spacing w:before="0" w:beforeAutospacing="0" w:after="0" w:afterAutospacing="0"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autoSpaceDE w:val="0"/>
      <w:autoSpaceDN w:val="0"/>
      <w:spacing w:before="0" w:beforeAutospacing="0" w:after="0" w:afterAutospacing="0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autoSpaceDE w:val="0"/>
      <w:autoSpaceDN w:val="0"/>
      <w:spacing w:before="0" w:beforeAutospacing="0" w:after="0" w:afterAutospacing="0"/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rtl w:val="0"/>
      <w:cs w:val="0"/>
    </w:rPr>
  </w:style>
  <w:style w:type="paragraph" w:customStyle="1" w:styleId="Normlny">
    <w:name w:val="_Normálny"/>
    <w:basedOn w:val="Normal"/>
    <w:uiPriority w:val="99"/>
    <w:pPr>
      <w:autoSpaceDE w:val="0"/>
      <w:autoSpaceDN w:val="0"/>
      <w:spacing w:before="0" w:beforeAutospacing="0" w:after="0" w:afterAutospacing="0"/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autoSpaceDE w:val="0"/>
      <w:autoSpaceDN w:val="0"/>
      <w:spacing w:before="0" w:beforeAutospacing="0" w:after="0" w:afterAutospacing="0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autoSpaceDE w:val="0"/>
      <w:autoSpaceDN w:val="0"/>
      <w:spacing w:before="240" w:beforeAutospacing="0" w:after="120" w:afterAutospacing="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autoSpaceDE w:val="0"/>
      <w:autoSpaceDN w:val="0"/>
      <w:spacing w:before="0" w:beforeAutospacing="0" w:after="0" w:afterAutospacing="0"/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spacing w:before="0" w:beforeAutospacing="0" w:after="0" w:afterAutospacing="0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spacing w:before="0" w:beforeAutospacing="0" w:after="0" w:afterAutospacing="0"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rtl w:val="0"/>
      <w:cs w:val="0"/>
    </w:rPr>
  </w:style>
  <w:style w:type="paragraph" w:customStyle="1" w:styleId="Default">
    <w:name w:val="Default"/>
    <w:rsid w:val="00CB2E5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CB2E5D"/>
    <w:pPr>
      <w:jc w:val="left"/>
    </w:pPr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harChar">
    <w:name w:val="Char Char"/>
    <w:basedOn w:val="Normal"/>
    <w:uiPriority w:val="99"/>
    <w:rsid w:val="0078287E"/>
    <w:pPr>
      <w:spacing w:before="0" w:beforeAutospacing="0" w:after="160" w:afterAutospacing="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styleId="ListParagraph">
    <w:name w:val="List Paragraph"/>
    <w:basedOn w:val="Normal"/>
    <w:link w:val="OdsekzoznamuChar"/>
    <w:uiPriority w:val="34"/>
    <w:qFormat/>
    <w:rsid w:val="00E030B3"/>
    <w:pPr>
      <w:spacing w:before="0" w:beforeAutospacing="0" w:after="0" w:afterAutospacing="0"/>
      <w:ind w:left="720"/>
      <w:contextualSpacing/>
      <w:jc w:val="left"/>
    </w:pPr>
  </w:style>
  <w:style w:type="character" w:styleId="Strong">
    <w:name w:val="Strong"/>
    <w:basedOn w:val="DefaultParagraphFont"/>
    <w:uiPriority w:val="22"/>
    <w:qFormat/>
    <w:rsid w:val="00D83E5B"/>
    <w:rPr>
      <w:rFonts w:cs="Times New Roman"/>
      <w:b/>
      <w:rtl w:val="0"/>
      <w:cs w:val="0"/>
    </w:rPr>
  </w:style>
  <w:style w:type="paragraph" w:customStyle="1" w:styleId="normal2">
    <w:name w:val="normal2"/>
    <w:basedOn w:val="Normal"/>
    <w:rsid w:val="00D83E5B"/>
    <w:pPr>
      <w:spacing w:before="120" w:beforeAutospacing="0" w:after="0" w:afterAutospacing="0" w:line="312" w:lineRule="atLeast"/>
      <w:jc w:val="both"/>
    </w:pPr>
  </w:style>
  <w:style w:type="paragraph" w:customStyle="1" w:styleId="doc-ti">
    <w:name w:val="doc-ti"/>
    <w:basedOn w:val="Normal"/>
    <w:rsid w:val="009D5B18"/>
    <w:pPr>
      <w:spacing w:before="240" w:beforeAutospacing="0" w:after="120" w:afterAutospacing="0"/>
      <w:jc w:val="center"/>
    </w:pPr>
    <w:rPr>
      <w:b/>
      <w:bCs/>
    </w:rPr>
  </w:style>
  <w:style w:type="paragraph" w:customStyle="1" w:styleId="ti-art">
    <w:name w:val="ti-art"/>
    <w:basedOn w:val="Normal"/>
    <w:rsid w:val="009D5B18"/>
    <w:pPr>
      <w:spacing w:before="360" w:beforeAutospacing="0" w:after="120" w:afterAutospacing="0"/>
      <w:jc w:val="center"/>
    </w:pPr>
    <w:rPr>
      <w:i/>
      <w:iCs/>
    </w:rPr>
  </w:style>
  <w:style w:type="character" w:styleId="Hyperlink">
    <w:name w:val="Hyperlink"/>
    <w:basedOn w:val="DefaultParagraphFont"/>
    <w:uiPriority w:val="99"/>
    <w:unhideWhenUsed/>
    <w:rsid w:val="009D5B18"/>
    <w:rPr>
      <w:rFonts w:cs="Times New Roman"/>
      <w:color w:val="3366CC"/>
      <w:u w:val="none"/>
      <w:effect w:val="none"/>
      <w:shd w:val="clear" w:color="auto" w:fill="auto"/>
      <w:rtl w:val="0"/>
      <w:cs w:val="0"/>
    </w:rPr>
  </w:style>
  <w:style w:type="paragraph" w:customStyle="1" w:styleId="note">
    <w:name w:val="note"/>
    <w:basedOn w:val="Normal"/>
    <w:rsid w:val="009D5B18"/>
    <w:pPr>
      <w:spacing w:before="60" w:beforeAutospacing="0" w:after="60" w:afterAutospacing="0"/>
      <w:jc w:val="both"/>
    </w:pPr>
    <w:rPr>
      <w:sz w:val="19"/>
      <w:szCs w:val="19"/>
    </w:rPr>
  </w:style>
  <w:style w:type="character" w:customStyle="1" w:styleId="super">
    <w:name w:val="super"/>
    <w:rsid w:val="009D5B18"/>
    <w:rPr>
      <w:sz w:val="17"/>
      <w:vertAlign w:val="superscript"/>
    </w:rPr>
  </w:style>
  <w:style w:type="paragraph" w:customStyle="1" w:styleId="sti-art">
    <w:name w:val="sti-art"/>
    <w:basedOn w:val="Normal"/>
    <w:rsid w:val="009D5B18"/>
    <w:pPr>
      <w:spacing w:before="60" w:beforeAutospacing="0" w:after="120" w:afterAutospacing="0"/>
      <w:jc w:val="center"/>
    </w:pPr>
    <w:rPr>
      <w:b/>
      <w:bCs/>
    </w:rPr>
  </w:style>
  <w:style w:type="character" w:customStyle="1" w:styleId="italic">
    <w:name w:val="italic"/>
    <w:rsid w:val="009D5B18"/>
    <w:rPr>
      <w:i/>
    </w:rPr>
  </w:style>
  <w:style w:type="paragraph" w:customStyle="1" w:styleId="signatory">
    <w:name w:val="signatory"/>
    <w:basedOn w:val="Normal"/>
    <w:rsid w:val="009D5B18"/>
    <w:pPr>
      <w:spacing w:before="60" w:beforeAutospacing="0" w:after="60" w:afterAutospacing="0"/>
      <w:jc w:val="center"/>
    </w:pPr>
  </w:style>
  <w:style w:type="character" w:customStyle="1" w:styleId="OdsekzoznamuChar">
    <w:name w:val="Odsek zoznamu Char"/>
    <w:link w:val="ListParagraph"/>
    <w:uiPriority w:val="34"/>
    <w:locked/>
    <w:rsid w:val="001657CD"/>
    <w:rPr>
      <w:sz w:val="24"/>
    </w:rPr>
  </w:style>
  <w:style w:type="paragraph" w:styleId="NoSpacing">
    <w:name w:val="No Spacing"/>
    <w:aliases w:val="Hlavní písmo"/>
    <w:link w:val="BezriadkovaniaChar"/>
    <w:uiPriority w:val="1"/>
    <w:qFormat/>
    <w:rsid w:val="001657C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TextbublinyChar"/>
    <w:uiPriority w:val="99"/>
    <w:rsid w:val="00E03DE8"/>
    <w:pPr>
      <w:spacing w:before="0" w:beforeAutospacing="0" w:after="0" w:afterAutospacing="0"/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E03DE8"/>
    <w:rPr>
      <w:rFonts w:ascii="Segoe UI" w:hAnsi="Segoe UI" w:cs="Times New Roman"/>
      <w:sz w:val="18"/>
      <w:rtl w:val="0"/>
      <w:cs w:val="0"/>
    </w:rPr>
  </w:style>
  <w:style w:type="paragraph" w:styleId="NormalWeb">
    <w:name w:val="Normal (Web)"/>
    <w:basedOn w:val="Normal"/>
    <w:uiPriority w:val="99"/>
    <w:unhideWhenUsed/>
    <w:rsid w:val="00F8764E"/>
    <w:pPr>
      <w:jc w:val="left"/>
    </w:pPr>
  </w:style>
  <w:style w:type="paragraph" w:styleId="Subtitle">
    <w:name w:val="Subtitle"/>
    <w:basedOn w:val="Normal"/>
    <w:link w:val="PodtitulChar"/>
    <w:uiPriority w:val="11"/>
    <w:qFormat/>
    <w:rsid w:val="00E16FAD"/>
    <w:pPr>
      <w:spacing w:before="0" w:beforeAutospacing="0" w:after="0" w:afterAutospacing="0" w:line="360" w:lineRule="auto"/>
      <w:jc w:val="center"/>
    </w:pPr>
    <w:rPr>
      <w:b/>
      <w:bCs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E16FAD"/>
    <w:rPr>
      <w:rFonts w:cs="Times New Roman"/>
      <w:b/>
      <w:bCs/>
      <w:sz w:val="24"/>
      <w:szCs w:val="24"/>
      <w:rtl w:val="0"/>
      <w:cs w:val="0"/>
    </w:rPr>
  </w:style>
  <w:style w:type="table" w:styleId="TableGrid">
    <w:name w:val="Table Grid"/>
    <w:basedOn w:val="TableNormal"/>
    <w:uiPriority w:val="59"/>
    <w:rsid w:val="006E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riadkovaniaChar">
    <w:name w:val="Bez riadkovania Char"/>
    <w:aliases w:val="Hlavní písmo Char"/>
    <w:link w:val="NoSpacing"/>
    <w:uiPriority w:val="1"/>
    <w:locked/>
    <w:rsid w:val="001422B6"/>
    <w:rPr>
      <w:rFonts w:ascii="Calibri" w:hAnsi="Calibri" w:cs="Calibri"/>
      <w:sz w:val="22"/>
      <w:lang w:val="x-none" w:eastAsia="en-US"/>
    </w:rPr>
  </w:style>
  <w:style w:type="character" w:customStyle="1" w:styleId="y2iqfc">
    <w:name w:val="y2iqfc"/>
    <w:rsid w:val="001422B6"/>
  </w:style>
  <w:style w:type="paragraph" w:styleId="EndnoteText">
    <w:name w:val="endnote text"/>
    <w:basedOn w:val="Normal"/>
    <w:link w:val="TextvysvetlivkyChar"/>
    <w:uiPriority w:val="99"/>
    <w:unhideWhenUsed/>
    <w:qFormat/>
    <w:rsid w:val="00481ADF"/>
    <w:pPr>
      <w:spacing w:before="60" w:beforeAutospacing="0" w:after="0" w:afterAutospacing="0"/>
      <w:jc w:val="left"/>
    </w:pPr>
    <w:rPr>
      <w:rFonts w:ascii="Arial" w:hAnsi="Arial"/>
      <w:sz w:val="20"/>
      <w:szCs w:val="20"/>
      <w:lang w:val="cs-CZ" w:eastAsia="en-US"/>
    </w:rPr>
  </w:style>
  <w:style w:type="character" w:customStyle="1" w:styleId="TextvysvetlivkyChar">
    <w:name w:val="Text vysvetlivky Char"/>
    <w:basedOn w:val="DefaultParagraphFont"/>
    <w:link w:val="EndnoteText"/>
    <w:uiPriority w:val="99"/>
    <w:locked/>
    <w:rsid w:val="00481ADF"/>
    <w:rPr>
      <w:rFonts w:ascii="Arial" w:hAnsi="Arial" w:cs="Times New Roman"/>
      <w:rtl w:val="0"/>
      <w:cs w:val="0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11/203/20220101.htm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B1C9A-6F78-424C-87D2-3D1E8E32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240</TotalTime>
  <Pages>7</Pages>
  <Words>2475</Words>
  <Characters>14110</Characters>
  <Application>Microsoft Office Word</Application>
  <DocSecurity>0</DocSecurity>
  <Lines>0</Lines>
  <Paragraphs>0</Paragraphs>
  <ScaleCrop>false</ScaleCrop>
  <Company>ÚV SR</Company>
  <LinksUpToDate>false</LinksUpToDate>
  <CharactersWithSpaces>16552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Vlkolinsky Robert</cp:lastModifiedBy>
  <cp:revision>16</cp:revision>
  <cp:lastPrinted>2020-11-03T08:43:00Z</cp:lastPrinted>
  <dcterms:created xsi:type="dcterms:W3CDTF">2021-11-23T10:47:00Z</dcterms:created>
  <dcterms:modified xsi:type="dcterms:W3CDTF">2022-01-17T19:35:00Z</dcterms:modified>
</cp:coreProperties>
</file>