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1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6662"/>
        <w:gridCol w:w="426"/>
        <w:gridCol w:w="708"/>
        <w:gridCol w:w="709"/>
        <w:gridCol w:w="5670"/>
        <w:gridCol w:w="425"/>
        <w:gridCol w:w="851"/>
      </w:tblGrid>
      <w:tr>
        <w:tblPrEx>
          <w:tblW w:w="16133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1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D2C4B" w:rsidP="0078287E">
            <w:pPr>
              <w:pStyle w:val="Heading1"/>
              <w:bidi w:val="0"/>
              <w:rPr>
                <w:rFonts w:ascii="Times New Roman" w:hAnsi="Times New Roman"/>
              </w:rPr>
            </w:pPr>
            <w:r w:rsidRPr="00DD2C4B">
              <w:rPr>
                <w:rFonts w:ascii="Times New Roman" w:hAnsi="Times New Roman"/>
              </w:rPr>
              <w:t>TABUĽKA  ZHODY</w:t>
            </w:r>
            <w:r w:rsidRPr="00DD2C4B" w:rsidR="006A1D7B">
              <w:rPr>
                <w:rFonts w:ascii="Times New Roman" w:hAnsi="Times New Roman"/>
              </w:rPr>
              <w:t xml:space="preserve"> </w:t>
            </w:r>
          </w:p>
          <w:p w:rsidR="006A1D7B" w:rsidRPr="00DD2C4B" w:rsidP="006A1D7B">
            <w:pPr>
              <w:bidi w:val="0"/>
              <w:spacing w:before="120" w:beforeAutospacing="0" w:after="0" w:afterAutospacing="0"/>
              <w:jc w:val="center"/>
              <w:rPr>
                <w:rFonts w:ascii="Times New Roman" w:hAnsi="Times New Roman"/>
              </w:rPr>
            </w:pPr>
            <w:r w:rsidRPr="00DD2C4B">
              <w:rPr>
                <w:rFonts w:ascii="Times New Roman" w:hAnsi="Times New Roman"/>
                <w:b/>
                <w:bCs/>
              </w:rPr>
              <w:t>návrhu zákona s právom Európskej únie</w:t>
            </w:r>
          </w:p>
          <w:p w:rsidR="008C54C3" w:rsidRPr="00DD2C4B" w:rsidP="007872B7">
            <w:pPr>
              <w:tabs>
                <w:tab w:val="left" w:pos="0"/>
              </w:tabs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E7DD6" w:rsidRPr="00135528" w:rsidP="00135528">
            <w:pPr>
              <w:pStyle w:val="Heading4"/>
              <w:bidi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28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9D5B18" w:rsidRPr="00135528" w:rsidP="009D5B18">
            <w:pPr>
              <w:autoSpaceDE w:val="0"/>
              <w:autoSpaceDN w:val="0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9D5B18" w:rsidRPr="001422B6" w:rsidP="009D5B18">
            <w:pPr>
              <w:pStyle w:val="doc-ti"/>
              <w:shd w:val="clear" w:color="auto" w:fill="FFFFFF"/>
              <w:bidi w:val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2B6">
              <w:rPr>
                <w:rFonts w:ascii="Times New Roman" w:hAnsi="Times New Roman"/>
                <w:color w:val="000000"/>
                <w:sz w:val="22"/>
                <w:szCs w:val="22"/>
              </w:rPr>
              <w:t>SMERNICA EURÓPSKEHO PARLAMENTU A RADY (EÚ) 2019/1160 z 20. júna 2019, ktorou sa mení smernica 2009/65/ES a smernica 2011/61/EÚ, pokiaľ ide o cezhraničnú distribúciu podnikov kolektívneho investovania</w:t>
            </w:r>
          </w:p>
          <w:p w:rsidR="009D5B18" w:rsidRPr="00135528" w:rsidP="009D5B18">
            <w:pPr>
              <w:autoSpaceDE w:val="0"/>
              <w:autoSpaceDN w:val="0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A9658F">
              <w:rPr>
                <w:rFonts w:ascii="Times New Roman" w:hAnsi="Times New Roman"/>
              </w:rPr>
              <w:t>(</w:t>
            </w:r>
            <w:r w:rsidRPr="004E0B44" w:rsidR="00A9658F">
              <w:rPr>
                <w:rFonts w:ascii="Times New Roman" w:hAnsi="Times New Roman"/>
                <w:sz w:val="22"/>
                <w:szCs w:val="22"/>
              </w:rPr>
              <w:t xml:space="preserve">Ú.v. EÚ L </w:t>
            </w:r>
            <w:r w:rsidRPr="00874646" w:rsidR="00A9658F">
              <w:rPr>
                <w:rFonts w:ascii="Times New Roman" w:hAnsi="Times New Roman"/>
                <w:sz w:val="22"/>
                <w:szCs w:val="22"/>
              </w:rPr>
              <w:t>188, 1</w:t>
            </w:r>
            <w:r w:rsidRPr="00874646" w:rsidR="007A3407">
              <w:rPr>
                <w:rFonts w:ascii="Times New Roman" w:hAnsi="Times New Roman"/>
                <w:sz w:val="22"/>
                <w:szCs w:val="22"/>
              </w:rPr>
              <w:t>2</w:t>
            </w:r>
            <w:r w:rsidRPr="00874646" w:rsidR="00A9658F">
              <w:rPr>
                <w:rFonts w:ascii="Times New Roman" w:hAnsi="Times New Roman"/>
                <w:sz w:val="22"/>
                <w:szCs w:val="22"/>
              </w:rPr>
              <w:t>.7.</w:t>
            </w:r>
            <w:r w:rsidR="00A9658F">
              <w:rPr>
                <w:rFonts w:ascii="Times New Roman" w:hAnsi="Times New Roman"/>
                <w:sz w:val="22"/>
                <w:szCs w:val="22"/>
              </w:rPr>
              <w:t>2019)</w:t>
            </w:r>
          </w:p>
          <w:p w:rsidR="009D5B18" w:rsidRPr="00135528" w:rsidP="009D5B18">
            <w:pPr>
              <w:autoSpaceDE w:val="0"/>
              <w:autoSpaceDN w:val="0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9D5B18" w:rsidRPr="00135528" w:rsidP="009D5B18">
            <w:pPr>
              <w:autoSpaceDE w:val="0"/>
              <w:autoSpaceDN w:val="0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D2C4B" w:rsidP="00135528">
            <w:pPr>
              <w:pStyle w:val="Heading4"/>
              <w:bidi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4B" w:rsidR="000E689A">
              <w:rPr>
                <w:rFonts w:ascii="Times New Roman" w:hAnsi="Times New Roman"/>
                <w:sz w:val="24"/>
                <w:szCs w:val="24"/>
              </w:rPr>
              <w:t>P</w:t>
            </w:r>
            <w:r w:rsidRPr="00DD2C4B">
              <w:rPr>
                <w:rFonts w:ascii="Times New Roman" w:hAnsi="Times New Roman"/>
                <w:sz w:val="24"/>
                <w:szCs w:val="24"/>
              </w:rPr>
              <w:t>rávne predpisy Slovenskej republiky</w:t>
            </w:r>
          </w:p>
          <w:p w:rsidR="00A9658F" w:rsidP="00A9658F">
            <w:pPr>
              <w:widowControl w:val="0"/>
              <w:bidi w:val="0"/>
              <w:spacing w:before="120" w:beforeAutospacing="0" w:after="0" w:afterAutospacing="0"/>
              <w:ind w:left="4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0B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Návrh zákona, </w:t>
            </w:r>
            <w:r w:rsidRPr="009675C4">
              <w:rPr>
                <w:rFonts w:ascii="Times New Roman" w:hAnsi="Times New Roman"/>
                <w:b/>
                <w:bCs/>
                <w:sz w:val="22"/>
                <w:szCs w:val="22"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E0B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(ďalej „návrh zákona“)</w:t>
            </w:r>
          </w:p>
          <w:p w:rsidR="008D4725" w:rsidP="008D4725">
            <w:pPr>
              <w:pStyle w:val="Heading4"/>
              <w:bidi w:val="0"/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4725" w:rsidRPr="00DD2C4B" w:rsidP="008D4725">
            <w:pPr>
              <w:pStyle w:val="Heading4"/>
              <w:bidi w:val="0"/>
              <w:spacing w:before="12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2C4B">
              <w:rPr>
                <w:rFonts w:ascii="Times New Roman" w:hAnsi="Times New Roman"/>
                <w:b w:val="0"/>
                <w:sz w:val="24"/>
                <w:szCs w:val="24"/>
              </w:rPr>
              <w:t>Zákon č. 203/2011 Z. z. o kolektívnom investovaní</w:t>
            </w:r>
            <w:r w:rsidRPr="00DD2C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 znení neskorších predpisov (ďalej „203/2011“)</w:t>
            </w:r>
          </w:p>
          <w:p w:rsidR="009D5B18" w:rsidRPr="00DD2C4B" w:rsidP="00FF3C39">
            <w:pPr>
              <w:tabs>
                <w:tab w:val="left" w:pos="0"/>
              </w:tabs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BodyText2"/>
              <w:bidi w:val="0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BodyText2"/>
              <w:bidi w:val="0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 w:rsidR="00517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 w:rsidP="00874646">
            <w:pPr>
              <w:pStyle w:val="Normlny"/>
              <w:bidi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Spôsob transp.</w:t>
            </w:r>
          </w:p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153F7">
            <w:pPr>
              <w:pStyle w:val="Normlny"/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53F7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2F39" w:rsidRPr="00874646" w:rsidP="00874646">
            <w:pPr>
              <w:autoSpaceDE w:val="0"/>
              <w:autoSpaceDN w:val="0"/>
              <w:bidi w:val="0"/>
              <w:spacing w:before="12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2A2757">
              <w:rPr>
                <w:rFonts w:ascii="Times New Roman" w:hAnsi="Times New Roman"/>
                <w:sz w:val="22"/>
                <w:szCs w:val="22"/>
              </w:rPr>
              <w:t>Čl</w:t>
            </w:r>
            <w:r w:rsidRPr="00874646" w:rsidR="002A2757">
              <w:rPr>
                <w:rFonts w:ascii="Times New Roman" w:hAnsi="Times New Roman"/>
                <w:sz w:val="22"/>
                <w:szCs w:val="22"/>
              </w:rPr>
              <w:t>. 1</w:t>
            </w:r>
          </w:p>
          <w:p w:rsidR="00A17274" w:rsidRPr="009D5B18" w:rsidP="00874646">
            <w:pPr>
              <w:autoSpaceDE w:val="0"/>
              <w:autoSpaceDN w:val="0"/>
              <w:bidi w:val="0"/>
              <w:spacing w:before="12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646">
              <w:rPr>
                <w:rFonts w:ascii="Times New Roman" w:hAnsi="Times New Roman"/>
                <w:sz w:val="22"/>
                <w:szCs w:val="22"/>
              </w:rPr>
              <w:t>Bod 4</w:t>
            </w:r>
            <w:r w:rsidRPr="00874646" w:rsidR="00D03F84">
              <w:rPr>
                <w:rFonts w:ascii="Times New Roman" w:hAnsi="Times New Roman"/>
                <w:sz w:val="22"/>
                <w:szCs w:val="22"/>
              </w:rPr>
              <w:t xml:space="preserve"> (čl. 92</w:t>
            </w:r>
            <w:r w:rsidR="00A4224E">
              <w:rPr>
                <w:rFonts w:ascii="Times New Roman" w:hAnsi="Times New Roman"/>
                <w:sz w:val="22"/>
                <w:szCs w:val="22"/>
              </w:rPr>
              <w:t xml:space="preserve"> ods. 1,ods. 2, ods. 3 písm. a), písm. b)</w:t>
            </w:r>
            <w:r w:rsidRPr="00874646" w:rsidR="00D03F84">
              <w:rPr>
                <w:rFonts w:ascii="Times New Roman" w:hAnsi="Times New Roman"/>
                <w:sz w:val="22"/>
                <w:szCs w:val="22"/>
              </w:rPr>
              <w:t xml:space="preserve"> smer. 2009/65/ES)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4AB7" w:rsidRPr="00874646" w:rsidP="00954AB7">
            <w:pPr>
              <w:shd w:val="clear" w:color="auto" w:fill="FFFFFF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74646">
              <w:rPr>
                <w:rFonts w:ascii="Times New Roman" w:hAnsi="Times New Roman"/>
                <w:iCs/>
              </w:rPr>
              <w:t>Článok 1</w:t>
            </w:r>
          </w:p>
          <w:p w:rsidR="00954AB7" w:rsidRPr="00874646" w:rsidP="00954AB7">
            <w:pPr>
              <w:shd w:val="clear" w:color="auto" w:fill="FFFFFF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874646">
              <w:rPr>
                <w:rFonts w:ascii="Times New Roman" w:hAnsi="Times New Roman"/>
                <w:b/>
                <w:bCs/>
              </w:rPr>
              <w:t>Zmeny smernice 2009/65/ES</w:t>
            </w:r>
          </w:p>
          <w:p w:rsidR="00954AB7" w:rsidRPr="00954AB7" w:rsidP="00954AB7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74646">
              <w:rPr>
                <w:rFonts w:ascii="Times New Roman" w:hAnsi="Times New Roman"/>
              </w:rPr>
              <w:t>Smernica 2009/65/ES sa mení takto:</w:t>
            </w:r>
          </w:p>
          <w:tbl>
            <w:tblPr>
              <w:tblStyle w:val="TableNormal"/>
              <w:tblW w:w="6662" w:type="dxa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"/>
              <w:gridCol w:w="6525"/>
            </w:tblGrid>
            <w:tr>
              <w:tblPrEx>
                <w:tblW w:w="6662" w:type="dxa"/>
                <w:tblInd w:w="99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1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9D5B18" w:rsidRPr="009D5B18" w:rsidP="009D5B18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5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9D5B18" w:rsidRPr="009D5B18" w:rsidP="009D5B18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Článok 92 sa nahrádza takto:</w:t>
                  </w:r>
                </w:p>
                <w:p w:rsidR="009D5B18" w:rsidRPr="009D5B18" w:rsidP="009D5B18">
                  <w:pPr>
                    <w:bidi w:val="0"/>
                    <w:spacing w:before="360" w:beforeAutospacing="0" w:after="120" w:afterAutospacing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  <w:t>„Článok 92</w:t>
                  </w:r>
                </w:p>
                <w:p w:rsidR="009D5B18" w:rsidP="00B4035A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   Členské štáty zabezpečia, aby PKIPCP sprístupnil v každom členskom štáte, v ktorom má v úmysle uvádzať na trh svoje podielové listy, zariadenia na vykonávanie týchto úloh:</w:t>
                  </w:r>
                </w:p>
                <w:p w:rsidR="00E80756" w:rsidP="00B4035A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E80756" w:rsidRPr="009D5B18" w:rsidP="00B4035A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"/>
                    <w:gridCol w:w="15"/>
                    <w:gridCol w:w="6024"/>
                    <w:gridCol w:w="221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0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6245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P="00B4035A">
                        <w:pPr>
                          <w:bidi w:val="0"/>
                          <w:spacing w:before="120" w:beforeAutospacing="0" w:after="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spracovávanie pokynov na upísanie, odkúpenie a vyplatenie a vykonávanie iných platieb v prospech držiteľov podielových listov PKIPCP v súlade s podmienkami stanovenými v dokumentoch požadovaných podľa kapitoly IX;</w:t>
                        </w:r>
                      </w:p>
                      <w:p w:rsidR="00767086" w:rsidRPr="009D5B18" w:rsidP="00F63BAB">
                        <w:pPr>
                          <w:bidi w:val="0"/>
                          <w:spacing w:before="120" w:beforeAutospacing="0" w:after="12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0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b)</w:t>
                        </w:r>
                      </w:p>
                    </w:tc>
                    <w:tc>
                      <w:tcPr>
                        <w:tcW w:w="6245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F63BAB" w:rsidP="00767086">
                        <w:pPr>
                          <w:bidi w:val="0"/>
                          <w:spacing w:before="120" w:beforeAutospacing="0" w:after="12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 w:rsid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poskytovanie informácií investorom o tom, ako možno vykonať pokyny uvedené v písmene a) a ako sa vyplácajú výnosy z odkúpenia a vyplatenia;</w:t>
                        </w:r>
                      </w:p>
                      <w:p w:rsidR="00767086" w:rsidRPr="009D5B18" w:rsidP="00767086">
                        <w:pPr>
                          <w:bidi w:val="0"/>
                          <w:spacing w:before="120" w:beforeAutospacing="0" w:after="12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gridAfter w:val="1"/>
                      <w:wAfter w:w="221" w:type="dxa"/>
                      <w:trHeight w:val="1165"/>
                    </w:trPr>
                    <w:tc>
                      <w:tcPr>
                        <w:tcW w:w="26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c)</w:t>
                        </w:r>
                      </w:p>
                    </w:tc>
                    <w:tc>
                      <w:tcPr>
                        <w:tcW w:w="6039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uľahčenie nakladania s informáciami a prístup k postupom a mechanizmom uvedeným v článku 15 týkajúcim sa uplatňovania práv investorov vyplývajúcich z ich investície do PKIPCP v členskom štáte, v ktorom sa PKIPCP uvádza na trh;</w:t>
                        </w:r>
                      </w:p>
                      <w:p w:rsidR="00F63BAB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0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d)</w:t>
                        </w:r>
                      </w:p>
                    </w:tc>
                    <w:tc>
                      <w:tcPr>
                        <w:tcW w:w="6245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F63BAB" w:rsidP="00767086">
                        <w:pPr>
                          <w:bidi w:val="0"/>
                          <w:spacing w:before="120" w:beforeAutospacing="0" w:after="24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 w:rsid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sprístupnenie informácií a dokumentov požadovaných podľa kapitoly IX investorom za podmienok stanovených v článku 94, a to na účely kontroly a získanie kópií;</w:t>
                        </w:r>
                      </w:p>
                      <w:p w:rsidR="00C00871" w:rsidRPr="009D5B18" w:rsidP="00767086">
                        <w:pPr>
                          <w:bidi w:val="0"/>
                          <w:spacing w:before="120" w:beforeAutospacing="0" w:after="24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0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e)</w:t>
                        </w:r>
                      </w:p>
                    </w:tc>
                    <w:tc>
                      <w:tcPr>
                        <w:tcW w:w="6245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P="00767086">
                        <w:pPr>
                          <w:bidi w:val="0"/>
                          <w:spacing w:before="120" w:beforeAutospacing="0" w:after="24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poskytovanie informácií investorom v súvislosti s úlohami, ktoré uvedené zariadenia zabezpečujú, na trvalom médiu; a</w:t>
                        </w:r>
                      </w:p>
                      <w:p w:rsidR="00C00871" w:rsidRPr="009D5B18" w:rsidP="00767086">
                        <w:pPr>
                          <w:bidi w:val="0"/>
                          <w:spacing w:before="120" w:beforeAutospacing="0" w:after="24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0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f)</w:t>
                        </w:r>
                      </w:p>
                    </w:tc>
                    <w:tc>
                      <w:tcPr>
                        <w:tcW w:w="6245" w:type="dxa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A0D1E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 w:rsid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vykonávanie činnosti kontaktného miesta pre komunikáciu s príslušnými orgánmi.</w:t>
                        </w:r>
                      </w:p>
                    </w:tc>
                  </w:tr>
                </w:tbl>
                <w:p w:rsidR="0058152A" w:rsidP="00767086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8152A" w:rsidP="00767086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D5B18" w:rsidP="00767086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   Členské štáty od PKIPCP nevyžadujú fyzickú prítomnosť v hostiteľskom členskom štáte ani ustanovenie tretej strany na účely odseku 1.</w:t>
                  </w:r>
                </w:p>
                <w:p w:rsidR="009D60D8" w:rsidP="009D5B18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D5B18" w:rsidRPr="009D5B18" w:rsidP="00767086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   PKIPCP zabezpečí, aby boli k dispozícii zariadenia na vykonávanie úloh, a to aj elektronicky, uvedených v odseku 1:</w:t>
                  </w:r>
                </w:p>
                <w:tbl>
                  <w:tblPr>
                    <w:tblStyle w:val="TableNormal"/>
                    <w:tblW w:w="4853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"/>
                    <w:gridCol w:w="6053"/>
                  </w:tblGrid>
                  <w:tr>
                    <w:tblPrEx>
                      <w:tblW w:w="4853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v úradnom jazyku alebo v jednom z úradných jazykov členského štátu, v ktorom sa PKIPCP uvádzajú na trh, alebo v jazyku schválenom príslušnými orgánmi uvedeného členského štátu;</w:t>
                        </w:r>
                      </w:p>
                      <w:p w:rsidR="009D60D8" w:rsidRPr="009D5B18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D5B18" w:rsidRPr="009D5B18" w:rsidP="009D5B18">
                  <w:pPr>
                    <w:bidi w:val="0"/>
                    <w:spacing w:before="0" w:beforeAutospacing="0" w:after="0" w:afterAutospacing="0"/>
                    <w:rPr>
                      <w:rFonts w:ascii="Times New Roman" w:hAnsi="Times New Roman"/>
                      <w:vanish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"/>
                    <w:gridCol w:w="6245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874646" w:rsidP="009D5B18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874646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b)</w:t>
                        </w:r>
                      </w:p>
                    </w:tc>
                    <w:tc>
                      <w:tcPr>
                        <w:tcW w:w="643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9D5B18" w:rsidRPr="00874646" w:rsidP="00767086">
                        <w:pPr>
                          <w:bidi w:val="0"/>
                          <w:spacing w:before="120" w:beforeAutospacing="0" w:after="0" w:afterAutospacing="0"/>
                          <w:ind w:right="283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874646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prostredníctvom samotného PKIPCP, tretej strany, ktorá podlieha predpisom a dohľadu, ktoré upravujú úlohy, ktoré sa majú vykonávať, alebo oboch týchto subjektov;</w:t>
                        </w:r>
                      </w:p>
                    </w:tc>
                  </w:tr>
                </w:tbl>
                <w:p w:rsidR="009A0D1E" w:rsidRPr="00874646" w:rsidP="009D5B18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D5B18" w:rsidRPr="009D5B18" w:rsidP="00767086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D5B18" w:rsidRPr="009D5B18" w:rsidP="009D5B18">
            <w:pPr>
              <w:shd w:val="clear" w:color="auto" w:fill="FFFFFF"/>
              <w:bidi w:val="0"/>
              <w:spacing w:before="0" w:beforeAutospacing="0" w:after="0" w:afterAutospacing="0"/>
              <w:rPr>
                <w:rFonts w:ascii="Times New Roman" w:hAnsi="Times New Roman"/>
                <w:vanish/>
                <w:color w:val="000000"/>
                <w:sz w:val="22"/>
                <w:szCs w:val="22"/>
              </w:rPr>
            </w:pPr>
          </w:p>
          <w:p w:rsidR="00162F39" w:rsidRPr="009D5B18" w:rsidP="00D83E5B">
            <w:pPr>
              <w:pStyle w:val="Default"/>
              <w:bidi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2F3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EC0" w:rsidR="002A2757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0C6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4AB7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52A" w:rsidRPr="00D31EC0" w:rsidP="0058152A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E621F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Návrh zákona čl.I</w:t>
            </w:r>
            <w:r w:rsidRPr="00D31EC0" w:rsidR="009D754C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V</w:t>
            </w:r>
          </w:p>
          <w:p w:rsidR="00162F3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2B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2B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0871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2B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2B6" w:rsidRP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22B6" w:rsidRP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1422B6" w:rsidRP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9A4" w:rsidRPr="00D31EC0" w:rsidP="00CF0B93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  <w:p w:rsidR="00481ADF" w:rsidRPr="00D31EC0" w:rsidP="00CF0B93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  <w:p w:rsidR="006E49A4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4E1D1A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 w:rsidR="006E4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46440" w:rsidRPr="00D31EC0" w:rsidP="006E49A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D1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1EC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440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4AB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54AB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E621F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D31EC0" w:rsidR="009128CB">
              <w:rPr>
                <w:rFonts w:ascii="Times New Roman" w:hAnsi="Times New Roman"/>
                <w:sz w:val="22"/>
                <w:szCs w:val="22"/>
              </w:rPr>
              <w:t>14</w:t>
            </w:r>
            <w:r w:rsidRPr="00D31EC0" w:rsidR="00C83676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6F461A">
              <w:rPr>
                <w:rFonts w:ascii="Times New Roman" w:hAnsi="Times New Roman"/>
                <w:sz w:val="22"/>
                <w:szCs w:val="22"/>
              </w:rPr>
              <w:t xml:space="preserve">ods. </w:t>
            </w:r>
            <w:r w:rsidRPr="00D31EC0" w:rsidR="001810AF">
              <w:rPr>
                <w:rFonts w:ascii="Times New Roman" w:hAnsi="Times New Roman"/>
                <w:sz w:val="22"/>
                <w:szCs w:val="22"/>
              </w:rPr>
              <w:t>5</w:t>
            </w:r>
            <w:r w:rsidRPr="00D31EC0" w:rsidR="006F4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63BAB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1422B6">
              <w:rPr>
                <w:rFonts w:ascii="Times New Roman" w:hAnsi="Times New Roman"/>
                <w:sz w:val="22"/>
                <w:szCs w:val="22"/>
              </w:rPr>
              <w:t>§ 144 ods. 9</w:t>
            </w: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612684">
              <w:rPr>
                <w:rFonts w:ascii="Times New Roman" w:hAnsi="Times New Roman"/>
                <w:sz w:val="22"/>
                <w:szCs w:val="22"/>
              </w:rPr>
              <w:t xml:space="preserve">§ 144 </w:t>
            </w:r>
            <w:r w:rsidRPr="00D31EC0" w:rsidR="00F63BAB">
              <w:rPr>
                <w:rFonts w:ascii="Times New Roman" w:hAnsi="Times New Roman"/>
                <w:sz w:val="22"/>
                <w:szCs w:val="22"/>
              </w:rPr>
              <w:t>ods.7</w:t>
            </w: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754C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81ADF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F461A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§ 14</w:t>
            </w:r>
            <w:r w:rsidRPr="00D31EC0" w:rsidR="001A38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F461A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ods.</w:t>
            </w:r>
            <w:r w:rsidRPr="00D31EC0" w:rsidR="004E1D1A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31EC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31EC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46440" w:rsidRPr="00D31EC0" w:rsidP="00246440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§ 141</w:t>
            </w:r>
          </w:p>
          <w:p w:rsidR="00246440" w:rsidRPr="00D31EC0" w:rsidP="00246440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ods.6</w:t>
            </w:r>
          </w:p>
          <w:p w:rsidR="00246440" w:rsidRPr="00D31EC0" w:rsidP="006F461A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D60D8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E1D1A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E1D1A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4AB7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954AB7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954AB7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954AB7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954AB7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954AB7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9D754C" w:rsidRPr="00E80756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 w:rsidR="006F461A">
              <w:rPr>
                <w:rFonts w:ascii="Times New Roman" w:hAnsi="Times New Roman"/>
                <w:sz w:val="22"/>
                <w:szCs w:val="22"/>
              </w:rPr>
              <w:t>(</w:t>
            </w:r>
            <w:r w:rsidRPr="00E80756" w:rsidR="001810AF">
              <w:rPr>
                <w:rFonts w:ascii="Times New Roman" w:hAnsi="Times New Roman"/>
                <w:sz w:val="22"/>
                <w:szCs w:val="22"/>
              </w:rPr>
              <w:t>5</w:t>
            </w:r>
            <w:r w:rsidRPr="00E80756" w:rsidR="006F461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>Pri distribúcii svojich cenných papierov na území Slovenskej republiky je európsky fond povinný v súlade s týmto zákonom a inými všeobecne záväznými právnymi predpismi prijať nevyhnutné opatrenia, aby sa investorom zabezpečilo na území Slovenskej republiky</w:t>
            </w:r>
          </w:p>
          <w:p w:rsidR="009D754C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>
              <w:rPr>
                <w:rFonts w:ascii="Times New Roman" w:hAnsi="Times New Roman"/>
                <w:sz w:val="22"/>
                <w:szCs w:val="22"/>
              </w:rPr>
              <w:t>a)</w:t>
            </w:r>
            <w:r w:rsidR="008D47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>spracovávanie pokynov na vydávanie, vyplatenie alebo odkúpenie cenných papierov európskeho štandardného fondu a vykonávanie iných platieb v prospech investorov európskeho štandardného fondu v súlade s podmienkami ustanovenými v kľúčových informáciách pre investorov, predajnom prospekte, ročnej správe a polročnej správe,</w:t>
            </w:r>
          </w:p>
          <w:p w:rsidR="002815B6" w:rsidRPr="00E80756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D754C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>
              <w:rPr>
                <w:rFonts w:ascii="Times New Roman" w:hAnsi="Times New Roman"/>
                <w:sz w:val="22"/>
                <w:szCs w:val="22"/>
              </w:rPr>
              <w:t>b)</w:t>
            </w:r>
            <w:r w:rsidR="008D47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>poskytovanie informácií o tom, ako možno zadať pokyny uvedené v písmene a) a ako sa vyplácajú výnosy z vyplatenia alebo odkúpenia cenných papierov európskeho štandardného fondu,</w:t>
            </w:r>
          </w:p>
          <w:p w:rsidR="002815B6" w:rsidRPr="00E80756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D754C" w:rsidRPr="00E80756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>
              <w:rPr>
                <w:rFonts w:ascii="Times New Roman" w:hAnsi="Times New Roman"/>
                <w:sz w:val="22"/>
                <w:szCs w:val="22"/>
              </w:rPr>
              <w:t>c)</w:t>
            </w:r>
            <w:r w:rsidR="008D47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zjednodušenie </w:t>
            </w:r>
            <w:r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nakladania s infomáciami a zabezpečil prístup k </w:t>
            </w:r>
            <w:r w:rsidRPr="00E80756">
              <w:rPr>
                <w:rFonts w:ascii="Times New Roman" w:hAnsi="Times New Roman"/>
                <w:b/>
                <w:noProof/>
                <w:sz w:val="22"/>
                <w:szCs w:val="22"/>
              </w:rPr>
              <w:t>postupo</w:t>
            </w:r>
            <w:r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>m</w:t>
            </w:r>
            <w:r w:rsidRPr="00E8075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a mechanizmo</w:t>
            </w:r>
            <w:r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>m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 xml:space="preserve"> vybavovania sťažností investorov týkajúcich sa uplatňovania práv investorov vyplývajúcich z investície do európskeho štandardného fondu, ktorý sa má distribuovať na území Slovenskej republiky,</w:t>
            </w:r>
          </w:p>
          <w:p w:rsidR="009D754C" w:rsidRPr="00E80756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>
              <w:rPr>
                <w:rFonts w:ascii="Times New Roman" w:hAnsi="Times New Roman"/>
                <w:sz w:val="22"/>
                <w:szCs w:val="22"/>
              </w:rPr>
              <w:t>d)</w:t>
            </w:r>
            <w:r w:rsidR="002815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>sprístupnenie kľúčových informácií, predajného prospektu, ročnej správy a polročnej správy, informácií o aktuálnej hodnote podielu, predajnej cene podielu, nákupnej cene podielu a čistej hodnote majetku v európskom štandardnom fonde a marketingových materiálov európskeho štandardného fondu za podmienok ustanovených v odsekoch 1 až 4, a to na účely kontroly a získania kópií týchto dokumentov,</w:t>
            </w:r>
          </w:p>
          <w:p w:rsidR="009D754C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>
              <w:rPr>
                <w:rFonts w:ascii="Times New Roman" w:hAnsi="Times New Roman"/>
                <w:sz w:val="22"/>
                <w:szCs w:val="22"/>
              </w:rPr>
              <w:t>e)</w:t>
            </w:r>
            <w:r w:rsidR="002815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>poskytovanie informácií v súvislosti so zabezpečovaním činností podľa písmen a ) až d) na trvanlivom médiu a</w:t>
            </w:r>
          </w:p>
          <w:p w:rsidR="002815B6" w:rsidRPr="00E80756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D754C" w:rsidRPr="00E80756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>
              <w:rPr>
                <w:rFonts w:ascii="Times New Roman" w:hAnsi="Times New Roman"/>
                <w:sz w:val="22"/>
                <w:szCs w:val="22"/>
              </w:rPr>
              <w:t>f)</w:t>
            </w:r>
            <w:r w:rsidR="002815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6">
              <w:rPr>
                <w:rFonts w:ascii="Times New Roman" w:hAnsi="Times New Roman"/>
                <w:sz w:val="22"/>
                <w:szCs w:val="22"/>
              </w:rPr>
              <w:t>vykonávanie činnosti kontaktného miesta pre komunikáciu s Národnou bankou Slovenska.</w:t>
            </w:r>
          </w:p>
          <w:p w:rsidR="00F63BAB" w:rsidP="009D754C">
            <w:pPr>
              <w:bidi w:val="0"/>
              <w:spacing w:before="120" w:beforeAutospacing="0" w:after="0" w:afterAutospacing="0"/>
              <w:ind w:left="9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756" w:rsidR="009D75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0871" w:rsidP="009D754C">
            <w:pPr>
              <w:bidi w:val="0"/>
              <w:spacing w:before="120" w:beforeAutospacing="0" w:after="0" w:afterAutospacing="0"/>
              <w:ind w:left="9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871" w:rsidRPr="00E80756" w:rsidP="009D754C">
            <w:pPr>
              <w:bidi w:val="0"/>
              <w:spacing w:before="120" w:beforeAutospacing="0" w:after="0" w:afterAutospacing="0"/>
              <w:ind w:left="9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22B6" w:rsidRPr="00E80756" w:rsidP="001422B6">
            <w:pPr>
              <w:pStyle w:val="NoSpacing"/>
              <w:bidi w:val="0"/>
              <w:ind w:left="99"/>
              <w:jc w:val="both"/>
              <w:rPr>
                <w:rFonts w:ascii="Times New Roman" w:hAnsi="Times New Roman"/>
                <w:b/>
                <w:noProof/>
                <w:color w:val="000000" w:themeColor="tx1" w:themeShade="FF"/>
                <w:lang w:eastAsia="sk-SK"/>
              </w:rPr>
            </w:pPr>
            <w:r w:rsidRPr="00E80756">
              <w:rPr>
                <w:rFonts w:ascii="Times New Roman" w:hAnsi="Times New Roman"/>
                <w:b/>
                <w:noProof/>
                <w:color w:val="000000" w:themeColor="tx1" w:themeShade="FF"/>
              </w:rPr>
              <w:t xml:space="preserve">(9) </w:t>
            </w:r>
            <w:r w:rsidRPr="00E80756">
              <w:rPr>
                <w:rFonts w:ascii="Times New Roman" w:hAnsi="Times New Roman"/>
                <w:b/>
                <w:color w:val="000000" w:themeColor="tx1" w:themeShade="FF"/>
                <w:lang w:eastAsia="sk-SK"/>
              </w:rPr>
              <w:t xml:space="preserve">Fyzická prítomnosť európskeho štandardného fondu na území Slovenskej republiky alebo určenie tretej osoby sa </w:t>
            </w:r>
            <w:r w:rsidR="00D31EC0">
              <w:rPr>
                <w:rFonts w:ascii="Times New Roman" w:hAnsi="Times New Roman"/>
                <w:b/>
                <w:color w:val="000000" w:themeColor="tx1" w:themeShade="FF"/>
                <w:lang w:eastAsia="sk-SK"/>
              </w:rPr>
              <w:t>na</w:t>
            </w:r>
            <w:r w:rsidRPr="00E80756">
              <w:rPr>
                <w:rFonts w:ascii="Times New Roman" w:hAnsi="Times New Roman"/>
                <w:b/>
                <w:color w:val="000000" w:themeColor="tx1" w:themeShade="FF"/>
                <w:lang w:eastAsia="sk-SK"/>
              </w:rPr>
              <w:t xml:space="preserve"> účely odseku 5 nevyžaduje</w:t>
            </w:r>
            <w:r w:rsidRPr="00E80756">
              <w:rPr>
                <w:rStyle w:val="y2iqfc"/>
                <w:rFonts w:ascii="Times New Roman" w:hAnsi="Times New Roman"/>
                <w:b/>
                <w:noProof/>
                <w:color w:val="000000" w:themeColor="tx1" w:themeShade="FF"/>
              </w:rPr>
              <w:t>.</w:t>
            </w:r>
            <w:r w:rsidRPr="00E80756">
              <w:rPr>
                <w:rFonts w:ascii="Times New Roman" w:hAnsi="Times New Roman"/>
                <w:b/>
                <w:noProof/>
                <w:color w:val="000000" w:themeColor="tx1" w:themeShade="FF"/>
                <w:lang w:eastAsia="sk-SK"/>
              </w:rPr>
              <w:t xml:space="preserve"> </w:t>
            </w:r>
          </w:p>
          <w:p w:rsidR="00F63BAB" w:rsidRPr="0058152A" w:rsidP="00557B98">
            <w:pPr>
              <w:bidi w:val="0"/>
              <w:spacing w:before="120" w:beforeAutospacing="0" w:after="0" w:afterAutospacing="0"/>
              <w:ind w:left="98"/>
              <w:jc w:val="both"/>
              <w:rPr>
                <w:rFonts w:ascii="Times New Roman" w:hAnsi="Times New Roman"/>
                <w:color w:val="0070C0"/>
              </w:rPr>
            </w:pPr>
          </w:p>
          <w:p w:rsidR="00C00871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658F" w:rsidRPr="00C00871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 w:rsidR="001810AF">
              <w:rPr>
                <w:rFonts w:ascii="Times New Roman" w:hAnsi="Times New Roman"/>
                <w:sz w:val="22"/>
                <w:szCs w:val="22"/>
              </w:rPr>
              <w:t>(7)</w:t>
            </w:r>
            <w:r w:rsidRPr="00C00871" w:rsidR="00F87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Európsky štandardný fond je povinný sprístupniť</w:t>
            </w:r>
            <w:r w:rsidRPr="00D31EC0" w:rsidR="00D31EC0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>a to aj elektronicky,</w:t>
            </w:r>
            <w:r w:rsidRPr="00C00871" w:rsidR="00D31E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informácie o</w:t>
            </w:r>
            <w:r w:rsidRPr="00C00871" w:rsidR="009D754C">
              <w:rPr>
                <w:rFonts w:ascii="Times New Roman" w:hAnsi="Times New Roman"/>
                <w:sz w:val="22"/>
                <w:szCs w:val="22"/>
              </w:rPr>
              <w:t> 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opatreniach</w:t>
            </w:r>
            <w:r w:rsidRPr="00C00871" w:rsidR="009D75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na zabezpečenie plnenia povinností podľa odseku 5</w:t>
            </w:r>
          </w:p>
          <w:p w:rsidR="00A9658F" w:rsidRPr="00C00871" w:rsidP="00A9658F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a)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v slovenskom jazyku alebo v jazyku, ktorý môže na tento účel ustanoviť Národná banka Slovenska vo všeobecne záväznom právnom predpise vydanom podľa osobitného predpisu,</w:t>
            </w:r>
            <w:hyperlink r:id="rId5" w:anchor="poznamky.poznamka-58a" w:tooltip="Odkaz na predpis alebo ustanovenie" w:history="1">
              <w:r w:rsidRPr="00C00871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  <w:vertAlign w:val="superscript"/>
                </w:rPr>
                <w:t>58a</w:t>
              </w:r>
              <w:r w:rsidRPr="00C00871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)</w:t>
              </w:r>
            </w:hyperlink>
          </w:p>
          <w:p w:rsidR="00E16FAD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 w:rsidR="00A9658F">
              <w:rPr>
                <w:rFonts w:ascii="Times New Roman" w:hAnsi="Times New Roman"/>
                <w:sz w:val="22"/>
                <w:szCs w:val="22"/>
              </w:rPr>
              <w:t>b)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 w:rsidR="00A9658F">
              <w:rPr>
                <w:rFonts w:ascii="Times New Roman" w:hAnsi="Times New Roman"/>
                <w:sz w:val="22"/>
                <w:szCs w:val="22"/>
              </w:rPr>
              <w:t>samostatne alebo prostredníctvom tretej osoby podľa </w:t>
            </w:r>
            <w:hyperlink r:id="rId5" w:anchor="paragraf-58" w:tooltip="Odkaz na predpis alebo ustanovenie" w:history="1">
              <w:r w:rsidRPr="006E49A4" w:rsidR="00A9658F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58</w:t>
              </w:r>
            </w:hyperlink>
            <w:r w:rsidRPr="006E49A4" w:rsidR="00A9658F">
              <w:rPr>
                <w:rFonts w:ascii="Times New Roman" w:hAnsi="Times New Roman"/>
                <w:sz w:val="22"/>
                <w:szCs w:val="22"/>
              </w:rPr>
              <w:t> </w:t>
            </w:r>
            <w:r w:rsidRPr="00C00871" w:rsidR="00A9658F">
              <w:rPr>
                <w:rFonts w:ascii="Times New Roman" w:hAnsi="Times New Roman"/>
                <w:sz w:val="22"/>
                <w:szCs w:val="22"/>
              </w:rPr>
              <w:t>oprávnenej na vykonávanie činností podľa odseku 5 alebo obidvoma spôsobmi.</w:t>
            </w:r>
            <w:bookmarkStart w:id="0" w:name="_Hlk47710007"/>
          </w:p>
          <w:p w:rsidR="00481ADF" w:rsidP="00481ADF">
            <w:pPr>
              <w:shd w:val="clear" w:color="auto" w:fill="FFFFFF"/>
              <w:bidi w:val="0"/>
              <w:spacing w:before="120" w:beforeAutospacing="0" w:after="0" w:afterAutospacing="0"/>
              <w:ind w:left="382" w:hanging="3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58a) </w:t>
            </w:r>
            <w:r w:rsidRPr="00481ADF">
              <w:rPr>
                <w:rFonts w:ascii="Times New Roman" w:hAnsi="Times New Roman"/>
                <w:sz w:val="20"/>
                <w:szCs w:val="20"/>
              </w:rPr>
              <w:t xml:space="preserve">§ 1 ods. 3 písm. f) zákona č. 747/2004 Z. z. v </w:t>
            </w:r>
            <w:r w:rsidRPr="00481ADF">
              <w:rPr>
                <w:rFonts w:ascii="Times New Roman" w:hAnsi="Times New Roman"/>
              </w:rPr>
              <w:t xml:space="preserve"> </w:t>
            </w:r>
            <w:r w:rsidRPr="00481ADF">
              <w:rPr>
                <w:rFonts w:ascii="Times New Roman" w:hAnsi="Times New Roman"/>
                <w:sz w:val="20"/>
                <w:szCs w:val="20"/>
              </w:rPr>
              <w:t>znen</w:t>
            </w:r>
            <w:r w:rsidRPr="00481ADF">
              <w:rPr>
                <w:rFonts w:ascii="Times New Roman" w:hAnsi="Times New Roman"/>
              </w:rPr>
              <w:t>í</w:t>
            </w:r>
            <w:r w:rsidRPr="00481ADF">
              <w:rPr>
                <w:rFonts w:ascii="Times New Roman" w:hAnsi="Times New Roman"/>
                <w:sz w:val="20"/>
                <w:szCs w:val="20"/>
              </w:rPr>
              <w:t xml:space="preserve"> zákona č. 373/2014 Z.</w:t>
            </w:r>
            <w:r>
              <w:rPr>
                <w:rFonts w:ascii="Times New Roman" w:hAnsi="Times New Roman"/>
                <w:sz w:val="20"/>
                <w:szCs w:val="20"/>
              </w:rPr>
              <w:t>z.</w:t>
            </w:r>
          </w:p>
          <w:p w:rsidR="00481ADF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End w:id="0"/>
          </w:p>
          <w:p w:rsidR="009D754C" w:rsidRPr="00C00871" w:rsidP="009D754C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 w:rsidR="009D60D8">
              <w:rPr>
                <w:rFonts w:ascii="Times New Roman" w:hAnsi="Times New Roman"/>
                <w:sz w:val="22"/>
                <w:szCs w:val="22"/>
              </w:rPr>
              <w:t>(5)</w:t>
            </w:r>
            <w:r w:rsidRPr="00C00871" w:rsidR="00BC4A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Pri distribúcii cenných papierov štandardného fondu na území hostiteľského členského štátu je správcovská spoločnosť povinná v súlade s príslušnými právnymi predpismi tohto hostiteľského členského štátu prijať nevyhnutné opatrenia, aby sa investorom štandardného fondu zabezpečilo na území tohto hostiteľského členského štátu</w:t>
            </w:r>
          </w:p>
          <w:p w:rsidR="009D754C" w:rsidRPr="00C00871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a)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spracovávanie pokynov na vydávanie, vyplatenie a odkúpenie cenných papierov štandardného fondu a vykonávanie iných platieb v prospech investorov štandardného fondu v súlade s podmienkami ustanovenými v kľúčových informáciách pre investorov, predajnom prospekte, ročnej správe a polročnej správe,</w:t>
            </w:r>
          </w:p>
          <w:p w:rsidR="009D754C" w:rsidRPr="00C00871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b)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poskytovanie informácií o tom, ako možno zadať pokyny uvedené v písmene a) a ako sa vyplácajú výnosy z vyplatenia alebo odkúpenia cenných papierov štandardného fondu,</w:t>
            </w:r>
          </w:p>
          <w:p w:rsidR="009D754C" w:rsidRPr="00C00871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c)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zjednodušenie </w:t>
            </w:r>
            <w:r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nakladania s informáciami a zabezpečil prístup k postupom a mechanizmom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vybavovania sťažností investorov týkajúcich sa uplatňovania práv investorov vyplývajúcich z investície do štandardného fondu, ktorý sa má distribuovať v hostiteľskom členskom štáte štandardného fondu,</w:t>
            </w:r>
          </w:p>
          <w:p w:rsidR="009D754C" w:rsidRPr="00C00871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d)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sprístupnenie informácií a dokumentov podľa </w:t>
            </w:r>
            <w:hyperlink r:id="rId5" w:anchor="paragraf-152" w:tooltip="Odkaz na predpis alebo ustanovenie" w:history="1">
              <w:r w:rsidRPr="006E49A4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152</w:t>
              </w:r>
            </w:hyperlink>
            <w:r w:rsidRPr="006E49A4">
              <w:rPr>
                <w:rFonts w:ascii="Times New Roman" w:hAnsi="Times New Roman"/>
                <w:sz w:val="22"/>
                <w:szCs w:val="22"/>
              </w:rPr>
              <w:t> a </w:t>
            </w:r>
            <w:hyperlink r:id="rId5" w:anchor="paragraf-161.odsek-1" w:tooltip="Odkaz na predpis alebo ustanovenie" w:history="1">
              <w:r w:rsidRPr="006E49A4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161 ods. 1</w:t>
              </w:r>
            </w:hyperlink>
            <w:r w:rsidRPr="00C00871">
              <w:rPr>
                <w:rFonts w:ascii="Times New Roman" w:hAnsi="Times New Roman"/>
                <w:sz w:val="22"/>
                <w:szCs w:val="22"/>
              </w:rPr>
              <w:t> za podmienok ustanovených v tomto paragrafe, a to na účely kontroly a získania kópií týchto dokumentov,</w:t>
            </w:r>
          </w:p>
          <w:p w:rsidR="009D754C" w:rsidRPr="00C00871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e)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poskytovanie informácií v súvislosti so zabezpečovaním činností podľa písmen a) až d) na trvanlivom médiu a</w:t>
            </w:r>
          </w:p>
          <w:p w:rsidR="009D754C" w:rsidRPr="00C00871" w:rsidP="009D754C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871">
              <w:rPr>
                <w:rFonts w:ascii="Times New Roman" w:hAnsi="Times New Roman"/>
                <w:sz w:val="22"/>
                <w:szCs w:val="22"/>
              </w:rPr>
              <w:t>f)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871">
              <w:rPr>
                <w:rFonts w:ascii="Times New Roman" w:hAnsi="Times New Roman"/>
                <w:sz w:val="22"/>
                <w:szCs w:val="22"/>
              </w:rPr>
              <w:t>vykonávanie činnosti kontaktného miesta pre komunikáciu s príslušnými orgánmi dohľadu hostiteľského členského štátu štandardného fondu.</w:t>
            </w:r>
          </w:p>
          <w:p w:rsidR="009D60D8" w:rsidP="00612684">
            <w:pPr>
              <w:pStyle w:val="Normlny"/>
              <w:bidi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8152A" w:rsidR="009D75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246440" w:rsidRPr="00246440" w:rsidP="00246440">
            <w:pPr>
              <w:bidi w:val="0"/>
              <w:spacing w:before="0" w:beforeAutospacing="0" w:after="0" w:afterAutospacing="0"/>
              <w:ind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6440">
              <w:rPr>
                <w:rFonts w:ascii="Times New Roman" w:hAnsi="Times New Roman"/>
                <w:sz w:val="22"/>
                <w:szCs w:val="22"/>
              </w:rPr>
              <w:t>(6) Správcovská spoločnosť je povinná sprístupniť informácie o opatreniach na zabezpečenie plnenia povinností podľa odseku 5</w:t>
            </w:r>
          </w:p>
          <w:p w:rsidR="00246440" w:rsidRPr="00246440" w:rsidP="00246440">
            <w:pPr>
              <w:bidi w:val="0"/>
              <w:spacing w:before="0" w:beforeAutospacing="0" w:after="0" w:afterAutospacing="0"/>
              <w:ind w:left="241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18816921"/>
            <w:bookmarkEnd w:id="1"/>
            <w:r w:rsidRPr="00246440">
              <w:rPr>
                <w:rFonts w:ascii="Times New Roman" w:hAnsi="Times New Roman"/>
                <w:sz w:val="22"/>
                <w:szCs w:val="22"/>
              </w:rPr>
              <w:t>a) v úradnom jazyku alebo v jednom z úradných jazykov hostiteľského členského štátu, v ktorom sa cenné papiere štandardného fondu distribuujú, alebo v jazyku schválenom príslušným orgánom dohľadu tohto hostiteľského členského štátu,</w:t>
            </w:r>
          </w:p>
          <w:p w:rsidR="00246440" w:rsidRPr="00246440" w:rsidP="00246440">
            <w:pPr>
              <w:bidi w:val="0"/>
              <w:spacing w:before="0" w:beforeAutospacing="0" w:after="0" w:afterAutospacing="0"/>
              <w:ind w:left="241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18816922"/>
            <w:bookmarkEnd w:id="2"/>
            <w:r w:rsidRPr="00246440">
              <w:rPr>
                <w:rFonts w:ascii="Times New Roman" w:hAnsi="Times New Roman"/>
                <w:sz w:val="22"/>
                <w:szCs w:val="22"/>
              </w:rPr>
              <w:t>b) samostatne alebo prostredníctvom tretej osoby, na ktorú sa vzťahuje dohľad a právne predpisy, ktoré upravujú činnosti, ktoré sa majú vykonávať, alebo obidvoma spôsobmi.</w:t>
            </w:r>
          </w:p>
          <w:p w:rsidR="00246440" w:rsidRPr="0058152A" w:rsidP="00612684">
            <w:pPr>
              <w:pStyle w:val="Normlny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0C69" w:rsidP="00180C69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0C69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00871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RPr="002153F7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62F39">
            <w:pPr>
              <w:pStyle w:val="Heading1"/>
              <w:bidi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58152A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712FC3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C731F0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C731F0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C731F0" w:rsidP="00F63BAB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63BAB" w:rsidRPr="00F63BAB" w:rsidP="00A9658F">
            <w:pPr>
              <w:bidi w:val="0"/>
              <w:spacing w:before="120" w:beforeAutospacing="0" w:after="0" w:afterAutospacing="0"/>
              <w:ind w:left="99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2F39" w:rsidRPr="00874646" w:rsidP="00874646">
            <w:pPr>
              <w:autoSpaceDE w:val="0"/>
              <w:autoSpaceDN w:val="0"/>
              <w:bidi w:val="0"/>
              <w:spacing w:before="12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646" w:rsidR="002A2757">
              <w:rPr>
                <w:rFonts w:ascii="Times New Roman" w:hAnsi="Times New Roman"/>
                <w:sz w:val="22"/>
                <w:szCs w:val="22"/>
              </w:rPr>
              <w:t>Čl. 1</w:t>
            </w:r>
            <w:r w:rsidRPr="00874646" w:rsidR="00B4700F">
              <w:rPr>
                <w:rFonts w:ascii="Times New Roman" w:hAnsi="Times New Roman"/>
                <w:sz w:val="22"/>
                <w:szCs w:val="22"/>
              </w:rPr>
              <w:t xml:space="preserve"> bod 6</w:t>
            </w:r>
            <w:r w:rsidRPr="00874646" w:rsidR="00AF73CD">
              <w:rPr>
                <w:rFonts w:ascii="Times New Roman" w:hAnsi="Times New Roman"/>
                <w:sz w:val="22"/>
                <w:szCs w:val="22"/>
              </w:rPr>
              <w:t xml:space="preserve"> (čl. 93a ods. 4 smer. 2009/65/ES)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6378" w:type="dxa"/>
              <w:tblInd w:w="24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"/>
              <w:gridCol w:w="6095"/>
            </w:tblGrid>
            <w:tr>
              <w:tblPrEx>
                <w:tblW w:w="6378" w:type="dxa"/>
                <w:tblInd w:w="241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30260C" w:rsidRPr="009D5B18" w:rsidP="0030260C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9"/>
                    <w:gridCol w:w="5626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lrTb"/>
                        <w:vAlign w:val="top"/>
                        <w:hideMark/>
                      </w:tcPr>
                      <w:p w:rsidR="007A7C85" w:rsidRPr="00874646" w:rsidP="007A7C85">
                        <w:pPr>
                          <w:bidi w:val="0"/>
                          <w:spacing w:before="120" w:beforeAutospacing="0" w:after="0" w:afterAutospacing="0" w:line="312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74646">
                          <w:rPr>
                            <w:rFonts w:ascii="Times New Roman" w:hAnsi="Times New Roman"/>
                          </w:rPr>
                          <w:t>6.</w:t>
                        </w:r>
                      </w:p>
                    </w:tc>
                    <w:tc>
                      <w:tcPr>
                        <w:tcW w:w="8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lrTb"/>
                        <w:vAlign w:val="top"/>
                        <w:hideMark/>
                      </w:tcPr>
                      <w:p w:rsidR="007A7C85" w:rsidRPr="00874646" w:rsidP="007A7C85">
                        <w:pPr>
                          <w:bidi w:val="0"/>
                          <w:spacing w:before="120" w:beforeAutospacing="0" w:after="0" w:afterAutospacing="0" w:line="312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74646">
                          <w:rPr>
                            <w:rFonts w:ascii="Times New Roman" w:hAnsi="Times New Roman"/>
                          </w:rPr>
                          <w:t>Vkladá sa tento článok</w:t>
                        </w:r>
                      </w:p>
                    </w:tc>
                  </w:tr>
                </w:tbl>
                <w:p w:rsidR="007A7C85" w:rsidRPr="00874646" w:rsidP="0030260C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</w:rPr>
                  </w:pPr>
                  <w:r w:rsidRPr="00874646">
                    <w:rPr>
                      <w:rFonts w:ascii="Times New Roman" w:hAnsi="Times New Roman"/>
                      <w:i/>
                      <w:iCs/>
                      <w:shd w:val="clear" w:color="auto" w:fill="FFFFFF"/>
                    </w:rPr>
                    <w:t>Článok 93a</w:t>
                  </w:r>
                </w:p>
                <w:p w:rsidR="0030260C" w:rsidRPr="009D5B18" w:rsidP="0030260C">
                  <w:pPr>
                    <w:bidi w:val="0"/>
                    <w:spacing w:before="120" w:beforeAutospacing="0" w:after="0" w:afterAutospacing="0"/>
                    <w:ind w:right="283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7464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   PKIPCP</w:t>
                  </w: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poskytuje investorom, ktorí v ňom naďalej majú investície, ako aj príslušným orgánom domovského členského štátu PKIPCP informácie požadované podľa článkov 68 až 82 a podľa článku 94.</w:t>
                  </w:r>
                </w:p>
                <w:p w:rsidR="0030260C" w:rsidRPr="009D5B18" w:rsidP="0030260C">
                  <w:pPr>
                    <w:bidi w:val="0"/>
                    <w:spacing w:before="60" w:beforeAutospacing="0" w:after="6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2F39" w:rsidRPr="009D5B18" w:rsidP="00D83E5B">
            <w:pPr>
              <w:pStyle w:val="Default"/>
              <w:bidi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62F3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EC0" w:rsidR="002A2757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7E705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705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705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7056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76AA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7056" w:rsidRP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2B6" w:rsidRP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1422B6" w:rsidRPr="00D31EC0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162F39" w:rsidRPr="00D31EC0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7056" w:rsidRPr="00D31EC0" w:rsidP="00FD387D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1F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D31EC0" w:rsidR="009128CB">
              <w:rPr>
                <w:rFonts w:ascii="Times New Roman" w:hAnsi="Times New Roman"/>
                <w:sz w:val="22"/>
                <w:szCs w:val="22"/>
              </w:rPr>
              <w:t>14</w:t>
            </w:r>
            <w:r w:rsidRPr="00D31EC0" w:rsidR="007E7056">
              <w:rPr>
                <w:rFonts w:ascii="Times New Roman" w:hAnsi="Times New Roman"/>
                <w:sz w:val="22"/>
                <w:szCs w:val="22"/>
              </w:rPr>
              <w:t>1</w:t>
            </w:r>
            <w:r w:rsidRPr="00D31EC0" w:rsidR="009128CB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162F39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E7056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DD16DC">
              <w:rPr>
                <w:rFonts w:ascii="Times New Roman" w:hAnsi="Times New Roman"/>
                <w:sz w:val="22"/>
                <w:szCs w:val="22"/>
              </w:rPr>
              <w:t>o</w:t>
            </w:r>
            <w:r w:rsidRPr="00D31EC0" w:rsidR="009D754C">
              <w:rPr>
                <w:rFonts w:ascii="Times New Roman" w:hAnsi="Times New Roman"/>
                <w:sz w:val="22"/>
                <w:szCs w:val="22"/>
              </w:rPr>
              <w:t>ds. 6</w:t>
            </w:r>
          </w:p>
          <w:p w:rsidR="007E7056" w:rsidRPr="00D31EC0" w:rsidP="00162F39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E7056" w:rsidRPr="00D31EC0" w:rsidP="00FD387D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5275" w:type="dxa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255"/>
            </w:tblGrid>
            <w:tr>
              <w:tblPrEx>
                <w:tblW w:w="5275" w:type="dxa"/>
                <w:tblInd w:w="9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845"/>
              </w:trPr>
              <w:tc>
                <w:tcPr>
                  <w:tcW w:w="19" w:type="pc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7E7056" w:rsidRPr="00F8764E" w:rsidP="007E7056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70C0"/>
                    </w:rPr>
                  </w:pPr>
                </w:p>
              </w:tc>
              <w:tc>
                <w:tcPr>
                  <w:tcW w:w="4981" w:type="pc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7E7056" w:rsidRPr="00F8764E" w:rsidP="00D31EC0">
                  <w:pPr>
                    <w:pStyle w:val="ListParagraph"/>
                    <w:bidi w:val="0"/>
                    <w:spacing w:before="240" w:after="120"/>
                    <w:ind w:left="0" w:right="29"/>
                    <w:jc w:val="both"/>
                    <w:rPr>
                      <w:rFonts w:ascii="Times New Roman" w:hAnsi="Times New Roman"/>
                      <w:color w:val="0070C0"/>
                    </w:rPr>
                  </w:pPr>
                  <w:r w:rsidRPr="00DD16DC" w:rsidR="009D754C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Správcovská spoločnosť je povinná poskytovať investorom štandardného fondu na území hostiteľského členského štátu, ktorým v ňom zostali investície, </w:t>
                  </w:r>
                  <w:r w:rsidRPr="00DD16DC" w:rsidR="009D754C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  <w:shd w:val="clear" w:color="auto" w:fill="FFFFFF"/>
                    </w:rPr>
                    <w:t>a</w:t>
                  </w:r>
                  <w:r w:rsidR="00D31EC0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  <w:shd w:val="clear" w:color="auto" w:fill="FFFFFF"/>
                    </w:rPr>
                    <w:t> Národnej banke Slovenska</w:t>
                  </w:r>
                  <w:r w:rsidRPr="00DD16DC" w:rsidR="009D754C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 informácie podľa príslušných právnych predpisov tohto hostiteľského členského štátu obdobné ako podľa </w:t>
                  </w:r>
                  <w:hyperlink r:id="rId5" w:anchor="paragraf-141" w:tooltip="Odkaz na predpis alebo ustanovenie" w:history="1">
                    <w:r w:rsidRPr="00DD16DC" w:rsidR="009D754C">
                      <w:rPr>
                        <w:rStyle w:val="Hyperlink"/>
                        <w:rFonts w:ascii="Times New Roman" w:hAnsi="Times New Roman"/>
                        <w:iCs/>
                        <w:color w:val="auto"/>
                        <w:sz w:val="22"/>
                        <w:szCs w:val="22"/>
                        <w:u w:val="none"/>
                        <w:effect w:val="none"/>
                        <w:shd w:val="clear" w:color="auto" w:fill="FFFFFF"/>
                      </w:rPr>
                      <w:t>§ 141</w:t>
                    </w:r>
                  </w:hyperlink>
                  <w:r w:rsidRPr="00DD16DC" w:rsidR="009D754C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, </w:t>
                  </w:r>
                  <w:hyperlink r:id="rId5" w:anchor="paragraf-152" w:tooltip="Odkaz na predpis alebo ustanovenie" w:history="1">
                    <w:r w:rsidRPr="00DD16DC" w:rsidR="009D754C">
                      <w:rPr>
                        <w:rStyle w:val="Hyperlink"/>
                        <w:rFonts w:ascii="Times New Roman" w:hAnsi="Times New Roman"/>
                        <w:iCs/>
                        <w:color w:val="auto"/>
                        <w:sz w:val="22"/>
                        <w:szCs w:val="22"/>
                        <w:u w:val="none"/>
                        <w:effect w:val="none"/>
                        <w:shd w:val="clear" w:color="auto" w:fill="FFFFFF"/>
                      </w:rPr>
                      <w:t>§ 152 až 159</w:t>
                    </w:r>
                  </w:hyperlink>
                  <w:r w:rsidRPr="00DD16DC" w:rsidR="009D754C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 a </w:t>
                  </w:r>
                  <w:hyperlink r:id="rId5" w:anchor="paragraf-160" w:tooltip="Odkaz na predpis alebo ustanovenie" w:history="1">
                    <w:r w:rsidRPr="00DD16DC" w:rsidR="009D754C">
                      <w:rPr>
                        <w:rStyle w:val="Hyperlink"/>
                        <w:rFonts w:ascii="Times New Roman" w:hAnsi="Times New Roman"/>
                        <w:iCs/>
                        <w:color w:val="auto"/>
                        <w:sz w:val="22"/>
                        <w:szCs w:val="22"/>
                        <w:u w:val="none"/>
                        <w:effect w:val="none"/>
                        <w:shd w:val="clear" w:color="auto" w:fill="FFFFFF"/>
                      </w:rPr>
                      <w:t>§ 160</w:t>
                    </w:r>
                  </w:hyperlink>
                  <w:r w:rsidRPr="00DD16DC" w:rsidR="009D754C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c>
            </w:tr>
          </w:tbl>
          <w:p w:rsidR="00B1183A" w:rsidRPr="007B6307" w:rsidP="00867B3A">
            <w:pPr>
              <w:bidi w:val="0"/>
              <w:spacing w:before="120" w:beforeAutospacing="0" w:after="0" w:afterAutospacing="0"/>
              <w:ind w:right="9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2F39" w:rsidRPr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684" w:rsidR="002A2757">
              <w:rPr>
                <w:rFonts w:ascii="Arial Narrow" w:hAnsi="Arial Narrow"/>
                <w:sz w:val="22"/>
                <w:szCs w:val="22"/>
              </w:rPr>
              <w:t>U</w:t>
            </w:r>
          </w:p>
          <w:p w:rsidR="00532D62" w:rsidRPr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532D62" w:rsidRPr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532D62" w:rsidRPr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532D62" w:rsidRPr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532D62" w:rsidRPr="001422B6" w:rsidP="001422B6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62F39" w:rsidRPr="002153F7" w:rsidP="003172BB">
            <w:pPr>
              <w:pStyle w:val="Heading1"/>
              <w:bidi w:val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1F4" w:rsidRPr="00874646" w:rsidP="00874646">
            <w:pPr>
              <w:autoSpaceDE w:val="0"/>
              <w:autoSpaceDN w:val="0"/>
              <w:bidi w:val="0"/>
              <w:spacing w:before="12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646" w:rsidR="00DE2DB9">
              <w:rPr>
                <w:rFonts w:ascii="Times New Roman" w:hAnsi="Times New Roman"/>
                <w:sz w:val="22"/>
                <w:szCs w:val="22"/>
              </w:rPr>
              <w:t xml:space="preserve">Čl. 2 bod </w:t>
            </w:r>
            <w:r w:rsidRPr="00874646" w:rsidR="00F96805">
              <w:rPr>
                <w:rFonts w:ascii="Times New Roman" w:hAnsi="Times New Roman"/>
                <w:sz w:val="22"/>
                <w:szCs w:val="22"/>
              </w:rPr>
              <w:t xml:space="preserve">4 (čl. 32a ods. 3 3. pododsek smer. 2011/61/EÚ)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6378" w:type="dxa"/>
              <w:tblInd w:w="24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"/>
              <w:gridCol w:w="6095"/>
            </w:tblGrid>
            <w:tr>
              <w:tblPrEx>
                <w:tblW w:w="6378" w:type="dxa"/>
                <w:tblInd w:w="241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E621F4" w:rsidRPr="009D5B18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DD16DC" w:rsidRPr="00874646" w:rsidP="00DD16DC">
                  <w:pPr>
                    <w:shd w:val="clear" w:color="auto" w:fill="FFFFFF"/>
                    <w:bidi w:val="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 w:rsidRPr="00874646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Článok 2</w:t>
                  </w:r>
                </w:p>
                <w:p w:rsidR="00DD16DC" w:rsidRPr="00874646" w:rsidP="00DD16DC">
                  <w:pPr>
                    <w:shd w:val="clear" w:color="auto" w:fill="FFFFFF"/>
                    <w:bidi w:val="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7464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Zmeny smernice 2011/61/EÚ</w:t>
                  </w:r>
                </w:p>
                <w:p w:rsidR="00DD16DC" w:rsidRPr="00874646" w:rsidP="00DD16DC">
                  <w:pPr>
                    <w:shd w:val="clear" w:color="auto" w:fill="FFFFFF"/>
                    <w:bidi w:val="0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4646">
                    <w:rPr>
                      <w:rFonts w:ascii="Times New Roman" w:hAnsi="Times New Roman"/>
                      <w:sz w:val="22"/>
                      <w:szCs w:val="22"/>
                    </w:rPr>
                    <w:t>Smernica 2011/61/EÚ sa mení takto:</w:t>
                  </w: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7"/>
                    <w:gridCol w:w="5638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lrTb"/>
                        <w:vAlign w:val="top"/>
                        <w:hideMark/>
                      </w:tcPr>
                      <w:p w:rsidR="00F96805" w:rsidRPr="00874646" w:rsidP="00F96805">
                        <w:pPr>
                          <w:bidi w:val="0"/>
                          <w:spacing w:before="120" w:beforeAutospacing="0" w:after="0" w:afterAutospacing="0" w:line="312" w:lineRule="atLeast"/>
                          <w:jc w:val="both"/>
                          <w:rPr>
                            <w:rFonts w:ascii="Times New Roman" w:hAnsi="Times New Roman"/>
                            <w:color w:val="444444"/>
                            <w:sz w:val="22"/>
                            <w:szCs w:val="22"/>
                          </w:rPr>
                        </w:pPr>
                        <w:r w:rsidRPr="00874646">
                          <w:rPr>
                            <w:rFonts w:ascii="Times New Roman" w:hAnsi="Times New Roman"/>
                            <w:color w:val="444444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8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lrTb"/>
                        <w:vAlign w:val="top"/>
                        <w:hideMark/>
                      </w:tcPr>
                      <w:p w:rsidR="00F96805" w:rsidRPr="00874646" w:rsidP="00F96805">
                        <w:pPr>
                          <w:bidi w:val="0"/>
                          <w:spacing w:before="120" w:beforeAutospacing="0" w:after="0" w:afterAutospacing="0" w:line="312" w:lineRule="atLeast"/>
                          <w:jc w:val="both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74646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Vkladá sa tento článok:</w:t>
                        </w:r>
                      </w:p>
                    </w:tc>
                  </w:tr>
                </w:tbl>
                <w:p w:rsidR="00E621F4" w:rsidRPr="009D5B18" w:rsidP="00E621F4">
                  <w:pPr>
                    <w:bidi w:val="0"/>
                    <w:spacing w:before="0" w:beforeAutospacing="0" w:after="0" w:afterAutospacing="0"/>
                    <w:rPr>
                      <w:rFonts w:ascii="Times New Roman" w:hAnsi="Times New Roman"/>
                      <w:vanish/>
                      <w:color w:val="000000"/>
                      <w:sz w:val="22"/>
                      <w:szCs w:val="22"/>
                    </w:rPr>
                  </w:pPr>
                </w:p>
                <w:p w:rsidR="00385F7A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E621F4" w:rsidRPr="009D5B18" w:rsidP="00BD00A2">
                  <w:pPr>
                    <w:bidi w:val="0"/>
                    <w:spacing w:before="120" w:beforeAutospacing="0" w:after="0" w:afterAutospacing="0"/>
                    <w:ind w:right="14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Počas obdobia 36 mesiacov od dátumu uvedeného v odseku 1 prvom pododseku písm. c) sa správca AIF nesmie zapojiť do predmarketingu podielových listov alebo akcií AIF z EÚ uvedených v oznámení alebo pokiaľ ide o podobné investičné stratégie alebo investičné zámery v členskom štáte určenom v oznámení uvedenom v odseku 2.</w:t>
                  </w:r>
                </w:p>
              </w:tc>
            </w:tr>
          </w:tbl>
          <w:p w:rsidR="00E621F4" w:rsidRPr="009D5B18" w:rsidP="00E621F4">
            <w:pPr>
              <w:pStyle w:val="Default"/>
              <w:bidi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6805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1F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EC0" w:rsidR="002A2757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3D7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430B1E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6805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00A2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BD00A2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E621F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668B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668B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668B" w:rsidRPr="00D31EC0" w:rsidP="00F96805">
            <w:pPr>
              <w:autoSpaceDE w:val="0"/>
              <w:autoSpaceDN w:val="0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3D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96805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30B1E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D53D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E621F4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D31EC0" w:rsidR="00FE7B54">
              <w:rPr>
                <w:rFonts w:ascii="Times New Roman" w:hAnsi="Times New Roman"/>
                <w:sz w:val="22"/>
                <w:szCs w:val="22"/>
              </w:rPr>
              <w:t>150c</w:t>
            </w:r>
            <w:r w:rsidRPr="00D31EC0" w:rsidR="00C50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A04A2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ods.11</w:t>
            </w:r>
          </w:p>
          <w:p w:rsidR="005A04A2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5A04A2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D53D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D53D7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C668B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C668B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0B1E" w:rsidP="00BD00A2">
            <w:pPr>
              <w:autoSpaceDE w:val="0"/>
              <w:autoSpaceDN w:val="0"/>
              <w:bidi w:val="0"/>
              <w:adjustRightInd w:val="0"/>
              <w:spacing w:before="120" w:beforeAutospacing="0" w:after="0" w:afterAutospacing="0"/>
              <w:ind w:left="136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430B1E" w:rsidP="00BD00A2">
            <w:pPr>
              <w:autoSpaceDE w:val="0"/>
              <w:autoSpaceDN w:val="0"/>
              <w:bidi w:val="0"/>
              <w:adjustRightInd w:val="0"/>
              <w:spacing w:before="120" w:beforeAutospacing="0" w:after="0" w:afterAutospacing="0"/>
              <w:ind w:left="136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430B1E" w:rsidP="00BD00A2">
            <w:pPr>
              <w:autoSpaceDE w:val="0"/>
              <w:autoSpaceDN w:val="0"/>
              <w:bidi w:val="0"/>
              <w:adjustRightInd w:val="0"/>
              <w:spacing w:before="120" w:beforeAutospacing="0" w:after="0" w:afterAutospacing="0"/>
              <w:ind w:left="136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430B1E" w:rsidP="00BD00A2">
            <w:pPr>
              <w:autoSpaceDE w:val="0"/>
              <w:autoSpaceDN w:val="0"/>
              <w:bidi w:val="0"/>
              <w:adjustRightInd w:val="0"/>
              <w:spacing w:before="120" w:beforeAutospacing="0" w:after="0" w:afterAutospacing="0"/>
              <w:ind w:left="136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7D53D7" w:rsidRPr="00F96805" w:rsidP="00BD00A2">
            <w:pPr>
              <w:autoSpaceDE w:val="0"/>
              <w:autoSpaceDN w:val="0"/>
              <w:bidi w:val="0"/>
              <w:adjustRightInd w:val="0"/>
              <w:spacing w:before="120" w:beforeAutospacing="0" w:after="0" w:afterAutospacing="0"/>
              <w:ind w:left="13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805">
              <w:rPr>
                <w:rFonts w:ascii="Times New Roman" w:hAnsi="Times New Roman"/>
                <w:sz w:val="22"/>
                <w:szCs w:val="22"/>
              </w:rPr>
              <w:t xml:space="preserve">(11) </w:t>
            </w:r>
            <w:r w:rsidRPr="00F96805" w:rsidR="001422B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Počas obdobia 36 mesiacov od odvolania oznámenia podľa odseku 1 správcovská spoločnosť podľa odseku 1 nesmie vykonávať predmarketing alternatívneho investičného fondu alebo európskeho alternatívneho investičného fondu uvedených v odvolaní oznámenia podľa odseku 1 </w:t>
            </w:r>
            <w:r w:rsidRPr="00F96805" w:rsidR="001422B6">
              <w:rPr>
                <w:rStyle w:val="y2iqfc"/>
                <w:rFonts w:ascii="Times New Roman" w:hAnsi="Times New Roman"/>
                <w:b/>
                <w:noProof/>
                <w:sz w:val="22"/>
                <w:szCs w:val="22"/>
              </w:rPr>
              <w:t>alebo obdobných investičných stratégií alebo investičných zámerov</w:t>
            </w:r>
            <w:r w:rsidRPr="00F96805" w:rsidR="001422B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v príslušnom hostiteľskom členskom štáte</w:t>
            </w:r>
            <w:r w:rsidRPr="00F9680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21F4" w:rsidRPr="002153F7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2A2757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1F4" w:rsidRPr="002153F7" w:rsidP="00E621F4">
            <w:pPr>
              <w:pStyle w:val="Heading1"/>
              <w:bidi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1F4" w:rsidRPr="00874646" w:rsidP="00874646">
            <w:pPr>
              <w:autoSpaceDE w:val="0"/>
              <w:autoSpaceDN w:val="0"/>
              <w:bidi w:val="0"/>
              <w:spacing w:before="12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646" w:rsidR="00DE2DB9">
              <w:rPr>
                <w:rFonts w:ascii="Times New Roman" w:hAnsi="Times New Roman"/>
                <w:sz w:val="22"/>
                <w:szCs w:val="22"/>
              </w:rPr>
              <w:t>Č</w:t>
            </w:r>
            <w:r w:rsidR="00874646">
              <w:rPr>
                <w:rFonts w:ascii="Times New Roman" w:hAnsi="Times New Roman"/>
                <w:sz w:val="22"/>
                <w:szCs w:val="22"/>
              </w:rPr>
              <w:t>l</w:t>
            </w:r>
            <w:r w:rsidRPr="00874646" w:rsidR="00DE2DB9">
              <w:rPr>
                <w:rFonts w:ascii="Times New Roman" w:hAnsi="Times New Roman"/>
                <w:sz w:val="22"/>
                <w:szCs w:val="22"/>
              </w:rPr>
              <w:t>. 2 bod 6</w:t>
            </w:r>
            <w:r w:rsidRPr="00874646" w:rsidR="00AC0AC0">
              <w:rPr>
                <w:rFonts w:ascii="Times New Roman" w:hAnsi="Times New Roman"/>
                <w:sz w:val="22"/>
                <w:szCs w:val="22"/>
              </w:rPr>
              <w:t xml:space="preserve"> (čl. 43a </w:t>
            </w:r>
            <w:r w:rsidR="00A4224E">
              <w:rPr>
                <w:rFonts w:ascii="Times New Roman" w:hAnsi="Times New Roman"/>
                <w:sz w:val="22"/>
                <w:szCs w:val="22"/>
              </w:rPr>
              <w:t xml:space="preserve">ods.1, ods. 2, ods. 3 písm. a), písm. b) </w:t>
            </w:r>
            <w:r w:rsidRPr="00874646" w:rsidR="00AC0AC0">
              <w:rPr>
                <w:rFonts w:ascii="Times New Roman" w:hAnsi="Times New Roman"/>
                <w:sz w:val="22"/>
                <w:szCs w:val="22"/>
              </w:rPr>
              <w:t xml:space="preserve">smer. 2011/61/EÚ) </w:t>
            </w:r>
            <w:r w:rsidRPr="00874646" w:rsidR="00DE2DB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6378" w:type="dxa"/>
              <w:tblInd w:w="24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"/>
              <w:gridCol w:w="6095"/>
            </w:tblGrid>
            <w:tr>
              <w:tblPrEx>
                <w:tblW w:w="6378" w:type="dxa"/>
                <w:tblInd w:w="241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E621F4" w:rsidRPr="009D5B18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09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E621F4" w:rsidRPr="009D5B18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Vkladá sa tento článok:</w:t>
                  </w:r>
                </w:p>
                <w:p w:rsidR="00E621F4" w:rsidRPr="009D5B18" w:rsidP="00E621F4">
                  <w:pPr>
                    <w:bidi w:val="0"/>
                    <w:spacing w:before="360" w:beforeAutospacing="0" w:after="120" w:afterAutospacing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  <w:t>„Článok 43a</w:t>
                  </w:r>
                </w:p>
                <w:p w:rsidR="00E621F4" w:rsidRPr="009D5B18" w:rsidP="00E621F4">
                  <w:pPr>
                    <w:bidi w:val="0"/>
                    <w:spacing w:before="60" w:beforeAutospacing="0" w:after="120" w:afterAutospacing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Zariadenia, ktoré sú k dispozícii retailovým investorom</w:t>
                  </w:r>
                </w:p>
                <w:p w:rsidR="00E621F4" w:rsidRPr="009D5B18" w:rsidP="00D961DA">
                  <w:pPr>
                    <w:bidi w:val="0"/>
                    <w:spacing w:before="120" w:beforeAutospacing="0" w:after="0" w:afterAutospacing="0"/>
                    <w:ind w:right="14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   Bez toho, aby bol dotknutý článok 26 nariadenia (EÚ) 2015/760, členské štáty zabezpečia, aby správca AIF sprístupnil v každom členskom štáte, v ktorom má v úmysle uvádzať na trh podielové listy alebo akcie AIF pre retailových investorov, zariadenia na vykonávanie týchto úloh:</w:t>
                  </w: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"/>
                    <w:gridCol w:w="5830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6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583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spracovávanie pokynov investorov na upísanie, platbu, odkúpenie a vyplatenie vo vzťahu k podielovým listom alebo akciám AIF v súlade s podmienkami stanovenými v dokumentoch AIF;</w:t>
                        </w:r>
                      </w:p>
                      <w:p w:rsidR="00832B5F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06EF6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6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b)</w:t>
                        </w:r>
                      </w:p>
                    </w:tc>
                    <w:tc>
                      <w:tcPr>
                        <w:tcW w:w="583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poskytovanie informácií investorom o tom, ako možno vykonať pokyny uvedené v písmene a) a ako sa vyplácajú výnosy z odkúpenia a vyplatenia;</w:t>
                        </w:r>
                      </w:p>
                    </w:tc>
                  </w:tr>
                </w:tbl>
                <w:p w:rsidR="00E621F4" w:rsidRPr="009D5B18" w:rsidP="00E621F4">
                  <w:pPr>
                    <w:bidi w:val="0"/>
                    <w:spacing w:before="0" w:beforeAutospacing="0" w:after="0" w:afterAutospacing="0"/>
                    <w:rPr>
                      <w:rFonts w:ascii="Times New Roman" w:hAnsi="Times New Roman"/>
                      <w:vanish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"/>
                    <w:gridCol w:w="5830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7D53D7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c)</w:t>
                        </w:r>
                      </w:p>
                    </w:tc>
                    <w:tc>
                      <w:tcPr>
                        <w:tcW w:w="6293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7D53D7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621F4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uľahčenie nakladania s informáciami týkajúcimi sa uplatňovania práv investorov vyplývajúcich z ich investície do AIF v členskom štáte, v ktorom sa AIF uvádza na trh;</w:t>
                        </w:r>
                      </w:p>
                      <w:p w:rsidR="00D961DA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832B5F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961DA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961DA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1F4" w:rsidRPr="009D5B18" w:rsidP="00E621F4">
                  <w:pPr>
                    <w:bidi w:val="0"/>
                    <w:spacing w:before="0" w:beforeAutospacing="0" w:after="0" w:afterAutospacing="0"/>
                    <w:rPr>
                      <w:rFonts w:ascii="Times New Roman" w:hAnsi="Times New Roman"/>
                      <w:vanish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"/>
                    <w:gridCol w:w="5830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6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d)</w:t>
                        </w:r>
                      </w:p>
                    </w:tc>
                    <w:tc>
                      <w:tcPr>
                        <w:tcW w:w="583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sprístupnenie informácií a dokumentov požadovaných podľa článkov 22 a 23 investorom na účely kontrol a na získanie ich kópií;</w:t>
                        </w:r>
                      </w:p>
                      <w:p w:rsidR="00832B5F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6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e)</w:t>
                        </w:r>
                      </w:p>
                    </w:tc>
                    <w:tc>
                      <w:tcPr>
                        <w:tcW w:w="583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poskytovanie informácií investorom v súvislosti s úlohami, ktoré tieto zariadenia zabezpečujú, na trvalom médiu, ako sa vymedzuje v článku 2 ods. 1 písm. m) smernice 2009/65/ES; a</w:t>
                        </w:r>
                      </w:p>
                      <w:p w:rsidR="006B55A4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6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f)</w:t>
                        </w:r>
                      </w:p>
                    </w:tc>
                    <w:tc>
                      <w:tcPr>
                        <w:tcW w:w="583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pôsobenie v pozícii kontaktného miesta pre komunikáciu s príslušnými orgánmi.</w:t>
                        </w:r>
                      </w:p>
                      <w:p w:rsidR="00612684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1F4" w:rsidRPr="009D5B18" w:rsidP="00D961DA">
                  <w:pPr>
                    <w:bidi w:val="0"/>
                    <w:spacing w:before="120" w:beforeAutospacing="0" w:after="0" w:afterAutospacing="0"/>
                    <w:ind w:right="14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   Členské štáty od správcu AIF nevyžadujú fyzickú prítomnosť v hostiteľskom členskom štáte ani ustanovenie tretej strany na účely odseku 1.</w:t>
                  </w:r>
                </w:p>
                <w:p w:rsidR="001657CD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03F84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961DA" w:rsidRPr="009D5B18" w:rsidP="00E621F4">
                  <w:pPr>
                    <w:bidi w:val="0"/>
                    <w:spacing w:before="120" w:beforeAutospacing="0" w:after="0" w:afterAutospacing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D5B18" w:rsidR="00E621F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   Správca AIF zabezpečí, aby boli k dispozícii zariadenia na vykonávanie úloh, a to aj ele</w:t>
                  </w:r>
                  <w:r w:rsidR="006B55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ktronicky, uvedených v odseku 1</w:t>
                  </w: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"/>
                    <w:gridCol w:w="5830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6293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v úradnom jazyku alebo v jednom z úradných jazykov členského štátu, v ktorom sa AIF uvádza na trh, alebo v jazyku schválenom príslušnými orgánmi uvedeného členského štátu;</w:t>
                        </w:r>
                      </w:p>
                    </w:tc>
                  </w:tr>
                </w:tbl>
                <w:p w:rsidR="00E621F4" w:rsidRPr="009D5B18" w:rsidP="00E621F4">
                  <w:pPr>
                    <w:bidi w:val="0"/>
                    <w:spacing w:before="0" w:beforeAutospacing="0" w:after="0" w:afterAutospacing="0"/>
                    <w:rPr>
                      <w:rFonts w:ascii="Times New Roman" w:hAnsi="Times New Roman"/>
                      <w:vanish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Normal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5"/>
                    <w:gridCol w:w="5830"/>
                  </w:tblGrid>
                  <w:tr>
                    <w:tblPrEx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c>
                      <w:tcPr>
                        <w:tcW w:w="28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RPr="009D5B18" w:rsidP="00E621F4">
                        <w:pPr>
                          <w:bidi w:val="0"/>
                          <w:spacing w:before="120" w:beforeAutospacing="0" w:after="0" w:afterAutospacing="0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b)</w:t>
                        </w:r>
                      </w:p>
                    </w:tc>
                    <w:tc>
                      <w:tcPr>
                        <w:tcW w:w="6293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  <w:hideMark/>
                      </w:tcPr>
                      <w:p w:rsidR="00E621F4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9D5B1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prostredníctvom samotného správcu AIF, tretej strany, ktorá podlieha predpisom a dohľadu, ktoré upravujú úlohy, ktoré sa majú vykonávať, alebo oboch.</w:t>
                        </w:r>
                      </w:p>
                      <w:p w:rsidR="0030409A" w:rsidRPr="009D5B18" w:rsidP="00D961DA">
                        <w:pPr>
                          <w:bidi w:val="0"/>
                          <w:spacing w:before="120" w:beforeAutospacing="0" w:after="0" w:afterAutospacing="0"/>
                          <w:ind w:right="141"/>
                          <w:jc w:val="both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1F4" w:rsidRPr="009D5B18" w:rsidP="00612684">
                  <w:pPr>
                    <w:bidi w:val="0"/>
                    <w:spacing w:before="120" w:beforeAutospacing="0" w:after="0" w:afterAutospacing="0"/>
                    <w:ind w:right="14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21F4" w:rsidRPr="0030409A" w:rsidP="00E621F4">
            <w:pPr>
              <w:pStyle w:val="Default"/>
              <w:bidi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1F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1EC0" w:rsidR="002A2757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6FD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B5F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00A2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BD00A2" w:rsidRPr="00D31EC0" w:rsidP="00BD00A2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E621F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203/2011 a</w:t>
            </w:r>
          </w:p>
          <w:p w:rsidR="00612684" w:rsidRPr="00D31EC0" w:rsidP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Návrh zákona čl.IV</w:t>
            </w:r>
          </w:p>
          <w:p w:rsidR="00612684" w:rsidRPr="00D31EC0" w:rsidP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12684" w:rsidRPr="00D31EC0" w:rsidP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12684" w:rsidRPr="00D31EC0" w:rsidP="0061268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684" w:rsidRPr="00D31EC0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B5F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832B5F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E621F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D31EC0" w:rsidR="00FE7B54">
              <w:rPr>
                <w:rFonts w:ascii="Times New Roman" w:hAnsi="Times New Roman"/>
                <w:sz w:val="22"/>
                <w:szCs w:val="22"/>
              </w:rPr>
              <w:t>1</w:t>
            </w:r>
            <w:r w:rsidRPr="00D31EC0" w:rsidR="006C668B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832B5F">
              <w:rPr>
                <w:rFonts w:ascii="Times New Roman" w:hAnsi="Times New Roman"/>
                <w:sz w:val="22"/>
                <w:szCs w:val="22"/>
              </w:rPr>
              <w:t>o</w:t>
            </w:r>
            <w:r w:rsidRPr="00D31EC0">
              <w:rPr>
                <w:rFonts w:ascii="Times New Roman" w:hAnsi="Times New Roman"/>
                <w:sz w:val="22"/>
                <w:szCs w:val="22"/>
              </w:rPr>
              <w:t>ds. 1</w:t>
            </w:r>
          </w:p>
          <w:p w:rsidR="00E621F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31EC0">
              <w:rPr>
                <w:rFonts w:ascii="Times New Roman" w:hAnsi="Times New Roman"/>
                <w:b/>
                <w:sz w:val="22"/>
                <w:szCs w:val="22"/>
              </w:rPr>
              <w:t>§ 150</w:t>
            </w: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31EC0" w:rsidR="00832B5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D31EC0">
              <w:rPr>
                <w:rFonts w:ascii="Times New Roman" w:hAnsi="Times New Roman"/>
                <w:b/>
                <w:sz w:val="22"/>
                <w:szCs w:val="22"/>
              </w:rPr>
              <w:t>ds. 6</w:t>
            </w: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>
              <w:rPr>
                <w:rFonts w:ascii="Times New Roman" w:hAnsi="Times New Roman"/>
                <w:sz w:val="22"/>
                <w:szCs w:val="22"/>
              </w:rPr>
              <w:t>§ 150</w:t>
            </w: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31EC0" w:rsidR="00832B5F">
              <w:rPr>
                <w:rFonts w:ascii="Times New Roman" w:hAnsi="Times New Roman"/>
                <w:sz w:val="22"/>
                <w:szCs w:val="22"/>
              </w:rPr>
              <w:t>o</w:t>
            </w:r>
            <w:r w:rsidRPr="00D31EC0">
              <w:rPr>
                <w:rFonts w:ascii="Times New Roman" w:hAnsi="Times New Roman"/>
                <w:sz w:val="22"/>
                <w:szCs w:val="22"/>
              </w:rPr>
              <w:t>ds. 3</w:t>
            </w: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61268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12684" w:rsidRPr="00D31EC0" w:rsidP="00E621F4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B5F" w:rsidP="00BD00A2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bookmarkStart w:id="3" w:name="_Hlk52967472"/>
          </w:p>
          <w:p w:rsidR="00832B5F" w:rsidP="00BD00A2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:rsidR="00832B5F" w:rsidP="00BD00A2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:rsidR="00832B5F" w:rsidP="00BD00A2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:rsidR="00BD00A2" w:rsidRPr="00832B5F" w:rsidP="00BD00A2">
            <w:pPr>
              <w:shd w:val="clear" w:color="auto" w:fill="FFFFFF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(1)</w:t>
            </w: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Pri distribúcii cenných papierov alebo majetkových účastí zahraničného alternatívneho investičného fondu na území Slovenskej republiky na základe povolenia podľa </w:t>
            </w:r>
            <w:hyperlink r:id="rId5" w:anchor="paragraf-148" w:tooltip="Odkaz na predpis alebo ustanovenie" w:history="1">
              <w:r w:rsidRPr="00832B5F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148</w:t>
              </w:r>
            </w:hyperlink>
            <w:r w:rsidRPr="00832B5F">
              <w:rPr>
                <w:rFonts w:ascii="Times New Roman" w:hAnsi="Times New Roman"/>
                <w:sz w:val="22"/>
                <w:szCs w:val="22"/>
              </w:rPr>
              <w:t> sú správcovská spoločnosť a zahraničná správcovská spoločnosť povinné zaviesť opatrenia na vykonávanie týchto činností:</w:t>
            </w: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a)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>spracovávanie pokynov na vydávanie, vyplatenie alebo odkúpenie cenných papierov zahraničného alternatívneho investičného fondu a vykonávanie iných platieb v prospech investorov zahraničného alternatívneho investičného fondu v súlade s podmienkami ustanovenými v predajnom prospekte, ročnej správe, polročnej správe alebo v kľúčových informáciách pre investorov, ak sa zostavujú,</w:t>
            </w:r>
          </w:p>
          <w:p w:rsidR="00BD00A2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b)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>poskytovanie informácií investorom o tom, ako možno zadať pokyny uvedené v písmene a) a ako sa vyplácajú výnosy z vyplatenia alebo odkúpenia cenných papierov zahraničného alternatívneho investičného fondu,</w:t>
            </w:r>
          </w:p>
          <w:p w:rsidR="00306EF6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00A2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c)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zjednodušenie </w:t>
            </w:r>
            <w:r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>nakladania s i</w:t>
            </w:r>
            <w:r w:rsidRPr="00832B5F">
              <w:rPr>
                <w:rFonts w:ascii="Times New Roman" w:hAnsi="Times New Roman"/>
                <w:b/>
                <w:noProof/>
                <w:sz w:val="22"/>
                <w:szCs w:val="22"/>
              </w:rPr>
              <w:t>nformáci</w:t>
            </w:r>
            <w:r w:rsidR="00D31EC0">
              <w:rPr>
                <w:rFonts w:ascii="Times New Roman" w:hAnsi="Times New Roman"/>
                <w:b/>
                <w:noProof/>
                <w:sz w:val="22"/>
                <w:szCs w:val="22"/>
              </w:rPr>
              <w:t>ami</w:t>
            </w:r>
            <w:r w:rsidRPr="00832B5F">
              <w:rPr>
                <w:rFonts w:ascii="Times New Roman" w:hAnsi="Times New Roman"/>
                <w:b/>
                <w:noProof/>
                <w:sz w:val="22"/>
                <w:szCs w:val="22"/>
              </w:rPr>
              <w:t>, postupov a mechanizmov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 xml:space="preserve"> týkajúcim sa uplatňovania práv investorov vyplývajúcich z investície do zahraničného alternatívneho investičného fondu, ktorý sa má na území Slovenskej republiky distribuovať neprofesionálnym investorom,</w:t>
            </w:r>
          </w:p>
          <w:p w:rsidR="00306EF6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EF6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EF6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00A2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d)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>sprístupnenie ročnej správy a polročnej správy, predajného prospektu, kľúčových informácií pre investorov, ak sa zostavujú, a informácií podľa </w:t>
            </w:r>
            <w:hyperlink r:id="rId5" w:anchor="paragraf-159a" w:tooltip="Odkaz na predpis alebo ustanovenie" w:history="1">
              <w:r w:rsidRPr="00832B5F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159a</w:t>
              </w:r>
            </w:hyperlink>
            <w:r w:rsidRPr="00832B5F">
              <w:rPr>
                <w:rFonts w:ascii="Times New Roman" w:hAnsi="Times New Roman"/>
                <w:sz w:val="22"/>
                <w:szCs w:val="22"/>
              </w:rPr>
              <w:t> na účely kontroly a získania kópií týchto dokumentov,</w:t>
            </w:r>
          </w:p>
          <w:p w:rsidR="00306EF6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00A2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e)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>poskytovanie informácií investorom v súvislosti so zabezpečovaním činností podľa tohto odseku, pričom informácie sa poskytujú na trvanlivom médiu, a</w:t>
            </w:r>
          </w:p>
          <w:p w:rsidR="00306EF6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sz w:val="22"/>
                <w:szCs w:val="22"/>
              </w:rPr>
              <w:t>f)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>vykonávanie činnosti kontaktného miesta pre komunikáciu s Národnou bankou Slovenska.</w:t>
            </w:r>
          </w:p>
          <w:p w:rsidR="00612684" w:rsidRPr="00832B5F" w:rsidP="00612684">
            <w:pPr>
              <w:widowControl w:val="0"/>
              <w:autoSpaceDE w:val="0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612684" w:rsidRPr="00832B5F" w:rsidP="00612684">
            <w:pPr>
              <w:widowControl w:val="0"/>
              <w:autoSpaceDE w:val="0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(6) </w:t>
            </w:r>
            <w:r w:rsidRPr="00832B5F">
              <w:rPr>
                <w:rFonts w:ascii="Times New Roman" w:hAnsi="Times New Roman"/>
                <w:b/>
                <w:sz w:val="22"/>
                <w:szCs w:val="22"/>
              </w:rPr>
              <w:t xml:space="preserve">Fyzická prítomnosť </w:t>
            </w:r>
            <w:r w:rsidRPr="00832B5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zahraničného alternatívneho investičného fondu </w:t>
            </w:r>
            <w:r w:rsidRPr="00832B5F">
              <w:rPr>
                <w:rFonts w:ascii="Times New Roman" w:hAnsi="Times New Roman"/>
                <w:b/>
                <w:sz w:val="22"/>
                <w:szCs w:val="22"/>
              </w:rPr>
              <w:t xml:space="preserve">na území Slovenskej republiky alebo určenie tretej osoby sa </w:t>
            </w:r>
            <w:r w:rsidR="00D31EC0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r w:rsidRPr="00832B5F">
              <w:rPr>
                <w:rFonts w:ascii="Times New Roman" w:hAnsi="Times New Roman"/>
                <w:b/>
                <w:sz w:val="22"/>
                <w:szCs w:val="22"/>
              </w:rPr>
              <w:t xml:space="preserve"> účely odseku 1 nevyžaduje</w:t>
            </w:r>
            <w:r w:rsidRPr="00832B5F">
              <w:rPr>
                <w:rStyle w:val="y2iqfc"/>
                <w:rFonts w:ascii="Times New Roman" w:hAnsi="Times New Roman"/>
                <w:b/>
                <w:noProof/>
                <w:sz w:val="22"/>
                <w:szCs w:val="22"/>
              </w:rPr>
              <w:t>.</w:t>
            </w:r>
            <w:r w:rsidRPr="00832B5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5F" w:rsidR="006126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 w:rsidR="00306EF6">
              <w:rPr>
                <w:rFonts w:ascii="Times New Roman" w:hAnsi="Times New Roman"/>
                <w:sz w:val="22"/>
                <w:szCs w:val="22"/>
              </w:rPr>
              <w:t>(3)</w:t>
            </w:r>
            <w:r w:rsidR="00306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>Pri distribúcii cenných papierov alebo majetkových účastí zahraničného alternatívneho investičného fondu na území Slovenskej republiky na základe povolenia podľa </w:t>
            </w:r>
            <w:hyperlink r:id="rId5" w:anchor="paragraf-148" w:tooltip="Odkaz na predpis alebo ustanovenie" w:history="1">
              <w:r w:rsidRPr="0030409A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148</w:t>
              </w:r>
            </w:hyperlink>
            <w:r w:rsidRPr="00832B5F">
              <w:rPr>
                <w:rFonts w:ascii="Times New Roman" w:hAnsi="Times New Roman"/>
                <w:sz w:val="22"/>
                <w:szCs w:val="22"/>
              </w:rPr>
              <w:t> správcovská spoločnosť alebo zahraničná správcovská spoločnosť prijme opatrenia</w:t>
            </w:r>
            <w:r w:rsidRPr="00832B5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2B5F">
              <w:rPr>
                <w:rFonts w:ascii="Times New Roman" w:hAnsi="Times New Roman"/>
                <w:b/>
                <w:noProof/>
                <w:sz w:val="22"/>
                <w:szCs w:val="22"/>
                <w:shd w:val="clear" w:color="auto" w:fill="FFFFFF"/>
              </w:rPr>
              <w:t>a to aj elektronicky,</w:t>
            </w:r>
            <w:r w:rsidRPr="00832B5F">
              <w:rPr>
                <w:rFonts w:ascii="Times New Roman" w:hAnsi="Times New Roman"/>
                <w:sz w:val="22"/>
                <w:szCs w:val="22"/>
              </w:rPr>
              <w:t xml:space="preserve"> na vykonávanie činností uvedených v odseku 1 v slovenskom jazyku alebo v jazyku, ktorý na tieto účely môže ustanoviť Národná banka Slovenska vo všeobecne záväznom právnom predpise vydanom podľa osobitného predpisu,</w:t>
            </w:r>
            <w:hyperlink r:id="rId5" w:anchor="poznamky.poznamka-58a" w:tooltip="Odkaz na predpis alebo ustanovenie" w:history="1">
              <w:r w:rsidRPr="00B425CB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  <w:vertAlign w:val="superscript"/>
                </w:rPr>
                <w:t>58a</w:t>
              </w:r>
              <w:r w:rsidRPr="00B425CB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)</w:t>
              </w:r>
            </w:hyperlink>
            <w:r w:rsidRPr="00832B5F">
              <w:rPr>
                <w:rFonts w:ascii="Times New Roman" w:hAnsi="Times New Roman"/>
                <w:sz w:val="22"/>
                <w:szCs w:val="22"/>
              </w:rPr>
              <w:t> samostatne alebo prostredníctvom tretej osoby podľa </w:t>
            </w:r>
            <w:hyperlink r:id="rId5" w:anchor="paragraf-58" w:tooltip="Odkaz na predpis alebo ustanovenie" w:history="1">
              <w:r w:rsidRPr="00B425CB">
                <w:rPr>
                  <w:rStyle w:val="Hyperlink"/>
                  <w:rFonts w:ascii="Times New Roman" w:hAnsi="Times New Roman"/>
                  <w:iCs/>
                  <w:color w:val="auto"/>
                  <w:sz w:val="22"/>
                  <w:szCs w:val="22"/>
                  <w:u w:val="none"/>
                  <w:effect w:val="none"/>
                  <w:shd w:val="clear" w:color="auto" w:fill="auto"/>
                </w:rPr>
                <w:t>§ 58</w:t>
              </w:r>
            </w:hyperlink>
            <w:r w:rsidRPr="00832B5F">
              <w:rPr>
                <w:rFonts w:ascii="Times New Roman" w:hAnsi="Times New Roman"/>
                <w:sz w:val="22"/>
                <w:szCs w:val="22"/>
              </w:rPr>
              <w:t> oprávnenej na vykonávanie činností podľa odseku 1 alebo obidvoma spôsobmi.</w:t>
            </w:r>
          </w:p>
          <w:p w:rsidR="00BD00A2" w:rsidRPr="00832B5F" w:rsidP="00BD00A2">
            <w:pPr>
              <w:shd w:val="clear" w:color="auto" w:fill="FFFFFF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C668B" w:rsidRPr="00D961DA" w:rsidP="00612684">
            <w:pPr>
              <w:widowControl w:val="0"/>
              <w:autoSpaceDE w:val="0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iCs/>
                <w:color w:val="0070C0"/>
              </w:rPr>
            </w:pPr>
            <w:bookmarkEnd w:id="3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21F4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2A2757">
              <w:rPr>
                <w:rFonts w:ascii="Arial Narrow" w:hAnsi="Arial Narrow"/>
                <w:sz w:val="22"/>
                <w:szCs w:val="22"/>
              </w:rPr>
              <w:t>U</w:t>
            </w: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B46FD" w:rsidRPr="002153F7" w:rsidP="00E621F4">
            <w:pPr>
              <w:autoSpaceDE w:val="0"/>
              <w:autoSpaceDN w:val="0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1F4" w:rsidP="00E621F4">
            <w:pPr>
              <w:pStyle w:val="Heading1"/>
              <w:bidi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6B55A4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6B55A4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D961DA" w:rsidRPr="00D961DA" w:rsidP="00D961DA">
            <w:pPr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4C3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162F39" w:rsidRPr="00E030B3" w:rsidP="00162F39">
      <w:pPr>
        <w:bidi w:val="0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E030B3">
        <w:rPr>
          <w:rFonts w:ascii="Arial Narrow" w:hAnsi="Arial Narrow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2F39" w:rsidRPr="00E030B3" w:rsidP="00344B44">
            <w:pPr>
              <w:pStyle w:val="Normlny"/>
              <w:autoSpaceDE/>
              <w:autoSpaceDN/>
              <w:bidi w:val="0"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E030B3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P – číslo (písmeno)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2F39" w:rsidRPr="00E030B3" w:rsidP="00344B44">
            <w:pPr>
              <w:pStyle w:val="Normlny"/>
              <w:autoSpaceDE/>
              <w:autoSpaceDN/>
              <w:bidi w:val="0"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E030B3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2F39" w:rsidRPr="00E030B3" w:rsidP="00344B44">
            <w:pPr>
              <w:pStyle w:val="Normlny"/>
              <w:autoSpaceDE/>
              <w:autoSpaceDN/>
              <w:bidi w:val="0"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E030B3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2F39" w:rsidRPr="00E030B3" w:rsidP="00344B44">
            <w:pPr>
              <w:pStyle w:val="Normlny"/>
              <w:autoSpaceDE/>
              <w:autoSpaceDN/>
              <w:bidi w:val="0"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E030B3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162F39" w:rsidRPr="00E030B3" w:rsidP="00344B44">
            <w:pPr>
              <w:pStyle w:val="BodyTextIndent2"/>
              <w:bidi w:val="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162F39" w:rsidRPr="00E030B3" w:rsidP="00344B44">
            <w:pPr>
              <w:bidi w:val="0"/>
              <w:spacing w:before="0" w:beforeAutospacing="0" w:after="0" w:afterAutospacing="0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162F39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6E47A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6E47A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6E47A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6E47A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6E47AF" w:rsidRPr="002153F7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sectPr>
      <w:footerReference w:type="default" r:id="rId6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Open Sans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8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31EC0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6C668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FD76BE"/>
    <w:multiLevelType w:val="hybridMultilevel"/>
    <w:tmpl w:val="33CEE382"/>
    <w:lvl w:ilvl="0">
      <w:start w:val="1"/>
      <w:numFmt w:val="decimal"/>
      <w:lvlText w:val="(%1)"/>
      <w:lvlJc w:val="left"/>
      <w:pPr>
        <w:ind w:left="-629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-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4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8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5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3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026" w:hanging="180"/>
      </w:pPr>
      <w:rPr>
        <w:rFonts w:cs="Times New Roman"/>
        <w:rtl w:val="0"/>
        <w:cs w:val="0"/>
      </w:rPr>
    </w:lvl>
  </w:abstractNum>
  <w:abstractNum w:abstractNumId="2">
    <w:nsid w:val="09C90950"/>
    <w:multiLevelType w:val="hybridMultilevel"/>
    <w:tmpl w:val="EE48F374"/>
    <w:lvl w:ilvl="0">
      <w:start w:val="5"/>
      <w:numFmt w:val="decimal"/>
      <w:lvlText w:val="(%1)"/>
      <w:lvlJc w:val="left"/>
      <w:pPr>
        <w:ind w:left="24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F76737"/>
    <w:multiLevelType w:val="hybridMultilevel"/>
    <w:tmpl w:val="C66A54A6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4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55745"/>
    <w:multiLevelType w:val="hybridMultilevel"/>
    <w:tmpl w:val="9A0647FC"/>
    <w:lvl w:ilvl="0">
      <w:start w:val="1"/>
      <w:numFmt w:val="lowerLetter"/>
      <w:lvlText w:val="%1)"/>
      <w:lvlJc w:val="left"/>
      <w:pPr>
        <w:ind w:left="184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09" w:hanging="180"/>
      </w:pPr>
      <w:rPr>
        <w:rFonts w:cs="Times New Roman"/>
        <w:rtl w:val="0"/>
        <w:cs w:val="0"/>
      </w:rPr>
    </w:lvl>
  </w:abstractNum>
  <w:abstractNum w:abstractNumId="7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8">
    <w:nsid w:val="17497A59"/>
    <w:multiLevelType w:val="hybridMultilevel"/>
    <w:tmpl w:val="E2AC8FE0"/>
    <w:lvl w:ilvl="0">
      <w:start w:val="2"/>
      <w:numFmt w:val="lowerLetter"/>
      <w:lvlText w:val="%1)"/>
      <w:lvlJc w:val="left"/>
      <w:pPr>
        <w:ind w:left="184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2A5620"/>
    <w:multiLevelType w:val="hybridMultilevel"/>
    <w:tmpl w:val="D37A8B2C"/>
    <w:lvl w:ilvl="0">
      <w:start w:val="1"/>
      <w:numFmt w:val="lowerLetter"/>
      <w:lvlText w:val="%1)"/>
      <w:lvlJc w:val="left"/>
      <w:pPr>
        <w:ind w:left="185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5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cs="Times New Roman"/>
        <w:rtl w:val="0"/>
        <w:cs w:val="0"/>
      </w:rPr>
    </w:lvl>
  </w:abstractNum>
  <w:abstractNum w:abstractNumId="1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21BE31B6"/>
    <w:multiLevelType w:val="hybridMultilevel"/>
    <w:tmpl w:val="A532F480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abstractNum w:abstractNumId="12">
    <w:nsid w:val="22DF790E"/>
    <w:multiLevelType w:val="hybridMultilevel"/>
    <w:tmpl w:val="A36A933E"/>
    <w:lvl w:ilvl="0">
      <w:start w:val="1"/>
      <w:numFmt w:val="decimal"/>
      <w:lvlText w:val="(%1)"/>
      <w:lvlJc w:val="left"/>
      <w:pPr>
        <w:ind w:left="16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cs="Times New Roman"/>
        <w:rtl w:val="0"/>
        <w:cs w:val="0"/>
      </w:rPr>
    </w:lvl>
  </w:abstractNum>
  <w:abstractNum w:abstractNumId="13">
    <w:nsid w:val="266D4F24"/>
    <w:multiLevelType w:val="hybridMultilevel"/>
    <w:tmpl w:val="C99886B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4">
    <w:nsid w:val="286E3C14"/>
    <w:multiLevelType w:val="hybridMultilevel"/>
    <w:tmpl w:val="C66A54A6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15">
    <w:nsid w:val="2CA43A60"/>
    <w:multiLevelType w:val="hybridMultilevel"/>
    <w:tmpl w:val="CE4840E8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CE74469"/>
    <w:multiLevelType w:val="hybridMultilevel"/>
    <w:tmpl w:val="5BECE14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4E7494"/>
    <w:multiLevelType w:val="hybridMultilevel"/>
    <w:tmpl w:val="287A3348"/>
    <w:lvl w:ilvl="0">
      <w:start w:val="1"/>
      <w:numFmt w:val="lowerLetter"/>
      <w:lvlText w:val="%1)"/>
      <w:lvlJc w:val="left"/>
      <w:pPr>
        <w:ind w:left="241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1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8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2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4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75" w:hanging="180"/>
      </w:pPr>
      <w:rPr>
        <w:rFonts w:cs="Times New Roman"/>
        <w:rtl w:val="0"/>
        <w:cs w:val="0"/>
      </w:rPr>
    </w:lvl>
  </w:abstractNum>
  <w:abstractNum w:abstractNumId="18">
    <w:nsid w:val="2FDC3876"/>
    <w:multiLevelType w:val="hybridMultilevel"/>
    <w:tmpl w:val="322E62CE"/>
    <w:lvl w:ilvl="0">
      <w:start w:val="1"/>
      <w:numFmt w:val="decimal"/>
      <w:lvlText w:val="(%1)"/>
      <w:lvlJc w:val="left"/>
      <w:pPr>
        <w:ind w:left="167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0" w:hanging="180"/>
      </w:pPr>
      <w:rPr>
        <w:rFonts w:cs="Times New Roman"/>
        <w:rtl w:val="0"/>
        <w:cs w:val="0"/>
      </w:rPr>
    </w:lvl>
  </w:abstractNum>
  <w:abstractNum w:abstractNumId="19">
    <w:nsid w:val="33E10911"/>
    <w:multiLevelType w:val="hybridMultilevel"/>
    <w:tmpl w:val="48E84B02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80E47"/>
    <w:multiLevelType w:val="hybridMultilevel"/>
    <w:tmpl w:val="B2C492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A20FE4"/>
    <w:multiLevelType w:val="hybridMultilevel"/>
    <w:tmpl w:val="8F7E3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4">
    <w:nsid w:val="464E6845"/>
    <w:multiLevelType w:val="hybridMultilevel"/>
    <w:tmpl w:val="31EA5B8E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CB57BF4"/>
    <w:multiLevelType w:val="hybridMultilevel"/>
    <w:tmpl w:val="6AAA5F84"/>
    <w:lvl w:ilvl="0">
      <w:start w:val="1"/>
      <w:numFmt w:val="decimal"/>
      <w:lvlText w:val="(%1)"/>
      <w:lvlJc w:val="left"/>
      <w:pPr>
        <w:ind w:left="49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1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3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5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7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9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1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3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59" w:hanging="180"/>
      </w:pPr>
      <w:rPr>
        <w:rFonts w:cs="Times New Roman"/>
        <w:rtl w:val="0"/>
        <w:cs w:val="0"/>
      </w:rPr>
    </w:lvl>
  </w:abstractNum>
  <w:abstractNum w:abstractNumId="28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A3849"/>
    <w:multiLevelType w:val="hybridMultilevel"/>
    <w:tmpl w:val="C066C100"/>
    <w:lvl w:ilvl="0">
      <w:start w:val="1"/>
      <w:numFmt w:val="decimal"/>
      <w:lvlText w:val="(%1)"/>
      <w:lvlJc w:val="left"/>
      <w:pPr>
        <w:ind w:left="413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43" w:hanging="180"/>
      </w:pPr>
      <w:rPr>
        <w:rFonts w:cs="Times New Roman"/>
        <w:rtl w:val="0"/>
        <w:cs w:val="0"/>
      </w:rPr>
    </w:lvl>
  </w:abstractNum>
  <w:abstractNum w:abstractNumId="31">
    <w:nsid w:val="5E6171F8"/>
    <w:multiLevelType w:val="hybridMultilevel"/>
    <w:tmpl w:val="19B23600"/>
    <w:lvl w:ilvl="0">
      <w:start w:val="1"/>
      <w:numFmt w:val="lowerLetter"/>
      <w:lvlText w:val="%1)"/>
      <w:lvlJc w:val="left"/>
      <w:pPr>
        <w:ind w:left="284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cs="Times New Roman"/>
        <w:rtl w:val="0"/>
        <w:cs w:val="0"/>
      </w:rPr>
    </w:lvl>
  </w:abstractNum>
  <w:abstractNum w:abstractNumId="32">
    <w:nsid w:val="65523604"/>
    <w:multiLevelType w:val="hybridMultilevel"/>
    <w:tmpl w:val="FE746A6A"/>
    <w:lvl w:ilvl="0">
      <w:start w:val="1"/>
      <w:numFmt w:val="lowerLetter"/>
      <w:lvlText w:val="%1)"/>
      <w:lvlJc w:val="left"/>
      <w:pPr>
        <w:ind w:left="184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09" w:hanging="180"/>
      </w:pPr>
      <w:rPr>
        <w:rFonts w:cs="Times New Roman"/>
        <w:rtl w:val="0"/>
        <w:cs w:val="0"/>
      </w:rPr>
    </w:lvl>
  </w:abstractNum>
  <w:abstractNum w:abstractNumId="33">
    <w:nsid w:val="663670ED"/>
    <w:multiLevelType w:val="hybridMultilevel"/>
    <w:tmpl w:val="2CF05F98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4">
    <w:nsid w:val="705E13AA"/>
    <w:multiLevelType w:val="hybridMultilevel"/>
    <w:tmpl w:val="75F4829E"/>
    <w:lvl w:ilvl="0">
      <w:start w:val="1"/>
      <w:numFmt w:val="decimal"/>
      <w:lvlText w:val="(%1)"/>
      <w:lvlJc w:val="left"/>
      <w:pPr>
        <w:ind w:left="61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35">
    <w:nsid w:val="71395D7E"/>
    <w:multiLevelType w:val="hybridMultilevel"/>
    <w:tmpl w:val="1E38BB04"/>
    <w:lvl w:ilvl="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36">
    <w:nsid w:val="719065AB"/>
    <w:multiLevelType w:val="hybridMultilevel"/>
    <w:tmpl w:val="5142D162"/>
    <w:lvl w:ilvl="0">
      <w:start w:val="1"/>
      <w:numFmt w:val="lowerLetter"/>
      <w:lvlText w:val="%1)"/>
      <w:lvlJc w:val="left"/>
      <w:pPr>
        <w:ind w:left="211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78" w:hanging="180"/>
      </w:pPr>
      <w:rPr>
        <w:rFonts w:cs="Times New Roman"/>
        <w:rtl w:val="0"/>
        <w:cs w:val="0"/>
      </w:rPr>
    </w:lvl>
  </w:abstractNum>
  <w:abstractNum w:abstractNumId="37">
    <w:nsid w:val="72236C24"/>
    <w:multiLevelType w:val="hybridMultilevel"/>
    <w:tmpl w:val="E10AFBE8"/>
    <w:lvl w:ilvl="0">
      <w:start w:val="1"/>
      <w:numFmt w:val="lowerLetter"/>
      <w:lvlText w:val="%1)"/>
      <w:lvlJc w:val="left"/>
      <w:pPr>
        <w:ind w:left="61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38">
    <w:nsid w:val="7AE87458"/>
    <w:multiLevelType w:val="hybridMultilevel"/>
    <w:tmpl w:val="4316F708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9">
    <w:nsid w:val="7B6A68DF"/>
    <w:multiLevelType w:val="hybridMultilevel"/>
    <w:tmpl w:val="1AC4128E"/>
    <w:lvl w:ilvl="0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0">
    <w:nsid w:val="7B9B3FBF"/>
    <w:multiLevelType w:val="hybridMultilevel"/>
    <w:tmpl w:val="0BD4FDE4"/>
    <w:lvl w:ilvl="0">
      <w:start w:val="1"/>
      <w:numFmt w:val="decimal"/>
      <w:lvlText w:val="(%1)"/>
      <w:lvlJc w:val="left"/>
      <w:pPr>
        <w:ind w:left="1534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9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23"/>
  </w:num>
  <w:num w:numId="4">
    <w:abstractNumId w:val="23"/>
    <w:lvlOverride w:ilvl="0">
      <w:startOverride w:val="2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29"/>
  </w:num>
  <w:num w:numId="12">
    <w:abstractNumId w:val="5"/>
  </w:num>
  <w:num w:numId="13">
    <w:abstractNumId w:val="28"/>
  </w:num>
  <w:num w:numId="14">
    <w:abstractNumId w:val="4"/>
  </w:num>
  <w:num w:numId="15">
    <w:abstractNumId w:val="26"/>
  </w:num>
  <w:num w:numId="16">
    <w:abstractNumId w:val="22"/>
  </w:num>
  <w:num w:numId="17">
    <w:abstractNumId w:val="19"/>
  </w:num>
  <w:num w:numId="18">
    <w:abstractNumId w:val="24"/>
  </w:num>
  <w:num w:numId="19">
    <w:abstractNumId w:val="38"/>
  </w:num>
  <w:num w:numId="20">
    <w:abstractNumId w:val="13"/>
  </w:num>
  <w:num w:numId="21">
    <w:abstractNumId w:val="15"/>
  </w:num>
  <w:num w:numId="22">
    <w:abstractNumId w:val="34"/>
  </w:num>
  <w:num w:numId="23">
    <w:abstractNumId w:val="17"/>
  </w:num>
  <w:num w:numId="24">
    <w:abstractNumId w:val="37"/>
  </w:num>
  <w:num w:numId="25">
    <w:abstractNumId w:val="1"/>
  </w:num>
  <w:num w:numId="26">
    <w:abstractNumId w:val="36"/>
  </w:num>
  <w:num w:numId="27">
    <w:abstractNumId w:val="12"/>
  </w:num>
  <w:num w:numId="28">
    <w:abstractNumId w:val="31"/>
  </w:num>
  <w:num w:numId="29">
    <w:abstractNumId w:val="27"/>
  </w:num>
  <w:num w:numId="30">
    <w:abstractNumId w:val="18"/>
  </w:num>
  <w:num w:numId="31">
    <w:abstractNumId w:val="2"/>
  </w:num>
  <w:num w:numId="32">
    <w:abstractNumId w:val="32"/>
  </w:num>
  <w:num w:numId="33">
    <w:abstractNumId w:val="6"/>
  </w:num>
  <w:num w:numId="34">
    <w:abstractNumId w:val="8"/>
  </w:num>
  <w:num w:numId="35">
    <w:abstractNumId w:val="40"/>
  </w:num>
  <w:num w:numId="36">
    <w:abstractNumId w:val="21"/>
  </w:num>
  <w:num w:numId="37">
    <w:abstractNumId w:val="35"/>
  </w:num>
  <w:num w:numId="38">
    <w:abstractNumId w:val="33"/>
  </w:num>
  <w:num w:numId="39">
    <w:abstractNumId w:val="3"/>
  </w:num>
  <w:num w:numId="40">
    <w:abstractNumId w:val="9"/>
  </w:num>
  <w:num w:numId="41">
    <w:abstractNumId w:val="11"/>
  </w:num>
  <w:num w:numId="42">
    <w:abstractNumId w:val="14"/>
  </w:num>
  <w:num w:numId="43">
    <w:abstractNumId w:val="30"/>
  </w:num>
  <w:num w:numId="44">
    <w:abstractNumId w:val="3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0825"/>
    <w:rsid w:val="000033C4"/>
    <w:rsid w:val="00023207"/>
    <w:rsid w:val="000432A6"/>
    <w:rsid w:val="00044B40"/>
    <w:rsid w:val="00045E2C"/>
    <w:rsid w:val="00054907"/>
    <w:rsid w:val="00082912"/>
    <w:rsid w:val="00085854"/>
    <w:rsid w:val="00093769"/>
    <w:rsid w:val="000A11DA"/>
    <w:rsid w:val="000B1D95"/>
    <w:rsid w:val="000B3D14"/>
    <w:rsid w:val="000C09DB"/>
    <w:rsid w:val="000C2E53"/>
    <w:rsid w:val="000C62ED"/>
    <w:rsid w:val="000C7690"/>
    <w:rsid w:val="000E1B28"/>
    <w:rsid w:val="000E5DD7"/>
    <w:rsid w:val="000E689A"/>
    <w:rsid w:val="00102B75"/>
    <w:rsid w:val="001076AA"/>
    <w:rsid w:val="00122932"/>
    <w:rsid w:val="00127033"/>
    <w:rsid w:val="00135528"/>
    <w:rsid w:val="001364EF"/>
    <w:rsid w:val="00140EDC"/>
    <w:rsid w:val="001422B6"/>
    <w:rsid w:val="00153B33"/>
    <w:rsid w:val="00162F39"/>
    <w:rsid w:val="001657CD"/>
    <w:rsid w:val="0017562A"/>
    <w:rsid w:val="0017797B"/>
    <w:rsid w:val="00180C69"/>
    <w:rsid w:val="001810AF"/>
    <w:rsid w:val="00182787"/>
    <w:rsid w:val="00185E6D"/>
    <w:rsid w:val="001900EB"/>
    <w:rsid w:val="001915C9"/>
    <w:rsid w:val="0019277E"/>
    <w:rsid w:val="001948CC"/>
    <w:rsid w:val="001A3887"/>
    <w:rsid w:val="001B254B"/>
    <w:rsid w:val="001C487F"/>
    <w:rsid w:val="001D154F"/>
    <w:rsid w:val="001D59AD"/>
    <w:rsid w:val="001E2365"/>
    <w:rsid w:val="001F5D69"/>
    <w:rsid w:val="0021426F"/>
    <w:rsid w:val="002153F7"/>
    <w:rsid w:val="00217BF4"/>
    <w:rsid w:val="002229D7"/>
    <w:rsid w:val="002236EE"/>
    <w:rsid w:val="002257C9"/>
    <w:rsid w:val="00225CF4"/>
    <w:rsid w:val="0023046B"/>
    <w:rsid w:val="00241AA3"/>
    <w:rsid w:val="00246440"/>
    <w:rsid w:val="00250283"/>
    <w:rsid w:val="00266DA1"/>
    <w:rsid w:val="00270E65"/>
    <w:rsid w:val="00271A7E"/>
    <w:rsid w:val="002815B6"/>
    <w:rsid w:val="00282BD1"/>
    <w:rsid w:val="00294E54"/>
    <w:rsid w:val="002A2757"/>
    <w:rsid w:val="002B1E92"/>
    <w:rsid w:val="002C2B0C"/>
    <w:rsid w:val="002C503A"/>
    <w:rsid w:val="002E1D16"/>
    <w:rsid w:val="002F16A9"/>
    <w:rsid w:val="0030260C"/>
    <w:rsid w:val="0030409A"/>
    <w:rsid w:val="003063D9"/>
    <w:rsid w:val="00306EF6"/>
    <w:rsid w:val="003172BB"/>
    <w:rsid w:val="00321521"/>
    <w:rsid w:val="00325F1C"/>
    <w:rsid w:val="00326A23"/>
    <w:rsid w:val="00333A53"/>
    <w:rsid w:val="00342851"/>
    <w:rsid w:val="00344B44"/>
    <w:rsid w:val="00345B09"/>
    <w:rsid w:val="00346101"/>
    <w:rsid w:val="003468D4"/>
    <w:rsid w:val="0035758B"/>
    <w:rsid w:val="00367159"/>
    <w:rsid w:val="00380F43"/>
    <w:rsid w:val="003838FB"/>
    <w:rsid w:val="00385F7A"/>
    <w:rsid w:val="00391DC5"/>
    <w:rsid w:val="003B6BBB"/>
    <w:rsid w:val="003B7AFF"/>
    <w:rsid w:val="003D2266"/>
    <w:rsid w:val="003E2B3D"/>
    <w:rsid w:val="003E5A3C"/>
    <w:rsid w:val="003E7B78"/>
    <w:rsid w:val="003F5C68"/>
    <w:rsid w:val="00401433"/>
    <w:rsid w:val="00417AD4"/>
    <w:rsid w:val="004219E0"/>
    <w:rsid w:val="00424270"/>
    <w:rsid w:val="00424A65"/>
    <w:rsid w:val="00430B1E"/>
    <w:rsid w:val="00440A2A"/>
    <w:rsid w:val="004434E9"/>
    <w:rsid w:val="004577EC"/>
    <w:rsid w:val="00471105"/>
    <w:rsid w:val="004812CA"/>
    <w:rsid w:val="00481ADF"/>
    <w:rsid w:val="00484790"/>
    <w:rsid w:val="004930E0"/>
    <w:rsid w:val="00494CFC"/>
    <w:rsid w:val="004A288E"/>
    <w:rsid w:val="004B34BD"/>
    <w:rsid w:val="004B5A48"/>
    <w:rsid w:val="004D155B"/>
    <w:rsid w:val="004D7304"/>
    <w:rsid w:val="004E0B44"/>
    <w:rsid w:val="004E1D1A"/>
    <w:rsid w:val="004F1F90"/>
    <w:rsid w:val="004F6C21"/>
    <w:rsid w:val="0050517D"/>
    <w:rsid w:val="00510804"/>
    <w:rsid w:val="00513669"/>
    <w:rsid w:val="005170A9"/>
    <w:rsid w:val="00532929"/>
    <w:rsid w:val="00532D62"/>
    <w:rsid w:val="005452F8"/>
    <w:rsid w:val="00557B98"/>
    <w:rsid w:val="00561781"/>
    <w:rsid w:val="0057138A"/>
    <w:rsid w:val="0058152A"/>
    <w:rsid w:val="0058239E"/>
    <w:rsid w:val="005947B8"/>
    <w:rsid w:val="005A04A2"/>
    <w:rsid w:val="005A1508"/>
    <w:rsid w:val="005A4CFF"/>
    <w:rsid w:val="005A5EED"/>
    <w:rsid w:val="005D168D"/>
    <w:rsid w:val="005D2A10"/>
    <w:rsid w:val="005D4A2D"/>
    <w:rsid w:val="005E0477"/>
    <w:rsid w:val="005E147F"/>
    <w:rsid w:val="005E29C5"/>
    <w:rsid w:val="005F4F18"/>
    <w:rsid w:val="00601F13"/>
    <w:rsid w:val="00604B01"/>
    <w:rsid w:val="00610398"/>
    <w:rsid w:val="00612684"/>
    <w:rsid w:val="0064397E"/>
    <w:rsid w:val="00647B9A"/>
    <w:rsid w:val="00656B18"/>
    <w:rsid w:val="00656E27"/>
    <w:rsid w:val="006662FB"/>
    <w:rsid w:val="0068235D"/>
    <w:rsid w:val="00683A6B"/>
    <w:rsid w:val="006A1D7B"/>
    <w:rsid w:val="006B2EB1"/>
    <w:rsid w:val="006B55A4"/>
    <w:rsid w:val="006C668B"/>
    <w:rsid w:val="006D6CF1"/>
    <w:rsid w:val="006E47AF"/>
    <w:rsid w:val="006E49A4"/>
    <w:rsid w:val="006E689D"/>
    <w:rsid w:val="006F461A"/>
    <w:rsid w:val="006F70AE"/>
    <w:rsid w:val="00712FC3"/>
    <w:rsid w:val="007162B7"/>
    <w:rsid w:val="0072380B"/>
    <w:rsid w:val="0073389B"/>
    <w:rsid w:val="00735D25"/>
    <w:rsid w:val="00742DA6"/>
    <w:rsid w:val="00745A3B"/>
    <w:rsid w:val="007537CE"/>
    <w:rsid w:val="0076366F"/>
    <w:rsid w:val="00767086"/>
    <w:rsid w:val="00773A4D"/>
    <w:rsid w:val="0078287E"/>
    <w:rsid w:val="007872B7"/>
    <w:rsid w:val="00796A51"/>
    <w:rsid w:val="007A3407"/>
    <w:rsid w:val="007A7C09"/>
    <w:rsid w:val="007A7C85"/>
    <w:rsid w:val="007B6307"/>
    <w:rsid w:val="007C28AB"/>
    <w:rsid w:val="007D53D7"/>
    <w:rsid w:val="007E6410"/>
    <w:rsid w:val="007E7056"/>
    <w:rsid w:val="00805684"/>
    <w:rsid w:val="00806BB0"/>
    <w:rsid w:val="00807D3E"/>
    <w:rsid w:val="00826E45"/>
    <w:rsid w:val="00832B5F"/>
    <w:rsid w:val="008370B3"/>
    <w:rsid w:val="00845C69"/>
    <w:rsid w:val="0085085C"/>
    <w:rsid w:val="00851837"/>
    <w:rsid w:val="0085688F"/>
    <w:rsid w:val="00857A75"/>
    <w:rsid w:val="00861E2E"/>
    <w:rsid w:val="0086278A"/>
    <w:rsid w:val="00867B3A"/>
    <w:rsid w:val="00872278"/>
    <w:rsid w:val="00874646"/>
    <w:rsid w:val="008A0B4B"/>
    <w:rsid w:val="008A5161"/>
    <w:rsid w:val="008A635A"/>
    <w:rsid w:val="008B7688"/>
    <w:rsid w:val="008C0A9E"/>
    <w:rsid w:val="008C54C3"/>
    <w:rsid w:val="008D458A"/>
    <w:rsid w:val="008D4725"/>
    <w:rsid w:val="008D47A4"/>
    <w:rsid w:val="008E2791"/>
    <w:rsid w:val="008F1E95"/>
    <w:rsid w:val="009004A8"/>
    <w:rsid w:val="009128CB"/>
    <w:rsid w:val="0091636B"/>
    <w:rsid w:val="00916B73"/>
    <w:rsid w:val="0093354F"/>
    <w:rsid w:val="0093685F"/>
    <w:rsid w:val="00954AB7"/>
    <w:rsid w:val="009612CE"/>
    <w:rsid w:val="009675C4"/>
    <w:rsid w:val="009719C2"/>
    <w:rsid w:val="00974B24"/>
    <w:rsid w:val="00975B0C"/>
    <w:rsid w:val="009826E3"/>
    <w:rsid w:val="00986D0B"/>
    <w:rsid w:val="00991880"/>
    <w:rsid w:val="009A0D1E"/>
    <w:rsid w:val="009A1BB9"/>
    <w:rsid w:val="009C4901"/>
    <w:rsid w:val="009C5E2D"/>
    <w:rsid w:val="009D3258"/>
    <w:rsid w:val="009D5B18"/>
    <w:rsid w:val="009D60D8"/>
    <w:rsid w:val="009D754C"/>
    <w:rsid w:val="009E0AC7"/>
    <w:rsid w:val="009F601A"/>
    <w:rsid w:val="009F77A5"/>
    <w:rsid w:val="00A02F9A"/>
    <w:rsid w:val="00A03ACF"/>
    <w:rsid w:val="00A16B41"/>
    <w:rsid w:val="00A17274"/>
    <w:rsid w:val="00A3185B"/>
    <w:rsid w:val="00A4224E"/>
    <w:rsid w:val="00A4695C"/>
    <w:rsid w:val="00A47BED"/>
    <w:rsid w:val="00A52A6D"/>
    <w:rsid w:val="00A56859"/>
    <w:rsid w:val="00A56F58"/>
    <w:rsid w:val="00A61517"/>
    <w:rsid w:val="00A62CE4"/>
    <w:rsid w:val="00A75EA4"/>
    <w:rsid w:val="00A856BA"/>
    <w:rsid w:val="00A87C8A"/>
    <w:rsid w:val="00A9063F"/>
    <w:rsid w:val="00A91B17"/>
    <w:rsid w:val="00A9658F"/>
    <w:rsid w:val="00AA227A"/>
    <w:rsid w:val="00AA55DA"/>
    <w:rsid w:val="00AB46FD"/>
    <w:rsid w:val="00AB7D27"/>
    <w:rsid w:val="00AC0AC0"/>
    <w:rsid w:val="00AD50AE"/>
    <w:rsid w:val="00AD606C"/>
    <w:rsid w:val="00AE3AEA"/>
    <w:rsid w:val="00AE663E"/>
    <w:rsid w:val="00AF6011"/>
    <w:rsid w:val="00AF73CD"/>
    <w:rsid w:val="00B067A6"/>
    <w:rsid w:val="00B1183A"/>
    <w:rsid w:val="00B4035A"/>
    <w:rsid w:val="00B425CB"/>
    <w:rsid w:val="00B46A56"/>
    <w:rsid w:val="00B4700F"/>
    <w:rsid w:val="00B50DF3"/>
    <w:rsid w:val="00B64B09"/>
    <w:rsid w:val="00B67FBD"/>
    <w:rsid w:val="00B87EBC"/>
    <w:rsid w:val="00B918DE"/>
    <w:rsid w:val="00B931C3"/>
    <w:rsid w:val="00B95416"/>
    <w:rsid w:val="00BA300C"/>
    <w:rsid w:val="00BB1D59"/>
    <w:rsid w:val="00BC499A"/>
    <w:rsid w:val="00BC4AE6"/>
    <w:rsid w:val="00BD00A2"/>
    <w:rsid w:val="00BD0A66"/>
    <w:rsid w:val="00BD55E7"/>
    <w:rsid w:val="00C00871"/>
    <w:rsid w:val="00C11BCA"/>
    <w:rsid w:val="00C139A5"/>
    <w:rsid w:val="00C13D1F"/>
    <w:rsid w:val="00C21CEF"/>
    <w:rsid w:val="00C24B3E"/>
    <w:rsid w:val="00C2594E"/>
    <w:rsid w:val="00C2723E"/>
    <w:rsid w:val="00C33C3C"/>
    <w:rsid w:val="00C34EF5"/>
    <w:rsid w:val="00C42435"/>
    <w:rsid w:val="00C46781"/>
    <w:rsid w:val="00C50E73"/>
    <w:rsid w:val="00C51057"/>
    <w:rsid w:val="00C57FA5"/>
    <w:rsid w:val="00C649F0"/>
    <w:rsid w:val="00C731F0"/>
    <w:rsid w:val="00C817D9"/>
    <w:rsid w:val="00C83676"/>
    <w:rsid w:val="00C8496F"/>
    <w:rsid w:val="00C86AA0"/>
    <w:rsid w:val="00C96C5C"/>
    <w:rsid w:val="00CA4706"/>
    <w:rsid w:val="00CB2E5D"/>
    <w:rsid w:val="00CC21B9"/>
    <w:rsid w:val="00CD057F"/>
    <w:rsid w:val="00CE1A97"/>
    <w:rsid w:val="00CE34C2"/>
    <w:rsid w:val="00CF0B93"/>
    <w:rsid w:val="00CF53E2"/>
    <w:rsid w:val="00CF74FD"/>
    <w:rsid w:val="00D01A8F"/>
    <w:rsid w:val="00D03F84"/>
    <w:rsid w:val="00D05FBF"/>
    <w:rsid w:val="00D205AC"/>
    <w:rsid w:val="00D22A7B"/>
    <w:rsid w:val="00D24E77"/>
    <w:rsid w:val="00D27B01"/>
    <w:rsid w:val="00D31EC0"/>
    <w:rsid w:val="00D33B5F"/>
    <w:rsid w:val="00D3404B"/>
    <w:rsid w:val="00D42BE3"/>
    <w:rsid w:val="00D62259"/>
    <w:rsid w:val="00D6475D"/>
    <w:rsid w:val="00D83E5B"/>
    <w:rsid w:val="00D91EEB"/>
    <w:rsid w:val="00D961DA"/>
    <w:rsid w:val="00D973B5"/>
    <w:rsid w:val="00DA0F6C"/>
    <w:rsid w:val="00DA3EFA"/>
    <w:rsid w:val="00DC0F95"/>
    <w:rsid w:val="00DC78D0"/>
    <w:rsid w:val="00DD106C"/>
    <w:rsid w:val="00DD16DC"/>
    <w:rsid w:val="00DD2C4B"/>
    <w:rsid w:val="00DE0F85"/>
    <w:rsid w:val="00DE2DB9"/>
    <w:rsid w:val="00DE4D35"/>
    <w:rsid w:val="00E030B3"/>
    <w:rsid w:val="00E03DE8"/>
    <w:rsid w:val="00E06B18"/>
    <w:rsid w:val="00E16FAD"/>
    <w:rsid w:val="00E170A8"/>
    <w:rsid w:val="00E210BA"/>
    <w:rsid w:val="00E3259D"/>
    <w:rsid w:val="00E621F4"/>
    <w:rsid w:val="00E71C6A"/>
    <w:rsid w:val="00E7253E"/>
    <w:rsid w:val="00E745BA"/>
    <w:rsid w:val="00E77CB2"/>
    <w:rsid w:val="00E80756"/>
    <w:rsid w:val="00E823BF"/>
    <w:rsid w:val="00E937FC"/>
    <w:rsid w:val="00EA5A2B"/>
    <w:rsid w:val="00EB4C54"/>
    <w:rsid w:val="00ED5087"/>
    <w:rsid w:val="00EE419A"/>
    <w:rsid w:val="00EE7DD6"/>
    <w:rsid w:val="00EF0A64"/>
    <w:rsid w:val="00F047A8"/>
    <w:rsid w:val="00F120C4"/>
    <w:rsid w:val="00F1494B"/>
    <w:rsid w:val="00F165E9"/>
    <w:rsid w:val="00F3295C"/>
    <w:rsid w:val="00F34C0E"/>
    <w:rsid w:val="00F4080C"/>
    <w:rsid w:val="00F56804"/>
    <w:rsid w:val="00F63BAB"/>
    <w:rsid w:val="00F659B0"/>
    <w:rsid w:val="00F84C34"/>
    <w:rsid w:val="00F8764E"/>
    <w:rsid w:val="00F9160D"/>
    <w:rsid w:val="00F96805"/>
    <w:rsid w:val="00FB43AB"/>
    <w:rsid w:val="00FC6F56"/>
    <w:rsid w:val="00FC742B"/>
    <w:rsid w:val="00FD387D"/>
    <w:rsid w:val="00FD5ABC"/>
    <w:rsid w:val="00FE7B54"/>
    <w:rsid w:val="00FF3C39"/>
    <w:rsid w:val="00FF41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endnote tex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4AB7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autoSpaceDE w:val="0"/>
      <w:autoSpaceDN w:val="0"/>
      <w:spacing w:before="120" w:beforeAutospacing="0" w:after="0" w:afterAutospacing="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autoSpaceDE w:val="0"/>
      <w:autoSpaceDN w:val="0"/>
      <w:spacing w:before="0" w:beforeAutospacing="0" w:after="0" w:afterAutospacing="0"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autoSpaceDE w:val="0"/>
      <w:autoSpaceDN w:val="0"/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Normlny">
    <w:name w:val="_Normálny"/>
    <w:basedOn w:val="Normal"/>
    <w:uiPriority w:val="99"/>
    <w:pPr>
      <w:autoSpaceDE w:val="0"/>
      <w:autoSpaceDN w:val="0"/>
      <w:spacing w:before="0" w:beforeAutospacing="0" w:after="0" w:afterAutospacing="0"/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autoSpaceDE w:val="0"/>
      <w:autoSpaceDN w:val="0"/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autoSpaceDE w:val="0"/>
      <w:autoSpaceDN w:val="0"/>
      <w:spacing w:before="240" w:beforeAutospacing="0" w:after="120" w:afterAutospacing="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 w:beforeAutospacing="0" w:after="0" w:afterAutospacing="0"/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 w:beforeAutospacing="0" w:after="0" w:afterAutospacing="0"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spacing w:before="0" w:beforeAutospacing="0" w:after="160" w:afterAutospacing="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link w:val="OdsekzoznamuChar"/>
    <w:uiPriority w:val="34"/>
    <w:qFormat/>
    <w:rsid w:val="00E030B3"/>
    <w:pPr>
      <w:spacing w:before="0" w:beforeAutospacing="0" w:after="0" w:afterAutospacing="0"/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D83E5B"/>
    <w:rPr>
      <w:rFonts w:cs="Times New Roman"/>
      <w:b/>
      <w:rtl w:val="0"/>
      <w:cs w:val="0"/>
    </w:rPr>
  </w:style>
  <w:style w:type="paragraph" w:customStyle="1" w:styleId="normal2">
    <w:name w:val="normal2"/>
    <w:basedOn w:val="Normal"/>
    <w:rsid w:val="00D83E5B"/>
    <w:pPr>
      <w:spacing w:before="120" w:beforeAutospacing="0" w:after="0" w:afterAutospacing="0" w:line="312" w:lineRule="atLeast"/>
      <w:jc w:val="both"/>
    </w:pPr>
  </w:style>
  <w:style w:type="paragraph" w:customStyle="1" w:styleId="doc-ti">
    <w:name w:val="doc-ti"/>
    <w:basedOn w:val="Normal"/>
    <w:rsid w:val="009D5B18"/>
    <w:pPr>
      <w:spacing w:before="240" w:beforeAutospacing="0" w:after="120" w:afterAutospacing="0"/>
      <w:jc w:val="center"/>
    </w:pPr>
    <w:rPr>
      <w:b/>
      <w:bCs/>
    </w:rPr>
  </w:style>
  <w:style w:type="paragraph" w:customStyle="1" w:styleId="ti-art">
    <w:name w:val="ti-art"/>
    <w:basedOn w:val="Normal"/>
    <w:rsid w:val="009D5B18"/>
    <w:pPr>
      <w:spacing w:before="360" w:beforeAutospacing="0" w:after="120" w:afterAutospacing="0"/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9D5B18"/>
    <w:rPr>
      <w:rFonts w:cs="Times New Roman"/>
      <w:color w:val="3366CC"/>
      <w:u w:val="none"/>
      <w:effect w:val="none"/>
      <w:shd w:val="clear" w:color="auto" w:fill="auto"/>
      <w:rtl w:val="0"/>
      <w:cs w:val="0"/>
    </w:rPr>
  </w:style>
  <w:style w:type="paragraph" w:customStyle="1" w:styleId="note">
    <w:name w:val="note"/>
    <w:basedOn w:val="Normal"/>
    <w:rsid w:val="009D5B18"/>
    <w:pPr>
      <w:spacing w:before="60" w:beforeAutospacing="0" w:after="60" w:afterAutospacing="0"/>
      <w:jc w:val="both"/>
    </w:pPr>
    <w:rPr>
      <w:sz w:val="19"/>
      <w:szCs w:val="19"/>
    </w:rPr>
  </w:style>
  <w:style w:type="character" w:customStyle="1" w:styleId="super">
    <w:name w:val="super"/>
    <w:rsid w:val="009D5B18"/>
    <w:rPr>
      <w:sz w:val="17"/>
      <w:vertAlign w:val="superscript"/>
    </w:rPr>
  </w:style>
  <w:style w:type="paragraph" w:customStyle="1" w:styleId="sti-art">
    <w:name w:val="sti-art"/>
    <w:basedOn w:val="Normal"/>
    <w:rsid w:val="009D5B18"/>
    <w:pPr>
      <w:spacing w:before="60" w:beforeAutospacing="0" w:after="120" w:afterAutospacing="0"/>
      <w:jc w:val="center"/>
    </w:pPr>
    <w:rPr>
      <w:b/>
      <w:bCs/>
    </w:rPr>
  </w:style>
  <w:style w:type="character" w:customStyle="1" w:styleId="italic">
    <w:name w:val="italic"/>
    <w:rsid w:val="009D5B18"/>
    <w:rPr>
      <w:i/>
    </w:rPr>
  </w:style>
  <w:style w:type="paragraph" w:customStyle="1" w:styleId="signatory">
    <w:name w:val="signatory"/>
    <w:basedOn w:val="Normal"/>
    <w:rsid w:val="009D5B18"/>
    <w:pPr>
      <w:spacing w:before="60" w:beforeAutospacing="0" w:after="60" w:afterAutospacing="0"/>
      <w:jc w:val="center"/>
    </w:pPr>
  </w:style>
  <w:style w:type="character" w:customStyle="1" w:styleId="OdsekzoznamuChar">
    <w:name w:val="Odsek zoznamu Char"/>
    <w:link w:val="ListParagraph"/>
    <w:uiPriority w:val="34"/>
    <w:locked/>
    <w:rsid w:val="001657CD"/>
    <w:rPr>
      <w:sz w:val="24"/>
    </w:rPr>
  </w:style>
  <w:style w:type="paragraph" w:styleId="NoSpacing">
    <w:name w:val="No Spacing"/>
    <w:aliases w:val="Hlavní písmo"/>
    <w:link w:val="BezriadkovaniaChar"/>
    <w:uiPriority w:val="1"/>
    <w:qFormat/>
    <w:rsid w:val="001657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rsid w:val="00E03DE8"/>
    <w:pPr>
      <w:spacing w:before="0" w:beforeAutospacing="0" w:after="0" w:afterAutospacing="0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03DE8"/>
    <w:rPr>
      <w:rFonts w:ascii="Segoe UI" w:hAnsi="Segoe UI" w:cs="Times New Roman"/>
      <w:sz w:val="18"/>
      <w:rtl w:val="0"/>
      <w:cs w:val="0"/>
    </w:rPr>
  </w:style>
  <w:style w:type="paragraph" w:styleId="NormalWeb">
    <w:name w:val="Normal (Web)"/>
    <w:basedOn w:val="Normal"/>
    <w:uiPriority w:val="99"/>
    <w:unhideWhenUsed/>
    <w:rsid w:val="00F8764E"/>
    <w:pPr>
      <w:jc w:val="left"/>
    </w:pPr>
  </w:style>
  <w:style w:type="paragraph" w:styleId="Subtitle">
    <w:name w:val="Subtitle"/>
    <w:basedOn w:val="Normal"/>
    <w:link w:val="PodtitulChar"/>
    <w:uiPriority w:val="11"/>
    <w:qFormat/>
    <w:rsid w:val="00E16FAD"/>
    <w:pPr>
      <w:spacing w:before="0" w:beforeAutospacing="0" w:after="0" w:afterAutospacing="0" w:line="360" w:lineRule="auto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E16FAD"/>
    <w:rPr>
      <w:rFonts w:cs="Times New Roman"/>
      <w:b/>
      <w:bCs/>
      <w:sz w:val="24"/>
      <w:szCs w:val="24"/>
      <w:rtl w:val="0"/>
      <w:cs w:val="0"/>
    </w:rPr>
  </w:style>
  <w:style w:type="table" w:styleId="TableGrid">
    <w:name w:val="Table Grid"/>
    <w:basedOn w:val="TableNormal"/>
    <w:uiPriority w:val="59"/>
    <w:rsid w:val="006E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iadkovaniaChar">
    <w:name w:val="Bez riadkovania Char"/>
    <w:aliases w:val="Hlavní písmo Char"/>
    <w:link w:val="NoSpacing"/>
    <w:uiPriority w:val="1"/>
    <w:locked/>
    <w:rsid w:val="001422B6"/>
    <w:rPr>
      <w:rFonts w:ascii="Calibri" w:hAnsi="Calibri" w:cs="Calibri"/>
      <w:sz w:val="22"/>
      <w:lang w:val="x-none" w:eastAsia="en-US"/>
    </w:rPr>
  </w:style>
  <w:style w:type="character" w:customStyle="1" w:styleId="y2iqfc">
    <w:name w:val="y2iqfc"/>
    <w:rsid w:val="001422B6"/>
  </w:style>
  <w:style w:type="paragraph" w:styleId="EndnoteText">
    <w:name w:val="endnote text"/>
    <w:basedOn w:val="Normal"/>
    <w:link w:val="TextvysvetlivkyChar"/>
    <w:uiPriority w:val="99"/>
    <w:unhideWhenUsed/>
    <w:qFormat/>
    <w:rsid w:val="00481ADF"/>
    <w:pPr>
      <w:spacing w:before="60" w:beforeAutospacing="0" w:after="0" w:afterAutospacing="0"/>
      <w:jc w:val="left"/>
    </w:pPr>
    <w:rPr>
      <w:rFonts w:ascii="Arial" w:hAnsi="Arial"/>
      <w:sz w:val="20"/>
      <w:szCs w:val="20"/>
      <w:lang w:val="cs-CZ" w:eastAsia="en-US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481ADF"/>
    <w:rPr>
      <w:rFonts w:ascii="Arial" w:hAnsi="Arial" w:cs="Times New Roman"/>
      <w:rtl w:val="0"/>
      <w:cs w:val="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1/203/20220101.htm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1C9A-6F78-424C-87D2-3D1E8E32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Pages>7</Pages>
  <Words>2475</Words>
  <Characters>14110</Characters>
  <Application>Microsoft Office Word</Application>
  <DocSecurity>0</DocSecurity>
  <Lines>0</Lines>
  <Paragraphs>0</Paragraphs>
  <ScaleCrop>false</ScaleCrop>
  <Company>ÚV SR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Vlkolinsky Robert</cp:lastModifiedBy>
  <cp:revision>16</cp:revision>
  <cp:lastPrinted>2020-11-03T08:43:00Z</cp:lastPrinted>
  <dcterms:created xsi:type="dcterms:W3CDTF">2021-11-23T10:47:00Z</dcterms:created>
  <dcterms:modified xsi:type="dcterms:W3CDTF">2022-01-17T19:35:00Z</dcterms:modified>
</cp:coreProperties>
</file>