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711AB" w14:textId="77777777" w:rsidR="00674D02" w:rsidRPr="006E09C2" w:rsidRDefault="00674D02" w:rsidP="00674D02">
      <w:pPr>
        <w:spacing w:after="120"/>
        <w:jc w:val="center"/>
        <w:rPr>
          <w:b/>
          <w:caps/>
          <w:lang w:eastAsia="sk-SK"/>
        </w:rPr>
      </w:pPr>
      <w:r w:rsidRPr="006E09C2">
        <w:rPr>
          <w:b/>
          <w:caps/>
        </w:rPr>
        <w:t>Dôvodová správa</w:t>
      </w:r>
    </w:p>
    <w:p w14:paraId="5A35D3DF" w14:textId="77777777" w:rsidR="00A46F6A" w:rsidRDefault="00A46F6A" w:rsidP="00A46F6A">
      <w:pPr>
        <w:jc w:val="both"/>
      </w:pPr>
      <w:r>
        <w:t xml:space="preserve">Dôvodom návrhu zákona, ktorým sa mení a dopĺňa zákon č. 371/2014 Z. z. o riešení krízových situácií na finančnom trhu a o zmene a doplnení niektorých zákonov v znení neskorších predpisov a ktorým sa menia a dopĺňajú niektoré zákony (ďalej len „návrh zákona“) je najmä implementácia požiadaviek nariadenia Európskeho parlamentu a Rady (EÚ) 2021/23 zo 16. decembra 2020 o rámci na ozdravenie a riešenie krízových situácií centrálnych protistrán a o zmene nariadení (EÚ) č. 1095/2010, (EÚ) č. 648/2012, (EÚ) č. 600/2014, (EÚ) č. 806/2014 a (EÚ) 2015/2365 a smerníc 2002/47/ES, 2004/25/ES, 2007/36/ES, 2014/59/EÚ a (EÚ) 2017/1132 (Ú. v. EÚ L 22, 22.1.2021) (ďalej len „nariadenie 2021/23“) a úprava spočívajúca v spresnení niektorých platných ustanovení zákona č. 371/2014 Z. z. o riešení krízových situácií na finančnom trhu a o zmene a doplnení niektorých zákonov s cieľom reagovať na poznatky a skúsenosti z aplikačnej praxe. </w:t>
      </w:r>
    </w:p>
    <w:p w14:paraId="5E0DFFA1" w14:textId="77777777" w:rsidR="00A46F6A" w:rsidRDefault="00A46F6A" w:rsidP="00A46F6A">
      <w:pPr>
        <w:jc w:val="both"/>
      </w:pPr>
    </w:p>
    <w:p w14:paraId="5A14B9B9" w14:textId="77777777" w:rsidR="00A46F6A" w:rsidRDefault="00A46F6A" w:rsidP="00A46F6A">
      <w:pPr>
        <w:jc w:val="both"/>
      </w:pPr>
      <w:r>
        <w:t>Podľa článku 3 ods. 1 nariadenia 2021/23 je potrebné určiť orgán (jeden alebo viacero) pre riešenie krízových situácií centrálnych protistrán, ktorý bude splnomocnený uplatňovať nástroje riešenia krízových situácií a vykonávať právomoci riešiť krízové situácie stanovené v nariadení 2021/23. Podľa článku 3 nariadenia 2021/23 sa orgánmi pre riešenie krízových situácií rozumejú národné centrálne banky, príslušné ministerstvá, orgány verejnej správy alebo iné orgány poverené právomocami verejnej správy. Príslušným orgánom pre riešenie krízových situácií centrálnych protistrán v Slovenskej republike bude Rada pre riešenie krízových situácií. V tejto súvislosti sa návrhom zákona rozširujú právomoci už existujúcej Rady pre riešenie krízových situácií.</w:t>
      </w:r>
    </w:p>
    <w:p w14:paraId="6825E02C" w14:textId="77777777" w:rsidR="00A46F6A" w:rsidRDefault="00A46F6A" w:rsidP="00A46F6A">
      <w:pPr>
        <w:jc w:val="both"/>
      </w:pPr>
    </w:p>
    <w:p w14:paraId="1015DC64" w14:textId="647C4E3B" w:rsidR="00A46F6A" w:rsidRDefault="00A46F6A" w:rsidP="00A46F6A">
      <w:pPr>
        <w:jc w:val="both"/>
      </w:pPr>
      <w:r>
        <w:t>V nadväznosti na návrh zákona sa novelizuje aj zákon č. 566/2001 Z. z. o cenných papieroch a investičných službách a o zmene a doplnení niektorých zákonov v znení neskorších predpisov, v rámci ktorého sa</w:t>
      </w:r>
      <w:r w:rsidR="00F711E6">
        <w:t xml:space="preserve"> ďalej</w:t>
      </w:r>
      <w:r>
        <w:t xml:space="preserve"> transponuje aj delegovaná smernica Komisie (EÚ) 2021/1269 z 21. apríla 2021, ktorou sa mení delegovaná smernica (EÚ) 2017/593, pokiaľ ide o začlenenie faktorov udržateľnosti do povinností v oblasti riadenia produktov (Ú. v. EÚ L 277, 2.8.2021) (ďalej len „delegovaná smernica“), ktorej hlavným cieľom je začlenenie faktorov udržateľnosti do procesu schvaľovania produktu pri každom finančnom nástroji, ako aj v iných mechanizmoch riadenia produktov a dohľadu nad produktmi pri každom finančnom nástroji, ktorý je určený na distribúciu klientom hľadajúcim finančné nástroje s udržateľným profilom. Súčasťou návrhu sú aj ďalšie legislatívne úpravy vyplývajúce z aplikačnej praxe.   </w:t>
      </w:r>
    </w:p>
    <w:p w14:paraId="31B4AB17" w14:textId="77777777" w:rsidR="00A46F6A" w:rsidRDefault="00A46F6A" w:rsidP="00A46F6A">
      <w:pPr>
        <w:jc w:val="both"/>
      </w:pPr>
    </w:p>
    <w:p w14:paraId="4A07A454" w14:textId="345527B2" w:rsidR="002157D7" w:rsidRDefault="00A46F6A" w:rsidP="00A46F6A">
      <w:pPr>
        <w:jc w:val="both"/>
      </w:pPr>
      <w:r>
        <w:t>Súčasťou návrhu zákona je aj novela zákona č. 429/2002 Z. z. o burze cenných papierov, ktorá reflektuje na</w:t>
      </w:r>
      <w:r w:rsidR="00F711E6">
        <w:t xml:space="preserve"> legislatívnu úpravu návrhu zákona a </w:t>
      </w:r>
      <w:r>
        <w:t>potreby aplikačnej praxe ako napríklad úprava podmienok prijatia cenných papierov na obchodovanie na regulovanom trhu.</w:t>
      </w:r>
    </w:p>
    <w:p w14:paraId="6ED9AD52" w14:textId="77777777" w:rsidR="00E0201F" w:rsidRDefault="00E0201F" w:rsidP="00A46F6A">
      <w:pPr>
        <w:jc w:val="both"/>
      </w:pPr>
    </w:p>
    <w:p w14:paraId="2FDB0339" w14:textId="1B83A051" w:rsidR="00E0201F" w:rsidRDefault="00E0201F" w:rsidP="00A46F6A">
      <w:pPr>
        <w:jc w:val="both"/>
      </w:pPr>
      <w:r w:rsidRPr="00E0201F">
        <w:t xml:space="preserve">V nadväznosti na návrh zákona sa novelizuje aj zákon č. 203/2011 Z. z. o kolektívnom investovaní (ďalej len „zákon o kolektívnom investovaní“), v rámci ktorého sa transponuje delegovaná smernica Komisie (EÚ) 2021/1270 z 21. apríla 2021, ktorou sa mení smernica 2010/43/EÚ, pokiaľ ide o riziká ohrozujúce udržateľnosť a faktory udržateľnosti, ktoré sa majú zohľadniť v súvislosti s podnikmi kolektívneho investovania do prevoditeľných cenných papierov (PKIPCP) (Ú. v. EÚ L 277, 2.8.2021), ktorej hlavným cieľom je, aby sa pravidlá týkajúce sa začlenenia rizík ohrozujúcich udržateľnosť uplatňovali aj na obchodníkov s cennými papiermi a to z dôvodu, aby sa zabránilo nerovnakým podmienkam pre správcovské spoločnosti a pre obchodníkov s cennými papiermi, ktoré neurčili správcovskú spoločnosť, a aby sa zabránilo súvisiacej roztrieštenosti, nekonzistentnosti a nepredvídateľnosti vo fungovaní vnútorného trhu. Do zákona o kolektívnom investovaní sa transponuje aj smernica (EÚ) 2021/2261 z 15. decembra 2021, ktorou sa mení smernica 2009/65/ES, pokiaľ ide o používanie dokumentov s kľúčovými informáciami správcovskými spoločnosťami podnikov kolektívneho </w:t>
      </w:r>
      <w:r w:rsidRPr="00E0201F">
        <w:lastRenderedPageBreak/>
        <w:t>investovania do prevoditeľných cenných papierov (PKIPCP) (Ú.v. EÚ L 455, 20.12.2021), podľa ktorej sa dokument s kľúčovými informáciami vypracovaný podľa nariadenia Európskeho parlamentu a Rady (EÚ) č. 1286/2014 z 26. novembra 2014 o dokumentoch s kľúčovými informáciami pre štrukturalizované retailové investičné produkty a investičné produkty založené na poistení (PRIIP) (Ú. v. EÚ L 352, 9.12.2014) bude od 1. januára 2023 považovať za dokument spĺňajúci požiadavky uplatniteľné na dokument s kľúčovými informáciami pre investorov podľa smernice Európskeho parlamentu a Rady 2009/65/ES z 13. júla 2009 o koordinácii zákonov, iných právnych predpisov a správnych opatrení týkajúcich sa podnikov kolektívneho investovania do prevoditeľných cenných papierov (PKIPCP) (Ú. v. EÚ L 302, 17.11.2009) a retailoví investori tak už nebudú dostávať dva dokumenty obsahujúce tie isté informácie týkajúce sa toho istého finančného produktu. Taktiež sa v nadväznosti na balík opatrení Ministerstva hospodárstva Slovenskej republiky zameraný na uľahčenie podnikateľskej činnosti, tzv. kilečko 2.0, uľahčuje týmto zákonom prístup tuzemských subjektov kolektívneho investovania s právnou subjektivitou ku  kapitálu od kvalifikovaných investorov, čo bude mať pozitívny dopad na investície do reálnej ekonomiky. Navrhuje sa tiež spresnenie niektorých ustanovení zákona o kolektívnom investovaní v nadväznosti na žiadosť Európskej komisie dosiahnuť presnejšiu transpozíciu niektorých článkov smernica Európskeho parlamentu a Rady (EÚ) 2019/1160 z 20. júna 2019, ktorou sa mení smernica 2009/65/ES a smernica 2011/61/EÚ, pokiaľ ide o cezhraničnú distribúciu podnikov kolektívneho investovania (Ú. v. EÚ L 188, 12.7.2019) a smernice Európskeho parlamentu a Rady (EÚ) 2011/61/EÚ z 8. júna 2011 o správcoch alternatívnych investičných fondov a o zmene a doplnení smerníc 2003/41/ES a 2009/65/ES a nariadení (ES) č. 1060/2009 a (EÚ) č. 1095/2010 (Ú.v. EÚ L 174, 1.7.2011).</w:t>
      </w:r>
    </w:p>
    <w:p w14:paraId="5878594F" w14:textId="77777777" w:rsidR="00A46F6A" w:rsidRPr="006E09C2" w:rsidRDefault="00A46F6A" w:rsidP="00A46F6A">
      <w:pPr>
        <w:jc w:val="both"/>
      </w:pPr>
    </w:p>
    <w:p w14:paraId="22380BA0" w14:textId="65F42AFC" w:rsidR="002157D7" w:rsidRPr="006E09C2" w:rsidRDefault="002157D7" w:rsidP="002157D7">
      <w:pPr>
        <w:jc w:val="both"/>
      </w:pPr>
      <w:r w:rsidRPr="008965ED">
        <w:t xml:space="preserve">Prijatie navrhovaného zákona nebude mať vplyv na rozpočet verejnej správy, pričom bude mať možné negatívne a pozitívne vplyvy na podnikateľské prostredie. Návrh zákona nemá sociálne vplyvy, vplyvy na životné prostredie, na služby verejnej správy pre občana, na informatizáciu </w:t>
      </w:r>
      <w:r w:rsidR="00A46F6A" w:rsidRPr="008965ED">
        <w:t xml:space="preserve">spoločnosti </w:t>
      </w:r>
      <w:r w:rsidRPr="008965ED">
        <w:t>a nemá vplyvy ani na manželstvo, rodičovstvo a rodinu.</w:t>
      </w:r>
    </w:p>
    <w:p w14:paraId="5B22BC2F" w14:textId="77777777" w:rsidR="002157D7" w:rsidRPr="006E09C2" w:rsidRDefault="002157D7" w:rsidP="002157D7">
      <w:pPr>
        <w:jc w:val="both"/>
      </w:pPr>
    </w:p>
    <w:p w14:paraId="5E9A46B7" w14:textId="77777777" w:rsidR="00397A92" w:rsidRPr="006E09C2" w:rsidRDefault="002157D7" w:rsidP="002157D7">
      <w:pPr>
        <w:jc w:val="both"/>
      </w:pPr>
      <w:r w:rsidRPr="006E09C2">
        <w:t>Predložený návrh zákona je v súlade s Ústavou Slovenskej republiky, s ústavnými zákonmi, nálezmi ústavného súdu, inými zákonmi a ostatnými všeobecne záväznými právnymi predpismi Slovenskej republiky, s právom Európskej únie a s medzinárodnými zmluvami, ktorými je Slovenská republika viazaná.</w:t>
      </w:r>
    </w:p>
    <w:p w14:paraId="5F97CD0B" w14:textId="3F0199CD" w:rsidR="004A117C" w:rsidRDefault="004A117C">
      <w:pPr>
        <w:spacing w:after="160" w:line="259" w:lineRule="auto"/>
      </w:pPr>
      <w:r>
        <w:br w:type="page"/>
      </w:r>
    </w:p>
    <w:p w14:paraId="3AD6E4D6" w14:textId="77777777" w:rsidR="004A117C" w:rsidRPr="006045CB" w:rsidRDefault="004A117C" w:rsidP="004A117C">
      <w:pPr>
        <w:jc w:val="center"/>
        <w:rPr>
          <w:b/>
          <w:sz w:val="28"/>
          <w:szCs w:val="28"/>
          <w:lang w:eastAsia="sk-SK"/>
        </w:rPr>
      </w:pPr>
      <w:r>
        <w:rPr>
          <w:b/>
          <w:sz w:val="28"/>
          <w:szCs w:val="28"/>
          <w:lang w:eastAsia="sk-SK"/>
        </w:rPr>
        <w:lastRenderedPageBreak/>
        <w:t>D</w:t>
      </w:r>
      <w:r w:rsidRPr="006045CB">
        <w:rPr>
          <w:b/>
          <w:sz w:val="28"/>
          <w:szCs w:val="28"/>
          <w:lang w:eastAsia="sk-SK"/>
        </w:rPr>
        <w:t>oložka vybraných vplyvov</w:t>
      </w:r>
    </w:p>
    <w:p w14:paraId="6115AC79" w14:textId="77777777" w:rsidR="004A117C" w:rsidRPr="00B043B4" w:rsidRDefault="004A117C" w:rsidP="004A117C">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4A117C" w:rsidRPr="00B043B4" w14:paraId="1F607FBF" w14:textId="77777777" w:rsidTr="00470E9B">
        <w:tc>
          <w:tcPr>
            <w:tcW w:w="9180" w:type="dxa"/>
            <w:gridSpan w:val="11"/>
            <w:tcBorders>
              <w:bottom w:val="single" w:sz="4" w:space="0" w:color="FFFFFF"/>
            </w:tcBorders>
            <w:shd w:val="clear" w:color="auto" w:fill="E2E2E2"/>
          </w:tcPr>
          <w:p w14:paraId="178689C8" w14:textId="77777777" w:rsidR="004A117C" w:rsidRPr="00B043B4" w:rsidRDefault="004A117C" w:rsidP="00470E9B">
            <w:pPr>
              <w:numPr>
                <w:ilvl w:val="0"/>
                <w:numId w:val="1"/>
              </w:numPr>
              <w:ind w:left="426"/>
              <w:contextualSpacing/>
              <w:rPr>
                <w:rFonts w:eastAsia="Calibri"/>
                <w:b/>
              </w:rPr>
            </w:pPr>
            <w:r w:rsidRPr="00B043B4">
              <w:rPr>
                <w:rFonts w:eastAsia="Calibri"/>
                <w:b/>
              </w:rPr>
              <w:t>Základné údaje</w:t>
            </w:r>
          </w:p>
        </w:tc>
      </w:tr>
      <w:tr w:rsidR="004A117C" w:rsidRPr="00B043B4" w14:paraId="3E142340" w14:textId="77777777" w:rsidTr="00470E9B">
        <w:tc>
          <w:tcPr>
            <w:tcW w:w="9180" w:type="dxa"/>
            <w:gridSpan w:val="11"/>
            <w:tcBorders>
              <w:bottom w:val="single" w:sz="4" w:space="0" w:color="FFFFFF"/>
            </w:tcBorders>
            <w:shd w:val="clear" w:color="auto" w:fill="E2E2E2"/>
          </w:tcPr>
          <w:p w14:paraId="54117DCE" w14:textId="77777777" w:rsidR="004A117C" w:rsidRPr="00B043B4" w:rsidRDefault="004A117C" w:rsidP="00470E9B">
            <w:pPr>
              <w:spacing w:after="200" w:line="276" w:lineRule="auto"/>
              <w:ind w:left="142"/>
              <w:contextualSpacing/>
              <w:rPr>
                <w:rFonts w:eastAsia="Calibri"/>
                <w:b/>
              </w:rPr>
            </w:pPr>
            <w:r w:rsidRPr="00B043B4">
              <w:rPr>
                <w:rFonts w:eastAsia="Calibri"/>
                <w:b/>
              </w:rPr>
              <w:t>Názov materiálu</w:t>
            </w:r>
          </w:p>
        </w:tc>
      </w:tr>
      <w:tr w:rsidR="004A117C" w:rsidRPr="00B043B4" w14:paraId="69BAA03C" w14:textId="77777777" w:rsidTr="00470E9B">
        <w:tc>
          <w:tcPr>
            <w:tcW w:w="9180" w:type="dxa"/>
            <w:gridSpan w:val="11"/>
            <w:tcBorders>
              <w:top w:val="single" w:sz="4" w:space="0" w:color="FFFFFF"/>
              <w:bottom w:val="single" w:sz="4" w:space="0" w:color="auto"/>
            </w:tcBorders>
          </w:tcPr>
          <w:p w14:paraId="259918CE" w14:textId="77777777" w:rsidR="004A117C" w:rsidRPr="00B043B4" w:rsidRDefault="004A117C" w:rsidP="00470E9B">
            <w:pPr>
              <w:rPr>
                <w:sz w:val="20"/>
                <w:szCs w:val="20"/>
                <w:lang w:eastAsia="sk-SK"/>
              </w:rPr>
            </w:pPr>
            <w:r w:rsidRPr="002F424F">
              <w:rPr>
                <w:sz w:val="20"/>
                <w:szCs w:val="20"/>
                <w:lang w:eastAsia="sk-SK"/>
              </w:rPr>
              <w:t>Návrh zákona, ktorým sa mení a dopĺňa zákon č. 371/2014 Z. z. o riešení krízových situácií na finančnom trhu a o zmene a doplnení niektorých zákonov v znení neskorších predpisov a ktorým sa menia a dopĺňajú niektoré zákony.</w:t>
            </w:r>
          </w:p>
          <w:p w14:paraId="7D596668" w14:textId="77777777" w:rsidR="004A117C" w:rsidRPr="00B043B4" w:rsidRDefault="004A117C" w:rsidP="00470E9B">
            <w:pPr>
              <w:rPr>
                <w:sz w:val="20"/>
                <w:szCs w:val="20"/>
                <w:lang w:eastAsia="sk-SK"/>
              </w:rPr>
            </w:pPr>
          </w:p>
        </w:tc>
      </w:tr>
      <w:tr w:rsidR="004A117C" w:rsidRPr="00B043B4" w14:paraId="5FB68B12" w14:textId="77777777" w:rsidTr="00470E9B">
        <w:tc>
          <w:tcPr>
            <w:tcW w:w="9180" w:type="dxa"/>
            <w:gridSpan w:val="11"/>
            <w:tcBorders>
              <w:top w:val="single" w:sz="4" w:space="0" w:color="auto"/>
              <w:left w:val="single" w:sz="4" w:space="0" w:color="auto"/>
              <w:bottom w:val="single" w:sz="4" w:space="0" w:color="FFFFFF"/>
            </w:tcBorders>
            <w:shd w:val="clear" w:color="auto" w:fill="E2E2E2"/>
          </w:tcPr>
          <w:p w14:paraId="37A212C3" w14:textId="77777777" w:rsidR="004A117C" w:rsidRPr="00B043B4" w:rsidRDefault="004A117C" w:rsidP="00470E9B">
            <w:pPr>
              <w:spacing w:after="200" w:line="276" w:lineRule="auto"/>
              <w:ind w:left="142"/>
              <w:contextualSpacing/>
              <w:rPr>
                <w:rFonts w:eastAsia="Calibri"/>
                <w:b/>
              </w:rPr>
            </w:pPr>
            <w:r w:rsidRPr="00B043B4">
              <w:rPr>
                <w:rFonts w:eastAsia="Calibri"/>
                <w:b/>
              </w:rPr>
              <w:t>Predkladateľ (a spolupredkladateľ)</w:t>
            </w:r>
          </w:p>
        </w:tc>
      </w:tr>
      <w:tr w:rsidR="004A117C" w:rsidRPr="00B043B4" w14:paraId="23829B80" w14:textId="77777777" w:rsidTr="00470E9B">
        <w:tc>
          <w:tcPr>
            <w:tcW w:w="9180" w:type="dxa"/>
            <w:gridSpan w:val="11"/>
            <w:tcBorders>
              <w:top w:val="single" w:sz="4" w:space="0" w:color="FFFFFF"/>
              <w:left w:val="single" w:sz="4" w:space="0" w:color="auto"/>
              <w:bottom w:val="single" w:sz="4" w:space="0" w:color="auto"/>
            </w:tcBorders>
            <w:shd w:val="clear" w:color="auto" w:fill="FFFFFF"/>
          </w:tcPr>
          <w:p w14:paraId="79020F45" w14:textId="77777777" w:rsidR="004A117C" w:rsidRPr="00B043B4" w:rsidRDefault="004A117C" w:rsidP="00470E9B">
            <w:pPr>
              <w:rPr>
                <w:sz w:val="20"/>
                <w:szCs w:val="20"/>
                <w:lang w:eastAsia="sk-SK"/>
              </w:rPr>
            </w:pPr>
            <w:r w:rsidRPr="002F424F">
              <w:rPr>
                <w:sz w:val="20"/>
                <w:szCs w:val="20"/>
                <w:lang w:eastAsia="sk-SK"/>
              </w:rPr>
              <w:t>Predkladateľ: Ministerstvo financií Slovenskej republiky</w:t>
            </w:r>
          </w:p>
          <w:p w14:paraId="5F10D32F" w14:textId="77777777" w:rsidR="004A117C" w:rsidRPr="00B043B4" w:rsidRDefault="004A117C" w:rsidP="00470E9B">
            <w:pPr>
              <w:rPr>
                <w:sz w:val="20"/>
                <w:szCs w:val="20"/>
                <w:lang w:eastAsia="sk-SK"/>
              </w:rPr>
            </w:pPr>
          </w:p>
        </w:tc>
      </w:tr>
      <w:tr w:rsidR="004A117C" w:rsidRPr="00B043B4" w14:paraId="6922AB7C" w14:textId="77777777" w:rsidTr="00470E9B">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649446C7" w14:textId="77777777" w:rsidR="004A117C" w:rsidRPr="00B043B4" w:rsidRDefault="004A117C" w:rsidP="00470E9B">
            <w:pPr>
              <w:spacing w:after="200" w:line="276" w:lineRule="auto"/>
              <w:ind w:left="142"/>
              <w:contextualSpacing/>
              <w:rPr>
                <w:rFonts w:eastAsia="Calibri"/>
                <w:b/>
              </w:rPr>
            </w:pPr>
            <w:r w:rsidRPr="00B043B4">
              <w:rPr>
                <w:rFonts w:eastAsia="Calibri"/>
                <w:b/>
              </w:rPr>
              <w:t>Charakter predkladaného materiálu</w:t>
            </w:r>
          </w:p>
        </w:tc>
        <w:sdt>
          <w:sdtPr>
            <w:rPr>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76C32DC" w14:textId="77777777" w:rsidR="004A117C" w:rsidRPr="00B043B4" w:rsidRDefault="004A117C" w:rsidP="00470E9B">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7CE7F158" w14:textId="77777777" w:rsidR="004A117C" w:rsidRPr="00B043B4" w:rsidRDefault="004A117C" w:rsidP="00470E9B">
            <w:pPr>
              <w:rPr>
                <w:sz w:val="20"/>
                <w:szCs w:val="20"/>
                <w:lang w:eastAsia="sk-SK"/>
              </w:rPr>
            </w:pPr>
            <w:r w:rsidRPr="00B043B4">
              <w:rPr>
                <w:sz w:val="20"/>
                <w:szCs w:val="20"/>
                <w:lang w:eastAsia="sk-SK"/>
              </w:rPr>
              <w:t>Materiál nelegislatívnej povahy</w:t>
            </w:r>
          </w:p>
        </w:tc>
      </w:tr>
      <w:tr w:rsidR="004A117C" w:rsidRPr="00B043B4" w14:paraId="3258F87B" w14:textId="77777777" w:rsidTr="00470E9B">
        <w:tc>
          <w:tcPr>
            <w:tcW w:w="4212" w:type="dxa"/>
            <w:gridSpan w:val="2"/>
            <w:vMerge/>
            <w:tcBorders>
              <w:top w:val="nil"/>
              <w:left w:val="single" w:sz="4" w:space="0" w:color="auto"/>
              <w:bottom w:val="single" w:sz="4" w:space="0" w:color="FFFFFF"/>
            </w:tcBorders>
            <w:shd w:val="clear" w:color="auto" w:fill="E2E2E2"/>
          </w:tcPr>
          <w:p w14:paraId="7219B140" w14:textId="77777777" w:rsidR="004A117C" w:rsidRPr="00B043B4" w:rsidRDefault="004A117C" w:rsidP="00470E9B">
            <w:pPr>
              <w:rPr>
                <w:sz w:val="20"/>
                <w:szCs w:val="20"/>
                <w:lang w:eastAsia="sk-SK"/>
              </w:rPr>
            </w:pPr>
          </w:p>
        </w:tc>
        <w:sdt>
          <w:sdtPr>
            <w:rPr>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EB1D218" w14:textId="77777777" w:rsidR="004A117C" w:rsidRPr="00B043B4" w:rsidRDefault="004A117C" w:rsidP="00470E9B">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6D5C7A5" w14:textId="77777777" w:rsidR="004A117C" w:rsidRPr="00B043B4" w:rsidRDefault="004A117C" w:rsidP="00470E9B">
            <w:pPr>
              <w:ind w:left="175" w:hanging="175"/>
              <w:rPr>
                <w:sz w:val="20"/>
                <w:szCs w:val="20"/>
                <w:lang w:eastAsia="sk-SK"/>
              </w:rPr>
            </w:pPr>
            <w:r w:rsidRPr="00B043B4">
              <w:rPr>
                <w:sz w:val="20"/>
                <w:szCs w:val="20"/>
                <w:lang w:eastAsia="sk-SK"/>
              </w:rPr>
              <w:t>Materiál legislatívnej povahy</w:t>
            </w:r>
          </w:p>
        </w:tc>
      </w:tr>
      <w:tr w:rsidR="004A117C" w:rsidRPr="00B043B4" w14:paraId="5B05378B" w14:textId="77777777" w:rsidTr="00470E9B">
        <w:tc>
          <w:tcPr>
            <w:tcW w:w="4212" w:type="dxa"/>
            <w:gridSpan w:val="2"/>
            <w:vMerge/>
            <w:tcBorders>
              <w:top w:val="nil"/>
              <w:left w:val="single" w:sz="4" w:space="0" w:color="auto"/>
              <w:bottom w:val="single" w:sz="4" w:space="0" w:color="auto"/>
            </w:tcBorders>
            <w:shd w:val="clear" w:color="auto" w:fill="E2E2E2"/>
          </w:tcPr>
          <w:p w14:paraId="1A4163F9" w14:textId="77777777" w:rsidR="004A117C" w:rsidRPr="00B043B4" w:rsidRDefault="004A117C" w:rsidP="00470E9B">
            <w:pPr>
              <w:rPr>
                <w:sz w:val="20"/>
                <w:szCs w:val="20"/>
                <w:lang w:eastAsia="sk-SK"/>
              </w:rPr>
            </w:pPr>
          </w:p>
        </w:tc>
        <w:sdt>
          <w:sdtPr>
            <w:rPr>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9A50067" w14:textId="77777777" w:rsidR="004A117C" w:rsidRPr="00B043B4" w:rsidRDefault="004A117C" w:rsidP="00470E9B">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A0D4B0F" w14:textId="77777777" w:rsidR="004A117C" w:rsidRPr="00B043B4" w:rsidRDefault="004A117C" w:rsidP="00470E9B">
            <w:pPr>
              <w:rPr>
                <w:sz w:val="20"/>
                <w:szCs w:val="20"/>
                <w:lang w:eastAsia="sk-SK"/>
              </w:rPr>
            </w:pPr>
            <w:r w:rsidRPr="00B043B4">
              <w:rPr>
                <w:sz w:val="20"/>
                <w:szCs w:val="20"/>
                <w:lang w:eastAsia="sk-SK"/>
              </w:rPr>
              <w:t>Transpozícia práva EÚ</w:t>
            </w:r>
          </w:p>
        </w:tc>
      </w:tr>
      <w:tr w:rsidR="004A117C" w:rsidRPr="00B043B4" w14:paraId="54DD1214" w14:textId="77777777" w:rsidTr="00470E9B">
        <w:tc>
          <w:tcPr>
            <w:tcW w:w="9180" w:type="dxa"/>
            <w:gridSpan w:val="11"/>
            <w:tcBorders>
              <w:top w:val="single" w:sz="4" w:space="0" w:color="auto"/>
              <w:left w:val="single" w:sz="4" w:space="0" w:color="auto"/>
              <w:bottom w:val="single" w:sz="4" w:space="0" w:color="FFFFFF"/>
            </w:tcBorders>
            <w:shd w:val="clear" w:color="auto" w:fill="FFFFFF"/>
          </w:tcPr>
          <w:p w14:paraId="7230B911" w14:textId="77777777" w:rsidR="004A117C" w:rsidRDefault="004A117C" w:rsidP="00470E9B">
            <w:pPr>
              <w:rPr>
                <w:i/>
                <w:sz w:val="20"/>
                <w:szCs w:val="20"/>
                <w:lang w:eastAsia="sk-SK"/>
              </w:rPr>
            </w:pPr>
            <w:r w:rsidRPr="00B043B4">
              <w:rPr>
                <w:i/>
                <w:sz w:val="20"/>
                <w:szCs w:val="20"/>
                <w:lang w:eastAsia="sk-SK"/>
              </w:rPr>
              <w:t>V prípade transpozície uveďte zoznam transponovaných predpisov:</w:t>
            </w:r>
          </w:p>
          <w:p w14:paraId="5238BEC1" w14:textId="77777777" w:rsidR="004A117C" w:rsidRDefault="004A117C" w:rsidP="00470E9B">
            <w:pPr>
              <w:rPr>
                <w:i/>
                <w:sz w:val="20"/>
                <w:szCs w:val="20"/>
                <w:lang w:eastAsia="sk-SK"/>
              </w:rPr>
            </w:pPr>
          </w:p>
          <w:p w14:paraId="65FADC6F" w14:textId="77777777" w:rsidR="004A117C" w:rsidRDefault="004A117C" w:rsidP="00470E9B">
            <w:pPr>
              <w:jc w:val="both"/>
              <w:rPr>
                <w:sz w:val="20"/>
                <w:szCs w:val="20"/>
                <w:lang w:eastAsia="sk-SK"/>
              </w:rPr>
            </w:pPr>
            <w:r w:rsidRPr="00D32F1D">
              <w:rPr>
                <w:sz w:val="20"/>
                <w:szCs w:val="20"/>
                <w:lang w:eastAsia="sk-SK"/>
              </w:rPr>
              <w:t>Delegovaná smernica Komisie (EÚ) 2021/1269 z 21. apríla 2021, ktorou sa mení delegovaná smernica (EÚ) 2017/593, pokiaľ ide o začlenenie faktorov udržateľnosti do povinností v oblasti riadenia produktov.</w:t>
            </w:r>
          </w:p>
          <w:p w14:paraId="63E784DC" w14:textId="77777777" w:rsidR="004A117C" w:rsidRDefault="004A117C" w:rsidP="00470E9B">
            <w:pPr>
              <w:jc w:val="both"/>
              <w:rPr>
                <w:sz w:val="20"/>
                <w:szCs w:val="20"/>
                <w:lang w:eastAsia="sk-SK"/>
              </w:rPr>
            </w:pPr>
          </w:p>
          <w:p w14:paraId="43E0D366" w14:textId="77777777" w:rsidR="004A117C" w:rsidRPr="00D32F1D" w:rsidRDefault="004A117C" w:rsidP="00470E9B">
            <w:pPr>
              <w:jc w:val="both"/>
              <w:rPr>
                <w:sz w:val="20"/>
                <w:szCs w:val="20"/>
                <w:lang w:eastAsia="sk-SK"/>
              </w:rPr>
            </w:pPr>
            <w:r w:rsidRPr="00F11041">
              <w:rPr>
                <w:sz w:val="20"/>
                <w:szCs w:val="20"/>
                <w:lang w:eastAsia="sk-SK"/>
              </w:rPr>
              <w:t>Delegovaná smernica Komisie (EÚ) 2021/1270 z 21. apríla 2021, ktorou sa mení smernica 2010/43/EÚ, pokiaľ ide o riziká ohrozujúce udržateľnosť a faktory udržateľnosti, ktoré sa majú zohľadniť v súvislosti s podnikmi kolektívneho investovania do prevoditeľných cenných papierov (PKIPCP)</w:t>
            </w:r>
          </w:p>
          <w:p w14:paraId="231AC3FA" w14:textId="77777777" w:rsidR="004A117C" w:rsidRPr="00B043B4" w:rsidRDefault="004A117C" w:rsidP="00470E9B">
            <w:pPr>
              <w:rPr>
                <w:sz w:val="20"/>
                <w:szCs w:val="20"/>
                <w:lang w:eastAsia="sk-SK"/>
              </w:rPr>
            </w:pPr>
          </w:p>
        </w:tc>
      </w:tr>
      <w:tr w:rsidR="004A117C" w:rsidRPr="00B043B4" w14:paraId="2BEBCF81" w14:textId="77777777" w:rsidTr="00470E9B">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400B7550" w14:textId="77777777" w:rsidR="004A117C" w:rsidRPr="00B043B4" w:rsidRDefault="004A117C" w:rsidP="00470E9B">
            <w:pPr>
              <w:spacing w:after="200" w:line="276" w:lineRule="auto"/>
              <w:ind w:left="142"/>
              <w:contextualSpacing/>
              <w:rPr>
                <w:rFonts w:eastAsia="Calibri"/>
                <w:b/>
              </w:rPr>
            </w:pPr>
            <w:r w:rsidRPr="00B043B4">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12A0550F" w14:textId="77777777" w:rsidR="004A117C" w:rsidRPr="00B043B4" w:rsidRDefault="004A117C" w:rsidP="00470E9B">
            <w:pPr>
              <w:rPr>
                <w:i/>
                <w:sz w:val="20"/>
                <w:szCs w:val="20"/>
                <w:lang w:eastAsia="sk-SK"/>
              </w:rPr>
            </w:pPr>
          </w:p>
        </w:tc>
      </w:tr>
      <w:tr w:rsidR="004A117C" w:rsidRPr="00B043B4" w14:paraId="751A0B43" w14:textId="77777777" w:rsidTr="00470E9B">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0846467" w14:textId="77777777" w:rsidR="004A117C" w:rsidRPr="00B043B4" w:rsidRDefault="004A117C" w:rsidP="00470E9B">
            <w:pPr>
              <w:spacing w:after="200" w:line="276" w:lineRule="auto"/>
              <w:ind w:left="142"/>
              <w:contextualSpacing/>
              <w:rPr>
                <w:rFonts w:eastAsia="Calibri"/>
                <w:b/>
              </w:rPr>
            </w:pPr>
            <w:r w:rsidRPr="00B043B4">
              <w:rPr>
                <w:rFonts w:eastAsia="Calibri"/>
                <w:b/>
              </w:rPr>
              <w:t>Predpokl</w:t>
            </w:r>
            <w:r>
              <w:rPr>
                <w:rFonts w:eastAsia="Calibri"/>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420C8368" w14:textId="77777777" w:rsidR="004A117C" w:rsidRPr="00B043B4" w:rsidRDefault="004A117C" w:rsidP="00470E9B">
            <w:pPr>
              <w:rPr>
                <w:i/>
                <w:sz w:val="20"/>
                <w:szCs w:val="20"/>
                <w:lang w:eastAsia="sk-SK"/>
              </w:rPr>
            </w:pPr>
            <w:r>
              <w:rPr>
                <w:i/>
                <w:sz w:val="20"/>
                <w:szCs w:val="20"/>
                <w:lang w:eastAsia="sk-SK"/>
              </w:rPr>
              <w:t>November 2021</w:t>
            </w:r>
          </w:p>
        </w:tc>
      </w:tr>
      <w:tr w:rsidR="004A117C" w:rsidRPr="00B043B4" w14:paraId="2A640148" w14:textId="77777777" w:rsidTr="00470E9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32F0B6B" w14:textId="77777777" w:rsidR="004A117C" w:rsidRPr="00B043B4" w:rsidRDefault="004A117C" w:rsidP="00470E9B">
            <w:pPr>
              <w:spacing w:line="276" w:lineRule="auto"/>
              <w:ind w:left="142"/>
              <w:contextualSpacing/>
              <w:rPr>
                <w:rFonts w:ascii="Calibri" w:eastAsia="Calibri" w:hAnsi="Calibri"/>
                <w:b/>
              </w:rPr>
            </w:pPr>
            <w:r w:rsidRPr="00B043B4">
              <w:rPr>
                <w:rFonts w:eastAsia="Calibri"/>
                <w:b/>
              </w:rPr>
              <w:t>Predpokladaný termín začiatku a ukončenia ZP**</w:t>
            </w:r>
            <w:r w:rsidRPr="00B043B4">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3ED5C7EF" w14:textId="77777777" w:rsidR="004A117C" w:rsidRPr="00B043B4" w:rsidRDefault="004A117C" w:rsidP="00470E9B">
            <w:pPr>
              <w:rPr>
                <w:i/>
                <w:sz w:val="20"/>
                <w:szCs w:val="20"/>
                <w:lang w:eastAsia="sk-SK"/>
              </w:rPr>
            </w:pPr>
          </w:p>
        </w:tc>
      </w:tr>
      <w:tr w:rsidR="004A117C" w:rsidRPr="00B043B4" w14:paraId="72D163C8" w14:textId="77777777" w:rsidTr="00470E9B">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991EF63" w14:textId="77777777" w:rsidR="004A117C" w:rsidRPr="00B043B4" w:rsidRDefault="004A117C" w:rsidP="00470E9B">
            <w:pPr>
              <w:spacing w:after="200" w:line="276" w:lineRule="auto"/>
              <w:ind w:left="142"/>
              <w:contextualSpacing/>
              <w:jc w:val="both"/>
              <w:rPr>
                <w:rFonts w:eastAsia="Calibri"/>
                <w:b/>
              </w:rPr>
            </w:pPr>
            <w:r w:rsidRPr="00B043B4">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4E9986B3" w14:textId="77777777" w:rsidR="004A117C" w:rsidRPr="00B043B4" w:rsidRDefault="004A117C" w:rsidP="00470E9B">
            <w:pPr>
              <w:rPr>
                <w:i/>
                <w:sz w:val="20"/>
                <w:szCs w:val="20"/>
                <w:lang w:eastAsia="sk-SK"/>
              </w:rPr>
            </w:pPr>
            <w:r>
              <w:rPr>
                <w:i/>
                <w:sz w:val="20"/>
                <w:szCs w:val="20"/>
                <w:lang w:eastAsia="sk-SK"/>
              </w:rPr>
              <w:t>Február 2022</w:t>
            </w:r>
          </w:p>
        </w:tc>
      </w:tr>
      <w:tr w:rsidR="004A117C" w:rsidRPr="00B043B4" w14:paraId="70A8043D" w14:textId="77777777" w:rsidTr="00470E9B">
        <w:tc>
          <w:tcPr>
            <w:tcW w:w="9180" w:type="dxa"/>
            <w:gridSpan w:val="11"/>
            <w:tcBorders>
              <w:top w:val="single" w:sz="4" w:space="0" w:color="auto"/>
              <w:left w:val="nil"/>
              <w:bottom w:val="single" w:sz="4" w:space="0" w:color="auto"/>
              <w:right w:val="nil"/>
            </w:tcBorders>
            <w:shd w:val="clear" w:color="auto" w:fill="FFFFFF"/>
          </w:tcPr>
          <w:p w14:paraId="65EDD8EE" w14:textId="77777777" w:rsidR="004A117C" w:rsidRPr="00B043B4" w:rsidRDefault="004A117C" w:rsidP="00470E9B">
            <w:pPr>
              <w:rPr>
                <w:sz w:val="20"/>
                <w:szCs w:val="20"/>
                <w:lang w:eastAsia="sk-SK"/>
              </w:rPr>
            </w:pPr>
          </w:p>
        </w:tc>
      </w:tr>
      <w:tr w:rsidR="004A117C" w:rsidRPr="00B043B4" w14:paraId="369956BE" w14:textId="77777777" w:rsidTr="00470E9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8B799EF" w14:textId="77777777" w:rsidR="004A117C" w:rsidRPr="00B043B4" w:rsidRDefault="004A117C" w:rsidP="00470E9B">
            <w:pPr>
              <w:numPr>
                <w:ilvl w:val="0"/>
                <w:numId w:val="1"/>
              </w:numPr>
              <w:ind w:left="426"/>
              <w:contextualSpacing/>
              <w:rPr>
                <w:rFonts w:eastAsia="Calibri"/>
                <w:b/>
              </w:rPr>
            </w:pPr>
            <w:r w:rsidRPr="00B043B4">
              <w:rPr>
                <w:rFonts w:eastAsia="Calibri"/>
                <w:b/>
              </w:rPr>
              <w:t>Definovanie problému</w:t>
            </w:r>
          </w:p>
        </w:tc>
      </w:tr>
      <w:tr w:rsidR="004A117C" w:rsidRPr="00B043B4" w14:paraId="56694EB7" w14:textId="77777777" w:rsidTr="00470E9B">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3A186AC" w14:textId="77777777" w:rsidR="004A117C" w:rsidRDefault="004A117C" w:rsidP="00470E9B">
            <w:pPr>
              <w:jc w:val="both"/>
              <w:rPr>
                <w:i/>
                <w:sz w:val="20"/>
                <w:szCs w:val="20"/>
                <w:lang w:eastAsia="sk-SK"/>
              </w:rPr>
            </w:pPr>
            <w:r w:rsidRPr="00B043B4">
              <w:rPr>
                <w:i/>
                <w:sz w:val="20"/>
                <w:szCs w:val="20"/>
                <w:lang w:eastAsia="sk-SK"/>
              </w:rPr>
              <w:t>Uveďte základné problémy, ktoré sú dôvodom vypracovania predkladaného  materiálu (dôvody majú presne poukázať na problém, ktorý existuje a je nutné ho predloženým materiálom riešiť).</w:t>
            </w:r>
          </w:p>
          <w:p w14:paraId="56B8518B" w14:textId="77777777" w:rsidR="004A117C" w:rsidRPr="00B043B4" w:rsidRDefault="004A117C" w:rsidP="00470E9B">
            <w:pPr>
              <w:jc w:val="both"/>
              <w:rPr>
                <w:i/>
                <w:sz w:val="20"/>
                <w:szCs w:val="20"/>
                <w:lang w:eastAsia="sk-SK"/>
              </w:rPr>
            </w:pPr>
          </w:p>
          <w:p w14:paraId="781D3243" w14:textId="77777777" w:rsidR="004A117C" w:rsidRPr="002F424F" w:rsidRDefault="004A117C" w:rsidP="00470E9B">
            <w:pPr>
              <w:jc w:val="both"/>
              <w:rPr>
                <w:sz w:val="20"/>
                <w:szCs w:val="20"/>
                <w:lang w:eastAsia="sk-SK"/>
              </w:rPr>
            </w:pPr>
            <w:r w:rsidRPr="002F424F">
              <w:rPr>
                <w:sz w:val="20"/>
                <w:szCs w:val="20"/>
                <w:lang w:eastAsia="sk-SK"/>
              </w:rPr>
              <w:t xml:space="preserve">Cieľom návrhu zákona, ktorým sa mení a dopĺňa zákon č. 371/2014 Z. z. o riešení krízových situácií na finančnom trhu a o zmene a doplnení niektorých zákonov v znení neskorších predpisov a ktorým sa menia a dopĺňajú niektoré zákony (ďalej len „návrh zákona“) je najmä implementácia požiadaviek nariadenia Európskeho parlamentu a Rady (EÚ) 2021/23 zo 16. decembra 2020 o rámci na ozdravenie a riešenie krízových situácií centrálnych protistrán a o zmene nariadení (EÚ) č. 1095/2010, (EÚ) č. 648/2012, (EÚ) č. 600/2014, (EÚ) č. 806/2014 a (EÚ) 2015/2365 a smerníc 2002/47/ES, 2004/25/ES, 2007/36/ES, 2014/59/EÚ a (EÚ) 2017/1132 (Ú. v. EÚ L 22, 22.1.2021) (ďalej len „nariadenie 2021/23“) a úprava spočívajúca v spresnení niektorých platných ustanovení zákona č. 371/2014 Z. z. o riešení krízových situácií na finančnom trhu a o zmene a doplnení niektorých zákonov s cieľom reagovať na poznatky a skúsenosti z aplikačnej praxe. </w:t>
            </w:r>
          </w:p>
          <w:p w14:paraId="131E1C58" w14:textId="77777777" w:rsidR="004A117C" w:rsidRPr="002F424F" w:rsidRDefault="004A117C" w:rsidP="00470E9B">
            <w:pPr>
              <w:jc w:val="both"/>
              <w:rPr>
                <w:sz w:val="20"/>
                <w:szCs w:val="20"/>
                <w:lang w:eastAsia="sk-SK"/>
              </w:rPr>
            </w:pPr>
          </w:p>
          <w:p w14:paraId="053213F2" w14:textId="77777777" w:rsidR="004A117C" w:rsidRPr="002F424F" w:rsidRDefault="004A117C" w:rsidP="00470E9B">
            <w:pPr>
              <w:jc w:val="both"/>
              <w:rPr>
                <w:sz w:val="20"/>
                <w:szCs w:val="20"/>
                <w:lang w:eastAsia="sk-SK"/>
              </w:rPr>
            </w:pPr>
            <w:r w:rsidRPr="002F424F">
              <w:rPr>
                <w:sz w:val="20"/>
                <w:szCs w:val="20"/>
                <w:lang w:eastAsia="sk-SK"/>
              </w:rPr>
              <w:t>Podľa článku 3 ods. 1 nariadenia 2021/23 je potrebné určiť orgán (jeden alebo viacero) pre riešenie krízových situácií centrálnych protistrán, ktorý bude splnomocnený uplatňovať nástroje riešenia krízových situácií a vykonávať právomoci riešiť krízové situácie stanovené v nariadení 2021/23. Podľa článku 3 nariadenia 2021/23 sa orgánmi pre riešenie krízových situácií rozumejú národné centrálne banky, príslušné ministerstvá, orgány verejnej správy alebo iné orgány poverené právomocami verejnej správy. Príslušným orgánom pre riešenie krízových situácií centrálnych protistrán v Slovenskej republike bude Rada pre riešenie krízových situácií. V tejto súvislosti sa návrhom zákona rozširujú právomoci už existujúcej Rady pre riešenie krízových situácií.</w:t>
            </w:r>
          </w:p>
          <w:p w14:paraId="6D33D253" w14:textId="77777777" w:rsidR="004A117C" w:rsidRPr="002F424F" w:rsidRDefault="004A117C" w:rsidP="00470E9B">
            <w:pPr>
              <w:jc w:val="both"/>
              <w:rPr>
                <w:sz w:val="20"/>
                <w:szCs w:val="20"/>
                <w:lang w:eastAsia="sk-SK"/>
              </w:rPr>
            </w:pPr>
          </w:p>
          <w:p w14:paraId="7818A8D1" w14:textId="77777777" w:rsidR="004A117C" w:rsidRPr="002F424F" w:rsidRDefault="004A117C" w:rsidP="00470E9B">
            <w:pPr>
              <w:jc w:val="both"/>
              <w:rPr>
                <w:sz w:val="20"/>
                <w:szCs w:val="20"/>
                <w:lang w:eastAsia="sk-SK"/>
              </w:rPr>
            </w:pPr>
            <w:r w:rsidRPr="002F424F">
              <w:rPr>
                <w:sz w:val="20"/>
                <w:szCs w:val="20"/>
                <w:lang w:eastAsia="sk-SK"/>
              </w:rPr>
              <w:t xml:space="preserve">V nadväznosti na návrh zákona sa novelizuje aj zákon č. 566/2001 Z. z. o cenných papieroch a investičných službách a o zmene a doplnení niektorých zákonov v znení neskorších predpisov, v rámci ktorého sa transponuje aj delegovaná smernica Komisie (EÚ) 2021/1269 z 21. apríla 2021, ktorou sa mení delegovaná smernica (EÚ) 2017/593, pokiaľ ide o začlenenie faktorov udržateľnosti do povinností v oblasti riadenia produktov (Ú. v. EÚ L </w:t>
            </w:r>
            <w:r w:rsidRPr="002F424F">
              <w:rPr>
                <w:sz w:val="20"/>
                <w:szCs w:val="20"/>
                <w:lang w:eastAsia="sk-SK"/>
              </w:rPr>
              <w:lastRenderedPageBreak/>
              <w:t>277, 2.8.2021) (ďalej len „delegovaná smernica</w:t>
            </w:r>
            <w:r>
              <w:rPr>
                <w:sz w:val="20"/>
                <w:szCs w:val="20"/>
                <w:lang w:eastAsia="sk-SK"/>
              </w:rPr>
              <w:t xml:space="preserve"> 2021/1269</w:t>
            </w:r>
            <w:r w:rsidRPr="002F424F">
              <w:rPr>
                <w:sz w:val="20"/>
                <w:szCs w:val="20"/>
                <w:lang w:eastAsia="sk-SK"/>
              </w:rPr>
              <w:t xml:space="preserve">“), ktorej hlavným cieľom je začlenenie faktorov udržateľnosti do procesu schvaľovania produktu pri každom finančnom nástroji, ako aj v iných mechanizmoch riadenia produktov a dohľadu nad produktmi pri každom finančnom nástroji, ktorý je určený na distribúciu klientom hľadajúcim finančné nástroje s udržateľným profilom. Súčasťou návrhu sú aj ďalšie legislatívne úpravy vyplývajúce z aplikačnej praxe.   </w:t>
            </w:r>
          </w:p>
          <w:p w14:paraId="65116511" w14:textId="77777777" w:rsidR="004A117C" w:rsidRPr="002F424F" w:rsidRDefault="004A117C" w:rsidP="00470E9B">
            <w:pPr>
              <w:jc w:val="both"/>
              <w:rPr>
                <w:sz w:val="20"/>
                <w:szCs w:val="20"/>
                <w:lang w:eastAsia="sk-SK"/>
              </w:rPr>
            </w:pPr>
          </w:p>
          <w:p w14:paraId="675F22DA" w14:textId="77777777" w:rsidR="004A117C" w:rsidRDefault="004A117C" w:rsidP="00470E9B">
            <w:pPr>
              <w:jc w:val="both"/>
              <w:rPr>
                <w:sz w:val="20"/>
                <w:szCs w:val="20"/>
                <w:lang w:eastAsia="sk-SK"/>
              </w:rPr>
            </w:pPr>
            <w:r w:rsidRPr="002F424F">
              <w:rPr>
                <w:sz w:val="20"/>
                <w:szCs w:val="20"/>
                <w:lang w:eastAsia="sk-SK"/>
              </w:rPr>
              <w:t>Súčasťou návrhu zákona je aj novela zákona č. 429/2002 Z. z. o burze cenných papierov, ktorá reflektuje na potreby aplikačnej praxe ako napríklad úprava podmienok prijatia cenných papierov na obchodovanie na regulovanom trhu.</w:t>
            </w:r>
          </w:p>
          <w:p w14:paraId="47C8F1B1" w14:textId="77777777" w:rsidR="004A117C" w:rsidRDefault="004A117C" w:rsidP="00470E9B">
            <w:pPr>
              <w:jc w:val="both"/>
              <w:rPr>
                <w:sz w:val="20"/>
                <w:szCs w:val="20"/>
                <w:lang w:eastAsia="sk-SK"/>
              </w:rPr>
            </w:pPr>
          </w:p>
          <w:p w14:paraId="02ECEDBE" w14:textId="77777777" w:rsidR="004A117C" w:rsidRPr="000B33A0" w:rsidRDefault="004A117C" w:rsidP="00470E9B">
            <w:pPr>
              <w:jc w:val="both"/>
              <w:rPr>
                <w:sz w:val="20"/>
                <w:szCs w:val="20"/>
                <w:lang w:eastAsia="sk-SK"/>
              </w:rPr>
            </w:pPr>
            <w:r>
              <w:rPr>
                <w:sz w:val="20"/>
                <w:szCs w:val="20"/>
                <w:lang w:eastAsia="sk-SK"/>
              </w:rPr>
              <w:t>V nadväznosti na návrh zákona sa novelizuje aj zákon č. 203/2011 Z. z. o kolektívnom investovaní, v rámci ktorého sa transponuje d</w:t>
            </w:r>
            <w:r w:rsidRPr="00F11041">
              <w:rPr>
                <w:sz w:val="20"/>
                <w:szCs w:val="20"/>
                <w:lang w:eastAsia="sk-SK"/>
              </w:rPr>
              <w:t>elegovaná smernica Komisie (EÚ) 2021/1270 z 21. apríla 2021, ktorou sa mení smernica 2010/43/EÚ, pokiaľ ide o riziká ohrozujúce udržateľnosť a faktory udržateľnosti, ktoré sa majú zohľadniť v súvislosti s podnikmi kolektívneho investovania do prevoditeľných cenných papierov (PKIPCP)</w:t>
            </w:r>
            <w:r>
              <w:rPr>
                <w:sz w:val="20"/>
                <w:szCs w:val="20"/>
                <w:lang w:eastAsia="sk-SK"/>
              </w:rPr>
              <w:t xml:space="preserve"> (ďalej len „delegovaná smernica 2021/1270“), ktorej hlavným cieľom je, aby sa pravidlá týkajúce sa začlenenia rizík ohrozujúcich udržateľnosť uplatňovali aj na obchodníkov s cennými papiermi a to z dôvodu, aby </w:t>
            </w:r>
            <w:r w:rsidRPr="000B33A0">
              <w:rPr>
                <w:sz w:val="20"/>
                <w:szCs w:val="20"/>
                <w:lang w:eastAsia="sk-SK"/>
              </w:rPr>
              <w:t xml:space="preserve">sa zabránilo nerovnakým podmienkam pre správcovské spoločnosti a pre </w:t>
            </w:r>
            <w:r>
              <w:rPr>
                <w:sz w:val="20"/>
                <w:szCs w:val="20"/>
                <w:lang w:eastAsia="sk-SK"/>
              </w:rPr>
              <w:t>obchodníkov s cennými papiermi</w:t>
            </w:r>
            <w:r w:rsidRPr="000B33A0">
              <w:rPr>
                <w:sz w:val="20"/>
                <w:szCs w:val="20"/>
                <w:lang w:eastAsia="sk-SK"/>
              </w:rPr>
              <w:t>, ktoré neurčili správcovskú spoločnosť, a aby sa zabránilo súvisiacej roztrieštenosti, nekonzistentnosti a nepredvídateľnosti vo fungovaní vnútorného trhu</w:t>
            </w:r>
            <w:r>
              <w:rPr>
                <w:sz w:val="20"/>
                <w:szCs w:val="20"/>
                <w:lang w:eastAsia="sk-SK"/>
              </w:rPr>
              <w:t>. Taktiež sa v</w:t>
            </w:r>
            <w:r w:rsidRPr="00F11041">
              <w:rPr>
                <w:sz w:val="20"/>
                <w:szCs w:val="20"/>
                <w:lang w:eastAsia="sk-SK"/>
              </w:rPr>
              <w:t xml:space="preserve"> nadväznosti na balík opatrení Ministerstva hospodárstva S</w:t>
            </w:r>
            <w:r>
              <w:rPr>
                <w:sz w:val="20"/>
                <w:szCs w:val="20"/>
                <w:lang w:eastAsia="sk-SK"/>
              </w:rPr>
              <w:t>lovenskej republiky</w:t>
            </w:r>
            <w:r w:rsidRPr="00F11041">
              <w:rPr>
                <w:sz w:val="20"/>
                <w:szCs w:val="20"/>
                <w:lang w:eastAsia="sk-SK"/>
              </w:rPr>
              <w:t xml:space="preserve"> zameraný na uľahčenie podnikateľskej činnosti, tzv. kilečko 2.0, uľahčuje</w:t>
            </w:r>
            <w:r>
              <w:rPr>
                <w:sz w:val="20"/>
                <w:szCs w:val="20"/>
                <w:lang w:eastAsia="sk-SK"/>
              </w:rPr>
              <w:t xml:space="preserve"> týmto zákonom</w:t>
            </w:r>
            <w:r w:rsidRPr="00F11041">
              <w:rPr>
                <w:sz w:val="20"/>
                <w:szCs w:val="20"/>
                <w:lang w:eastAsia="sk-SK"/>
              </w:rPr>
              <w:t xml:space="preserve"> prístup tuzemských subjektov kolektívneho investovania s právnou subjektivitou ku  kapitálu od kvalifikovaných a neprofesionálnych investorov, čo bude mať pozitívny dopad na investície do reálnej ekonomiky.</w:t>
            </w:r>
          </w:p>
        </w:tc>
      </w:tr>
      <w:tr w:rsidR="004A117C" w:rsidRPr="00B043B4" w14:paraId="3D2095EE" w14:textId="77777777" w:rsidTr="00470E9B">
        <w:tc>
          <w:tcPr>
            <w:tcW w:w="9180" w:type="dxa"/>
            <w:gridSpan w:val="11"/>
            <w:tcBorders>
              <w:top w:val="single" w:sz="4" w:space="0" w:color="auto"/>
              <w:left w:val="single" w:sz="4" w:space="0" w:color="auto"/>
              <w:bottom w:val="nil"/>
              <w:right w:val="single" w:sz="4" w:space="0" w:color="auto"/>
            </w:tcBorders>
            <w:shd w:val="clear" w:color="auto" w:fill="E2E2E2"/>
          </w:tcPr>
          <w:p w14:paraId="20FDA145" w14:textId="77777777" w:rsidR="004A117C" w:rsidRPr="00B043B4" w:rsidRDefault="004A117C" w:rsidP="00470E9B">
            <w:pPr>
              <w:numPr>
                <w:ilvl w:val="0"/>
                <w:numId w:val="1"/>
              </w:numPr>
              <w:ind w:left="426"/>
              <w:contextualSpacing/>
              <w:rPr>
                <w:rFonts w:eastAsia="Calibri"/>
                <w:b/>
              </w:rPr>
            </w:pPr>
            <w:r w:rsidRPr="00B043B4">
              <w:rPr>
                <w:rFonts w:eastAsia="Calibri"/>
                <w:b/>
              </w:rPr>
              <w:lastRenderedPageBreak/>
              <w:t>Ciele a výsledný stav</w:t>
            </w:r>
          </w:p>
        </w:tc>
      </w:tr>
      <w:tr w:rsidR="004A117C" w:rsidRPr="00B043B4" w14:paraId="0BDCA407" w14:textId="77777777" w:rsidTr="00470E9B">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26249857" w14:textId="77777777" w:rsidR="004A117C" w:rsidRDefault="004A117C" w:rsidP="00470E9B">
            <w:pPr>
              <w:rPr>
                <w:i/>
                <w:sz w:val="20"/>
                <w:szCs w:val="20"/>
                <w:lang w:eastAsia="sk-SK"/>
              </w:rPr>
            </w:pPr>
            <w:r w:rsidRPr="00B043B4">
              <w:rPr>
                <w:i/>
                <w:sz w:val="20"/>
                <w:szCs w:val="20"/>
                <w:lang w:eastAsia="sk-SK"/>
              </w:rPr>
              <w:t>Uveďte hlavné ciele predkladaného materiálu (aký výsledný stav má byť prijatím materiálu dosiahnutý, pričom dosiahnutý stav musí byť odlišný od stavu popísaného v bod</w:t>
            </w:r>
            <w:r>
              <w:rPr>
                <w:i/>
                <w:sz w:val="20"/>
                <w:szCs w:val="20"/>
                <w:lang w:eastAsia="sk-SK"/>
              </w:rPr>
              <w:t>e</w:t>
            </w:r>
            <w:r w:rsidRPr="00B043B4">
              <w:rPr>
                <w:i/>
                <w:sz w:val="20"/>
                <w:szCs w:val="20"/>
                <w:lang w:eastAsia="sk-SK"/>
              </w:rPr>
              <w:t xml:space="preserve"> 2. Definovanie problému). </w:t>
            </w:r>
          </w:p>
          <w:p w14:paraId="64F50304" w14:textId="77777777" w:rsidR="004A117C" w:rsidRPr="00B043B4" w:rsidRDefault="004A117C" w:rsidP="00470E9B">
            <w:pPr>
              <w:rPr>
                <w:i/>
                <w:sz w:val="20"/>
                <w:szCs w:val="20"/>
                <w:lang w:eastAsia="sk-SK"/>
              </w:rPr>
            </w:pPr>
          </w:p>
          <w:p w14:paraId="2681A03F" w14:textId="77777777" w:rsidR="004A117C" w:rsidRPr="002F424F" w:rsidRDefault="004A117C" w:rsidP="00470E9B">
            <w:pPr>
              <w:jc w:val="both"/>
              <w:rPr>
                <w:sz w:val="20"/>
                <w:szCs w:val="20"/>
                <w:lang w:eastAsia="sk-SK"/>
              </w:rPr>
            </w:pPr>
            <w:r w:rsidRPr="002F424F">
              <w:rPr>
                <w:sz w:val="20"/>
                <w:szCs w:val="20"/>
                <w:lang w:eastAsia="sk-SK"/>
              </w:rPr>
              <w:t>Cieľom nariadenia 2021/23 je zabezpečenie toho, aby centrálne protistrany boli lepšie pripravené na zotavenie sa z finančných ťažkostí a príslušným orgánom by poskytli nové právomoci na rýchle ozdravenie alebo riešenie krízových situácií centrálnych protistrán, ktoré zlyhávajú alebo pravdepodobne zlyhajú, aby sa zachovali ich zásadné funkcie pri likvidácií ostatných činností.</w:t>
            </w:r>
          </w:p>
          <w:p w14:paraId="55ED6B06" w14:textId="77777777" w:rsidR="004A117C" w:rsidRPr="002F424F" w:rsidRDefault="004A117C" w:rsidP="00470E9B">
            <w:pPr>
              <w:jc w:val="both"/>
              <w:rPr>
                <w:sz w:val="20"/>
                <w:szCs w:val="20"/>
                <w:lang w:eastAsia="sk-SK"/>
              </w:rPr>
            </w:pPr>
          </w:p>
          <w:p w14:paraId="102FB2BA" w14:textId="77777777" w:rsidR="004A117C" w:rsidRDefault="004A117C" w:rsidP="00470E9B">
            <w:pPr>
              <w:jc w:val="both"/>
              <w:rPr>
                <w:sz w:val="20"/>
                <w:szCs w:val="20"/>
                <w:lang w:eastAsia="sk-SK"/>
              </w:rPr>
            </w:pPr>
            <w:r w:rsidRPr="002F424F">
              <w:rPr>
                <w:sz w:val="20"/>
                <w:szCs w:val="20"/>
                <w:lang w:eastAsia="sk-SK"/>
              </w:rPr>
              <w:t xml:space="preserve">Cieľom delegovanej smernice </w:t>
            </w:r>
            <w:r>
              <w:rPr>
                <w:sz w:val="20"/>
                <w:szCs w:val="20"/>
                <w:lang w:eastAsia="sk-SK"/>
              </w:rPr>
              <w:t xml:space="preserve">2021/1269 </w:t>
            </w:r>
            <w:r w:rsidRPr="002F424F">
              <w:rPr>
                <w:sz w:val="20"/>
                <w:szCs w:val="20"/>
                <w:lang w:eastAsia="sk-SK"/>
              </w:rPr>
              <w:t xml:space="preserve">je začlenenie faktorov udržateľnosti do procesu schvaľovania produktu pri každom finančnom nástroji, ako aj v iných mechanizmoch riadenia produktov a dohľadu nad produktmi pri každom finančnom nástroji, ktorý je určený na distribúciu klientom hľadajúcim finančné nástroje s udržateľným profilom. Súčasťou návrhu sú aj ďalšie legislatívne úpravy vyplývajúce z aplikačnej praxe.  </w:t>
            </w:r>
          </w:p>
          <w:p w14:paraId="10E8527B" w14:textId="77777777" w:rsidR="004A117C" w:rsidRDefault="004A117C" w:rsidP="00470E9B">
            <w:pPr>
              <w:jc w:val="both"/>
              <w:rPr>
                <w:sz w:val="20"/>
                <w:szCs w:val="20"/>
                <w:lang w:eastAsia="sk-SK"/>
              </w:rPr>
            </w:pPr>
          </w:p>
          <w:p w14:paraId="3BB0E20B" w14:textId="77777777" w:rsidR="004A117C" w:rsidRPr="00B043B4" w:rsidRDefault="004A117C" w:rsidP="00470E9B">
            <w:pPr>
              <w:jc w:val="both"/>
              <w:rPr>
                <w:sz w:val="20"/>
                <w:szCs w:val="20"/>
                <w:lang w:eastAsia="sk-SK"/>
              </w:rPr>
            </w:pPr>
            <w:r>
              <w:rPr>
                <w:sz w:val="20"/>
                <w:szCs w:val="20"/>
                <w:lang w:eastAsia="sk-SK"/>
              </w:rPr>
              <w:t xml:space="preserve">Cieľom </w:t>
            </w:r>
            <w:r w:rsidRPr="000B33A0">
              <w:rPr>
                <w:sz w:val="20"/>
                <w:szCs w:val="20"/>
                <w:lang w:eastAsia="sk-SK"/>
              </w:rPr>
              <w:t>delegovan</w:t>
            </w:r>
            <w:r>
              <w:rPr>
                <w:sz w:val="20"/>
                <w:szCs w:val="20"/>
                <w:lang w:eastAsia="sk-SK"/>
              </w:rPr>
              <w:t>ej</w:t>
            </w:r>
            <w:r w:rsidRPr="000B33A0">
              <w:rPr>
                <w:sz w:val="20"/>
                <w:szCs w:val="20"/>
                <w:lang w:eastAsia="sk-SK"/>
              </w:rPr>
              <w:t xml:space="preserve"> smernic</w:t>
            </w:r>
            <w:r>
              <w:rPr>
                <w:sz w:val="20"/>
                <w:szCs w:val="20"/>
                <w:lang w:eastAsia="sk-SK"/>
              </w:rPr>
              <w:t xml:space="preserve">e </w:t>
            </w:r>
            <w:r w:rsidRPr="000B33A0">
              <w:rPr>
                <w:sz w:val="20"/>
                <w:szCs w:val="20"/>
                <w:lang w:eastAsia="sk-SK"/>
              </w:rPr>
              <w:t>2021/1270</w:t>
            </w:r>
            <w:r>
              <w:rPr>
                <w:sz w:val="20"/>
                <w:szCs w:val="20"/>
                <w:lang w:eastAsia="sk-SK"/>
              </w:rPr>
              <w:t xml:space="preserve"> </w:t>
            </w:r>
            <w:r w:rsidRPr="000B33A0">
              <w:rPr>
                <w:sz w:val="20"/>
                <w:szCs w:val="20"/>
                <w:lang w:eastAsia="sk-SK"/>
              </w:rPr>
              <w:t>je, aby sa pravidlá týkajúce sa začlenenia rizík ohrozujúcich udržateľnosť uplatňovali aj na obchodníkov s cennými papiermi a to z dôvodu, aby sa zabránilo nerovnakým podmienkam pre správcovské spoločnosti a pre obchodníkov s cennými papiermi, ktoré neurčili správcovskú spoločnosť, a aby sa zabránilo súvisiacej roztrieštenosti, nekonzistentnosti a nepredvídateľnosti vo fungovaní vnútorného trhu.</w:t>
            </w:r>
          </w:p>
        </w:tc>
      </w:tr>
      <w:tr w:rsidR="004A117C" w:rsidRPr="00B043B4" w14:paraId="0DAE9508" w14:textId="77777777" w:rsidTr="00470E9B">
        <w:tc>
          <w:tcPr>
            <w:tcW w:w="9180" w:type="dxa"/>
            <w:gridSpan w:val="11"/>
            <w:tcBorders>
              <w:top w:val="single" w:sz="4" w:space="0" w:color="auto"/>
              <w:left w:val="single" w:sz="4" w:space="0" w:color="auto"/>
              <w:bottom w:val="nil"/>
              <w:right w:val="single" w:sz="4" w:space="0" w:color="auto"/>
            </w:tcBorders>
            <w:shd w:val="clear" w:color="auto" w:fill="E2E2E2"/>
          </w:tcPr>
          <w:p w14:paraId="2A8D66D4" w14:textId="77777777" w:rsidR="004A117C" w:rsidRPr="00B043B4" w:rsidRDefault="004A117C" w:rsidP="00470E9B">
            <w:pPr>
              <w:numPr>
                <w:ilvl w:val="0"/>
                <w:numId w:val="1"/>
              </w:numPr>
              <w:ind w:left="426"/>
              <w:contextualSpacing/>
              <w:rPr>
                <w:rFonts w:eastAsia="Calibri"/>
                <w:b/>
              </w:rPr>
            </w:pPr>
            <w:r w:rsidRPr="00B043B4">
              <w:rPr>
                <w:rFonts w:eastAsia="Calibri"/>
                <w:b/>
              </w:rPr>
              <w:t>Dotknuté subjekty</w:t>
            </w:r>
          </w:p>
        </w:tc>
      </w:tr>
      <w:tr w:rsidR="004A117C" w:rsidRPr="00B043B4" w14:paraId="5FA078B7" w14:textId="77777777" w:rsidTr="00470E9B">
        <w:tc>
          <w:tcPr>
            <w:tcW w:w="9180" w:type="dxa"/>
            <w:gridSpan w:val="11"/>
            <w:tcBorders>
              <w:top w:val="nil"/>
              <w:left w:val="single" w:sz="4" w:space="0" w:color="auto"/>
              <w:bottom w:val="single" w:sz="4" w:space="0" w:color="auto"/>
              <w:right w:val="single" w:sz="4" w:space="0" w:color="auto"/>
            </w:tcBorders>
            <w:shd w:val="clear" w:color="auto" w:fill="FFFFFF"/>
          </w:tcPr>
          <w:p w14:paraId="7D98085A" w14:textId="77777777" w:rsidR="004A117C" w:rsidRPr="00B043B4" w:rsidRDefault="004A117C" w:rsidP="00470E9B">
            <w:pPr>
              <w:rPr>
                <w:b/>
                <w:sz w:val="20"/>
                <w:szCs w:val="20"/>
                <w:lang w:eastAsia="sk-SK"/>
              </w:rPr>
            </w:pPr>
            <w:r w:rsidRPr="00B043B4">
              <w:rPr>
                <w:i/>
                <w:sz w:val="20"/>
                <w:szCs w:val="20"/>
                <w:lang w:eastAsia="sk-SK"/>
              </w:rPr>
              <w:t xml:space="preserve">Uveďte subjekty, ktorých sa zmeny predkladaného materiálu dotknú priamo aj nepriamo: </w:t>
            </w:r>
          </w:p>
          <w:p w14:paraId="4C856A97" w14:textId="77777777" w:rsidR="004A117C" w:rsidRDefault="004A117C" w:rsidP="00470E9B">
            <w:pPr>
              <w:rPr>
                <w:i/>
                <w:sz w:val="20"/>
                <w:szCs w:val="20"/>
                <w:lang w:eastAsia="sk-SK"/>
              </w:rPr>
            </w:pPr>
          </w:p>
          <w:p w14:paraId="35571379" w14:textId="77777777" w:rsidR="004A117C" w:rsidRPr="002F424F" w:rsidRDefault="004A117C" w:rsidP="00470E9B">
            <w:pPr>
              <w:rPr>
                <w:sz w:val="20"/>
                <w:szCs w:val="20"/>
                <w:lang w:eastAsia="sk-SK"/>
              </w:rPr>
            </w:pPr>
            <w:r w:rsidRPr="002F424F">
              <w:rPr>
                <w:sz w:val="20"/>
                <w:szCs w:val="20"/>
                <w:lang w:eastAsia="sk-SK"/>
              </w:rPr>
              <w:t>banky (8),</w:t>
            </w:r>
          </w:p>
          <w:p w14:paraId="6892E305" w14:textId="77777777" w:rsidR="004A117C" w:rsidRDefault="004A117C" w:rsidP="00470E9B">
            <w:pPr>
              <w:rPr>
                <w:sz w:val="20"/>
                <w:szCs w:val="20"/>
                <w:lang w:eastAsia="sk-SK"/>
              </w:rPr>
            </w:pPr>
            <w:r w:rsidRPr="002F424F">
              <w:rPr>
                <w:sz w:val="20"/>
                <w:szCs w:val="20"/>
                <w:lang w:eastAsia="sk-SK"/>
              </w:rPr>
              <w:t>obchodníci s cennými papiermi (24)</w:t>
            </w:r>
          </w:p>
          <w:p w14:paraId="661C1D64" w14:textId="77777777" w:rsidR="004A117C" w:rsidRPr="00B043B4" w:rsidRDefault="004A117C" w:rsidP="00470E9B">
            <w:pPr>
              <w:rPr>
                <w:i/>
                <w:sz w:val="20"/>
                <w:szCs w:val="20"/>
                <w:lang w:eastAsia="sk-SK"/>
              </w:rPr>
            </w:pPr>
            <w:r>
              <w:rPr>
                <w:sz w:val="20"/>
                <w:szCs w:val="20"/>
                <w:lang w:eastAsia="sk-SK"/>
              </w:rPr>
              <w:t>správcovské spoločnosti (14)</w:t>
            </w:r>
          </w:p>
        </w:tc>
      </w:tr>
      <w:tr w:rsidR="004A117C" w:rsidRPr="00B043B4" w14:paraId="0CE2115B" w14:textId="77777777" w:rsidTr="00470E9B">
        <w:tc>
          <w:tcPr>
            <w:tcW w:w="9180" w:type="dxa"/>
            <w:gridSpan w:val="11"/>
            <w:tcBorders>
              <w:top w:val="single" w:sz="4" w:space="0" w:color="auto"/>
              <w:left w:val="single" w:sz="4" w:space="0" w:color="auto"/>
              <w:bottom w:val="nil"/>
              <w:right w:val="single" w:sz="4" w:space="0" w:color="auto"/>
            </w:tcBorders>
            <w:shd w:val="clear" w:color="auto" w:fill="E2E2E2"/>
          </w:tcPr>
          <w:p w14:paraId="2A43FA32" w14:textId="77777777" w:rsidR="004A117C" w:rsidRPr="00B043B4" w:rsidRDefault="004A117C" w:rsidP="00470E9B">
            <w:pPr>
              <w:numPr>
                <w:ilvl w:val="0"/>
                <w:numId w:val="1"/>
              </w:numPr>
              <w:ind w:left="426"/>
              <w:contextualSpacing/>
              <w:rPr>
                <w:rFonts w:eastAsia="Calibri"/>
                <w:b/>
              </w:rPr>
            </w:pPr>
            <w:r w:rsidRPr="00B043B4">
              <w:rPr>
                <w:rFonts w:eastAsia="Calibri"/>
                <w:b/>
              </w:rPr>
              <w:t>Alternatívne riešenia</w:t>
            </w:r>
          </w:p>
        </w:tc>
      </w:tr>
      <w:tr w:rsidR="004A117C" w:rsidRPr="00B043B4" w14:paraId="20E3FF9B" w14:textId="77777777" w:rsidTr="00470E9B">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57C08495" w14:textId="77777777" w:rsidR="004A117C" w:rsidRPr="00B043B4" w:rsidRDefault="004A117C" w:rsidP="00470E9B">
            <w:pPr>
              <w:jc w:val="both"/>
              <w:rPr>
                <w:i/>
                <w:sz w:val="20"/>
                <w:szCs w:val="20"/>
                <w:lang w:eastAsia="sk-SK"/>
              </w:rPr>
            </w:pPr>
            <w:r w:rsidRPr="00B043B4">
              <w:rPr>
                <w:i/>
                <w:sz w:val="20"/>
                <w:szCs w:val="20"/>
                <w:lang w:eastAsia="sk-SK"/>
              </w:rPr>
              <w:t>Aké alternatívne riešenia vedúce k stanovenému cieľu boli identifikované a posudzované pre riešenie definovaného problému?</w:t>
            </w:r>
          </w:p>
          <w:p w14:paraId="0FAB2EA2" w14:textId="77777777" w:rsidR="004A117C" w:rsidRPr="00B043B4" w:rsidRDefault="004A117C" w:rsidP="00470E9B">
            <w:pPr>
              <w:rPr>
                <w:i/>
                <w:sz w:val="20"/>
                <w:szCs w:val="20"/>
                <w:lang w:eastAsia="sk-SK"/>
              </w:rPr>
            </w:pPr>
          </w:p>
          <w:p w14:paraId="3528C2E9" w14:textId="77777777" w:rsidR="004A117C" w:rsidRDefault="004A117C" w:rsidP="00470E9B">
            <w:pPr>
              <w:jc w:val="both"/>
              <w:rPr>
                <w:i/>
                <w:sz w:val="20"/>
                <w:szCs w:val="20"/>
                <w:lang w:eastAsia="sk-SK"/>
              </w:rPr>
            </w:pPr>
            <w:r w:rsidRPr="00B043B4">
              <w:rPr>
                <w:i/>
                <w:sz w:val="20"/>
                <w:szCs w:val="20"/>
                <w:lang w:eastAsia="sk-SK"/>
              </w:rPr>
              <w:t>Nulový variant - uveďte dôsledky, ku ktorým by došlo v prípade nevykonania úprav v predkladanom materiáli a alternatívne riešenia/spôsoby dosiahnutia cieľov uvedených v bode 3.</w:t>
            </w:r>
          </w:p>
          <w:p w14:paraId="77CA381D" w14:textId="77777777" w:rsidR="004A117C" w:rsidRDefault="004A117C" w:rsidP="00470E9B">
            <w:pPr>
              <w:jc w:val="both"/>
              <w:rPr>
                <w:i/>
                <w:sz w:val="20"/>
                <w:szCs w:val="20"/>
                <w:lang w:eastAsia="sk-SK"/>
              </w:rPr>
            </w:pPr>
          </w:p>
          <w:p w14:paraId="23D797B7" w14:textId="77777777" w:rsidR="004A117C" w:rsidRPr="002F424F" w:rsidRDefault="004A117C" w:rsidP="00470E9B">
            <w:pPr>
              <w:jc w:val="both"/>
              <w:rPr>
                <w:sz w:val="20"/>
                <w:szCs w:val="20"/>
                <w:lang w:eastAsia="sk-SK"/>
              </w:rPr>
            </w:pPr>
            <w:r w:rsidRPr="002F424F">
              <w:rPr>
                <w:sz w:val="20"/>
                <w:szCs w:val="20"/>
                <w:lang w:eastAsia="sk-SK"/>
              </w:rPr>
              <w:t>Alternatívne riešenia neboli zvažované. Nulový variant nie je možné realizovať, nakoľko ide o transpozíciu delegovan</w:t>
            </w:r>
            <w:r>
              <w:rPr>
                <w:sz w:val="20"/>
                <w:szCs w:val="20"/>
                <w:lang w:eastAsia="sk-SK"/>
              </w:rPr>
              <w:t>ých</w:t>
            </w:r>
            <w:r w:rsidRPr="002F424F">
              <w:rPr>
                <w:sz w:val="20"/>
                <w:szCs w:val="20"/>
                <w:lang w:eastAsia="sk-SK"/>
              </w:rPr>
              <w:t xml:space="preserve"> smern</w:t>
            </w:r>
            <w:r>
              <w:rPr>
                <w:sz w:val="20"/>
                <w:szCs w:val="20"/>
                <w:lang w:eastAsia="sk-SK"/>
              </w:rPr>
              <w:t>íc</w:t>
            </w:r>
            <w:r w:rsidRPr="002F424F">
              <w:rPr>
                <w:sz w:val="20"/>
                <w:szCs w:val="20"/>
                <w:lang w:eastAsia="sk-SK"/>
              </w:rPr>
              <w:t xml:space="preserve"> a implementáciu požiadaviek nariadenia 2021/23 a v prípade nesplnenia povinnosti transpozície, resp. implementácie, Európska komisia začne voči Slovenskej republike konanie o porušení podľa Zmluvy o fungovaní Európskej únie.</w:t>
            </w:r>
          </w:p>
        </w:tc>
      </w:tr>
      <w:tr w:rsidR="004A117C" w:rsidRPr="00B043B4" w14:paraId="33F41D76" w14:textId="77777777" w:rsidTr="00470E9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5D192A8" w14:textId="77777777" w:rsidR="004A117C" w:rsidRPr="00B043B4" w:rsidRDefault="004A117C" w:rsidP="00470E9B">
            <w:pPr>
              <w:numPr>
                <w:ilvl w:val="0"/>
                <w:numId w:val="1"/>
              </w:numPr>
              <w:ind w:left="426"/>
              <w:contextualSpacing/>
              <w:rPr>
                <w:rFonts w:eastAsia="Calibri"/>
                <w:b/>
              </w:rPr>
            </w:pPr>
            <w:r w:rsidRPr="00B043B4">
              <w:rPr>
                <w:rFonts w:eastAsia="Calibri"/>
                <w:b/>
              </w:rPr>
              <w:t>Vykonávacie predpisy</w:t>
            </w:r>
          </w:p>
        </w:tc>
      </w:tr>
      <w:tr w:rsidR="004A117C" w:rsidRPr="00B043B4" w14:paraId="0A4D23C0" w14:textId="77777777" w:rsidTr="00470E9B">
        <w:tc>
          <w:tcPr>
            <w:tcW w:w="6203" w:type="dxa"/>
            <w:gridSpan w:val="7"/>
            <w:tcBorders>
              <w:top w:val="single" w:sz="4" w:space="0" w:color="FFFFFF"/>
              <w:left w:val="single" w:sz="4" w:space="0" w:color="auto"/>
              <w:bottom w:val="nil"/>
              <w:right w:val="nil"/>
            </w:tcBorders>
            <w:shd w:val="clear" w:color="auto" w:fill="FFFFFF"/>
          </w:tcPr>
          <w:p w14:paraId="371AF6F5" w14:textId="77777777" w:rsidR="004A117C" w:rsidRPr="00B043B4" w:rsidRDefault="004A117C" w:rsidP="00470E9B">
            <w:pPr>
              <w:rPr>
                <w:i/>
                <w:sz w:val="20"/>
                <w:szCs w:val="20"/>
                <w:lang w:eastAsia="sk-SK"/>
              </w:rPr>
            </w:pPr>
            <w:r w:rsidRPr="00B043B4">
              <w:rPr>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2080EC99" w14:textId="77777777" w:rsidR="004A117C" w:rsidRPr="00B043B4" w:rsidRDefault="00081867" w:rsidP="00470E9B">
            <w:pPr>
              <w:jc w:val="center"/>
              <w:rPr>
                <w:b/>
                <w:sz w:val="20"/>
                <w:szCs w:val="20"/>
                <w:lang w:eastAsia="sk-SK"/>
              </w:rPr>
            </w:pPr>
            <w:sdt>
              <w:sdtPr>
                <w:rPr>
                  <w:b/>
                  <w:sz w:val="20"/>
                  <w:szCs w:val="20"/>
                  <w:lang w:eastAsia="sk-SK"/>
                </w:rPr>
                <w:id w:val="1929613764"/>
                <w14:checkbox>
                  <w14:checked w14:val="0"/>
                  <w14:checkedState w14:val="2612" w14:font="MS Gothic"/>
                  <w14:uncheckedState w14:val="2610" w14:font="MS Gothic"/>
                </w14:checkbox>
              </w:sdtPr>
              <w:sdtEndPr/>
              <w:sdtContent>
                <w:r w:rsidR="004A117C">
                  <w:rPr>
                    <w:rFonts w:ascii="MS Gothic" w:eastAsia="MS Gothic" w:hAnsi="MS Gothic" w:hint="eastAsia"/>
                    <w:b/>
                    <w:sz w:val="20"/>
                    <w:szCs w:val="20"/>
                    <w:lang w:eastAsia="sk-SK"/>
                  </w:rPr>
                  <w:t>☐</w:t>
                </w:r>
              </w:sdtContent>
            </w:sdt>
            <w:r w:rsidR="004A117C" w:rsidRPr="00B043B4">
              <w:rPr>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0D016A06" w14:textId="77777777" w:rsidR="004A117C" w:rsidRPr="00B043B4" w:rsidRDefault="00081867" w:rsidP="00470E9B">
            <w:pPr>
              <w:jc w:val="center"/>
              <w:rPr>
                <w:b/>
                <w:sz w:val="20"/>
                <w:szCs w:val="20"/>
                <w:lang w:eastAsia="sk-SK"/>
              </w:rPr>
            </w:pPr>
            <w:sdt>
              <w:sdtPr>
                <w:rPr>
                  <w:b/>
                  <w:sz w:val="20"/>
                  <w:szCs w:val="20"/>
                  <w:lang w:eastAsia="sk-SK"/>
                </w:rPr>
                <w:id w:val="-1594626508"/>
                <w14:checkbox>
                  <w14:checked w14:val="1"/>
                  <w14:checkedState w14:val="2612" w14:font="MS Gothic"/>
                  <w14:uncheckedState w14:val="2610" w14:font="MS Gothic"/>
                </w14:checkbox>
              </w:sdtPr>
              <w:sdtEndPr/>
              <w:sdtContent>
                <w:r w:rsidR="004A117C">
                  <w:rPr>
                    <w:rFonts w:ascii="MS Gothic" w:eastAsia="MS Gothic" w:hAnsi="MS Gothic" w:hint="eastAsia"/>
                    <w:b/>
                    <w:sz w:val="20"/>
                    <w:szCs w:val="20"/>
                    <w:lang w:eastAsia="sk-SK"/>
                  </w:rPr>
                  <w:t>☒</w:t>
                </w:r>
              </w:sdtContent>
            </w:sdt>
            <w:r w:rsidR="004A117C" w:rsidRPr="00B043B4">
              <w:rPr>
                <w:b/>
                <w:sz w:val="20"/>
                <w:szCs w:val="20"/>
                <w:lang w:eastAsia="sk-SK"/>
              </w:rPr>
              <w:t xml:space="preserve">  Nie</w:t>
            </w:r>
          </w:p>
        </w:tc>
      </w:tr>
      <w:tr w:rsidR="004A117C" w:rsidRPr="00B043B4" w14:paraId="56F3DBC7" w14:textId="77777777" w:rsidTr="00470E9B">
        <w:tc>
          <w:tcPr>
            <w:tcW w:w="9180" w:type="dxa"/>
            <w:gridSpan w:val="11"/>
            <w:tcBorders>
              <w:top w:val="nil"/>
              <w:left w:val="single" w:sz="4" w:space="0" w:color="auto"/>
              <w:bottom w:val="single" w:sz="4" w:space="0" w:color="auto"/>
              <w:right w:val="single" w:sz="4" w:space="0" w:color="auto"/>
            </w:tcBorders>
            <w:shd w:val="clear" w:color="auto" w:fill="FFFFFF"/>
          </w:tcPr>
          <w:p w14:paraId="4C613FBC" w14:textId="77777777" w:rsidR="004A117C" w:rsidRPr="00B043B4" w:rsidRDefault="004A117C" w:rsidP="00470E9B">
            <w:pPr>
              <w:rPr>
                <w:i/>
                <w:sz w:val="20"/>
                <w:szCs w:val="20"/>
                <w:lang w:eastAsia="sk-SK"/>
              </w:rPr>
            </w:pPr>
            <w:r w:rsidRPr="00B043B4">
              <w:rPr>
                <w:i/>
                <w:sz w:val="20"/>
                <w:szCs w:val="20"/>
                <w:lang w:eastAsia="sk-SK"/>
              </w:rPr>
              <w:lastRenderedPageBreak/>
              <w:t>Ak áno, uveďte ktoré oblasti budú nimi upravené, resp. ktorých vykonávacích predpisov sa zmena dotkne:</w:t>
            </w:r>
          </w:p>
          <w:p w14:paraId="49D6F7F9" w14:textId="77777777" w:rsidR="004A117C" w:rsidRPr="00B043B4" w:rsidRDefault="004A117C" w:rsidP="00470E9B">
            <w:pPr>
              <w:rPr>
                <w:sz w:val="20"/>
                <w:szCs w:val="20"/>
                <w:lang w:eastAsia="sk-SK"/>
              </w:rPr>
            </w:pPr>
          </w:p>
        </w:tc>
      </w:tr>
      <w:tr w:rsidR="004A117C" w:rsidRPr="00B043B4" w14:paraId="0662296F" w14:textId="77777777" w:rsidTr="00470E9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44356B4" w14:textId="77777777" w:rsidR="004A117C" w:rsidRPr="00B043B4" w:rsidRDefault="004A117C" w:rsidP="00470E9B">
            <w:pPr>
              <w:numPr>
                <w:ilvl w:val="0"/>
                <w:numId w:val="1"/>
              </w:numPr>
              <w:ind w:left="426"/>
              <w:contextualSpacing/>
              <w:rPr>
                <w:rFonts w:eastAsia="Calibri"/>
                <w:b/>
              </w:rPr>
            </w:pPr>
            <w:r w:rsidRPr="00B043B4">
              <w:rPr>
                <w:rFonts w:eastAsia="Calibri"/>
                <w:b/>
              </w:rPr>
              <w:t xml:space="preserve">Transpozícia práva EÚ </w:t>
            </w:r>
          </w:p>
        </w:tc>
      </w:tr>
      <w:tr w:rsidR="004A117C" w:rsidRPr="00B043B4" w14:paraId="64693DE1" w14:textId="77777777" w:rsidTr="00470E9B">
        <w:trPr>
          <w:trHeight w:val="157"/>
        </w:trPr>
        <w:tc>
          <w:tcPr>
            <w:tcW w:w="9180" w:type="dxa"/>
            <w:gridSpan w:val="11"/>
            <w:tcBorders>
              <w:top w:val="nil"/>
              <w:left w:val="single" w:sz="4" w:space="0" w:color="000000"/>
              <w:bottom w:val="nil"/>
              <w:right w:val="single" w:sz="4" w:space="0" w:color="auto"/>
            </w:tcBorders>
            <w:shd w:val="clear" w:color="auto" w:fill="FFFFFF"/>
          </w:tcPr>
          <w:p w14:paraId="7EDC4C54" w14:textId="77777777" w:rsidR="004A117C" w:rsidRPr="00B043B4" w:rsidRDefault="004A117C" w:rsidP="00470E9B">
            <w:pPr>
              <w:jc w:val="both"/>
              <w:rPr>
                <w:i/>
                <w:sz w:val="20"/>
                <w:szCs w:val="20"/>
                <w:lang w:eastAsia="sk-SK"/>
              </w:rPr>
            </w:pPr>
            <w:r w:rsidRPr="00B043B4">
              <w:rPr>
                <w:i/>
                <w:sz w:val="20"/>
                <w:szCs w:val="20"/>
                <w:lang w:eastAsia="sk-SK"/>
              </w:rPr>
              <w:t>Uveďte, v ktorých konkrétnych ustanoveniach (paragrafy, články, body, atď.) ide národná právna úprava nad rámec minimálnych požiadaviek EÚ (tzv. goldplating) spolu s odôvodnením opodstatnenosti presahu.</w:t>
            </w:r>
          </w:p>
        </w:tc>
      </w:tr>
      <w:tr w:rsidR="004A117C" w:rsidRPr="00B043B4" w14:paraId="54EDA768" w14:textId="77777777" w:rsidTr="00470E9B">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3477DB3F" w14:textId="77777777" w:rsidR="004A117C" w:rsidRDefault="004A117C" w:rsidP="00470E9B">
            <w:pPr>
              <w:jc w:val="center"/>
              <w:rPr>
                <w:sz w:val="20"/>
                <w:szCs w:val="20"/>
                <w:lang w:eastAsia="sk-SK"/>
              </w:rPr>
            </w:pPr>
          </w:p>
          <w:p w14:paraId="7522D90C" w14:textId="77777777" w:rsidR="004A117C" w:rsidRPr="00B043B4" w:rsidRDefault="004A117C" w:rsidP="00470E9B">
            <w:pPr>
              <w:jc w:val="both"/>
              <w:rPr>
                <w:sz w:val="20"/>
                <w:szCs w:val="20"/>
                <w:lang w:eastAsia="sk-SK"/>
              </w:rPr>
            </w:pPr>
            <w:r w:rsidRPr="002F424F">
              <w:rPr>
                <w:sz w:val="20"/>
                <w:szCs w:val="20"/>
                <w:lang w:eastAsia="sk-SK"/>
              </w:rPr>
              <w:t>Národná úprava nejde nad rámec minimálnych požiadaviek EÚ</w:t>
            </w:r>
          </w:p>
        </w:tc>
      </w:tr>
      <w:tr w:rsidR="004A117C" w:rsidRPr="00B043B4" w14:paraId="6896DA47" w14:textId="77777777" w:rsidTr="00470E9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C3C18F9" w14:textId="77777777" w:rsidR="004A117C" w:rsidRPr="00B043B4" w:rsidRDefault="004A117C" w:rsidP="00470E9B">
            <w:pPr>
              <w:numPr>
                <w:ilvl w:val="0"/>
                <w:numId w:val="1"/>
              </w:numPr>
              <w:ind w:left="426"/>
              <w:contextualSpacing/>
              <w:rPr>
                <w:rFonts w:eastAsia="Calibri"/>
                <w:b/>
              </w:rPr>
            </w:pPr>
            <w:r w:rsidRPr="00B043B4">
              <w:rPr>
                <w:rFonts w:eastAsia="Calibri"/>
                <w:b/>
              </w:rPr>
              <w:t>Preskúmanie účelnosti</w:t>
            </w:r>
          </w:p>
        </w:tc>
      </w:tr>
      <w:tr w:rsidR="004A117C" w:rsidRPr="00B043B4" w14:paraId="504EC85E" w14:textId="77777777" w:rsidTr="00470E9B">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E40BD1E" w14:textId="77777777" w:rsidR="004A117C" w:rsidRPr="00B043B4" w:rsidRDefault="004A117C" w:rsidP="00470E9B">
            <w:pPr>
              <w:rPr>
                <w:i/>
                <w:sz w:val="20"/>
                <w:szCs w:val="20"/>
                <w:lang w:eastAsia="sk-SK"/>
              </w:rPr>
            </w:pPr>
            <w:r w:rsidRPr="00B043B4">
              <w:rPr>
                <w:i/>
                <w:sz w:val="20"/>
                <w:szCs w:val="20"/>
                <w:lang w:eastAsia="sk-SK"/>
              </w:rPr>
              <w:t>Uveďte termín, kedy by malo dôjsť k preskúmaniu účinnosti a účelnosti predkladaného materiálu.</w:t>
            </w:r>
          </w:p>
          <w:p w14:paraId="14A4143F" w14:textId="77777777" w:rsidR="004A117C" w:rsidRDefault="004A117C" w:rsidP="00470E9B">
            <w:pPr>
              <w:rPr>
                <w:i/>
                <w:sz w:val="20"/>
                <w:szCs w:val="20"/>
                <w:lang w:eastAsia="sk-SK"/>
              </w:rPr>
            </w:pPr>
            <w:r w:rsidRPr="00B043B4">
              <w:rPr>
                <w:i/>
                <w:sz w:val="20"/>
                <w:szCs w:val="20"/>
                <w:lang w:eastAsia="sk-SK"/>
              </w:rPr>
              <w:t>Uveďte kritériá, na základe ktorých bude preskúmanie vykonané.</w:t>
            </w:r>
          </w:p>
          <w:p w14:paraId="75A98189" w14:textId="77777777" w:rsidR="004A117C" w:rsidRDefault="004A117C" w:rsidP="00470E9B">
            <w:pPr>
              <w:rPr>
                <w:i/>
                <w:sz w:val="20"/>
                <w:szCs w:val="20"/>
                <w:lang w:eastAsia="sk-SK"/>
              </w:rPr>
            </w:pPr>
          </w:p>
          <w:p w14:paraId="02DB5E02" w14:textId="77777777" w:rsidR="004A117C" w:rsidRDefault="004A117C" w:rsidP="00470E9B">
            <w:pPr>
              <w:jc w:val="both"/>
              <w:rPr>
                <w:sz w:val="20"/>
                <w:szCs w:val="20"/>
                <w:lang w:eastAsia="sk-SK"/>
              </w:rPr>
            </w:pPr>
            <w:r>
              <w:rPr>
                <w:sz w:val="20"/>
                <w:szCs w:val="20"/>
                <w:lang w:eastAsia="sk-SK"/>
              </w:rPr>
              <w:t>V nariadení 2021/23 je určené, že K</w:t>
            </w:r>
            <w:r w:rsidRPr="00EA1207">
              <w:rPr>
                <w:sz w:val="20"/>
                <w:szCs w:val="20"/>
                <w:lang w:eastAsia="sk-SK"/>
              </w:rPr>
              <w:t>omisia do 12. augusta 2027 preskúma toto nariadenie a jeho vykonávanie a vyhodnotí účinnosť mechanizmov riadenia na ozdravenie a riešenie krízových situácií centrálnych protistrán v Únii a predloží o tom správu Európskemu parlamentu a Rade, a to v prípade potreby aj s návrhmi na revíziu tohto nariadenia.</w:t>
            </w:r>
          </w:p>
          <w:p w14:paraId="34B2224F" w14:textId="77777777" w:rsidR="004A117C" w:rsidRDefault="004A117C" w:rsidP="00470E9B">
            <w:pPr>
              <w:jc w:val="both"/>
              <w:rPr>
                <w:sz w:val="20"/>
                <w:szCs w:val="20"/>
                <w:lang w:eastAsia="sk-SK"/>
              </w:rPr>
            </w:pPr>
            <w:r>
              <w:rPr>
                <w:sz w:val="20"/>
                <w:szCs w:val="20"/>
                <w:lang w:eastAsia="sk-SK"/>
              </w:rPr>
              <w:t xml:space="preserve">Delegované smernice neuvádzajú termín a kritériá preskúmania, ich úlohou je iba vyprecizovať konkrétne požiadavky vyplývajúce zo smerníc EÚ, ku ktorým sú vydané (Level 2). </w:t>
            </w:r>
          </w:p>
          <w:p w14:paraId="30DAF14A" w14:textId="77777777" w:rsidR="004A117C" w:rsidRPr="00EA1207" w:rsidRDefault="004A117C" w:rsidP="00470E9B">
            <w:pPr>
              <w:jc w:val="both"/>
              <w:rPr>
                <w:sz w:val="20"/>
                <w:szCs w:val="20"/>
                <w:lang w:eastAsia="sk-SK"/>
              </w:rPr>
            </w:pPr>
            <w:r>
              <w:rPr>
                <w:sz w:val="20"/>
                <w:szCs w:val="20"/>
                <w:lang w:eastAsia="sk-SK"/>
              </w:rPr>
              <w:t xml:space="preserve">V súvislosti s čl. IV návrhu zákona sa stanovuje termín preskúmania 3 roky od účinnosti zákona. Kritériom preskúmania bude úspora administratívnych nákladov subjektu kolektívneho investovania a počet/podiel neprofesionálnych investorov v alternatívnych investičných fondoch. </w:t>
            </w:r>
          </w:p>
          <w:p w14:paraId="5A678464" w14:textId="77777777" w:rsidR="004A117C" w:rsidRPr="00B043B4" w:rsidRDefault="004A117C" w:rsidP="00470E9B">
            <w:pPr>
              <w:rPr>
                <w:i/>
                <w:sz w:val="20"/>
                <w:szCs w:val="20"/>
                <w:lang w:eastAsia="sk-SK"/>
              </w:rPr>
            </w:pPr>
          </w:p>
        </w:tc>
      </w:tr>
      <w:tr w:rsidR="004A117C" w:rsidRPr="00B043B4" w14:paraId="4D7902F1" w14:textId="77777777" w:rsidTr="00470E9B">
        <w:tc>
          <w:tcPr>
            <w:tcW w:w="9180" w:type="dxa"/>
            <w:gridSpan w:val="11"/>
            <w:tcBorders>
              <w:top w:val="nil"/>
              <w:left w:val="nil"/>
              <w:bottom w:val="single" w:sz="4" w:space="0" w:color="auto"/>
              <w:right w:val="nil"/>
            </w:tcBorders>
            <w:shd w:val="clear" w:color="auto" w:fill="FFFFFF"/>
          </w:tcPr>
          <w:p w14:paraId="7969A865" w14:textId="77777777" w:rsidR="004A117C" w:rsidRPr="00B043B4" w:rsidRDefault="004A117C" w:rsidP="00470E9B">
            <w:pPr>
              <w:rPr>
                <w:b/>
                <w:sz w:val="20"/>
                <w:szCs w:val="20"/>
                <w:lang w:eastAsia="sk-SK"/>
              </w:rPr>
            </w:pPr>
          </w:p>
          <w:p w14:paraId="656E1A42" w14:textId="77777777" w:rsidR="004A117C" w:rsidRPr="00B043B4" w:rsidRDefault="004A117C" w:rsidP="00470E9B">
            <w:pPr>
              <w:rPr>
                <w:b/>
                <w:sz w:val="20"/>
                <w:szCs w:val="20"/>
                <w:lang w:eastAsia="sk-SK"/>
              </w:rPr>
            </w:pPr>
          </w:p>
          <w:p w14:paraId="4BF241A6" w14:textId="77777777" w:rsidR="004A117C" w:rsidRPr="00B043B4" w:rsidRDefault="004A117C" w:rsidP="00470E9B">
            <w:pPr>
              <w:ind w:left="142" w:hanging="142"/>
              <w:rPr>
                <w:sz w:val="20"/>
                <w:szCs w:val="20"/>
                <w:lang w:eastAsia="sk-SK"/>
              </w:rPr>
            </w:pPr>
            <w:r w:rsidRPr="00B043B4">
              <w:rPr>
                <w:sz w:val="20"/>
                <w:szCs w:val="20"/>
                <w:lang w:eastAsia="sk-SK"/>
              </w:rPr>
              <w:t xml:space="preserve">* vyplniť iba v prípade, ak materiál nie je zahrnutý do Plánu práce vlády Slovenskej republiky alebo Plánu        legislatívnych úloh vlády Slovenskej republiky. </w:t>
            </w:r>
          </w:p>
          <w:p w14:paraId="27CD57D2" w14:textId="77777777" w:rsidR="004A117C" w:rsidRDefault="004A117C" w:rsidP="00470E9B">
            <w:pPr>
              <w:rPr>
                <w:sz w:val="20"/>
                <w:szCs w:val="20"/>
                <w:lang w:eastAsia="sk-SK"/>
              </w:rPr>
            </w:pPr>
            <w:r w:rsidRPr="00B043B4">
              <w:rPr>
                <w:sz w:val="20"/>
                <w:szCs w:val="20"/>
                <w:lang w:eastAsia="sk-SK"/>
              </w:rPr>
              <w:t>** vyplniť iba v prípade, ak sa záverečné posúdenie</w:t>
            </w:r>
            <w:r>
              <w:rPr>
                <w:sz w:val="20"/>
                <w:szCs w:val="20"/>
                <w:lang w:eastAsia="sk-SK"/>
              </w:rPr>
              <w:t xml:space="preserve"> vybraných vplyvov</w:t>
            </w:r>
            <w:r w:rsidRPr="00B043B4">
              <w:rPr>
                <w:sz w:val="20"/>
                <w:szCs w:val="20"/>
                <w:lang w:eastAsia="sk-SK"/>
              </w:rPr>
              <w:t xml:space="preserve"> uskutočnilo v zmysle bodu 9.1. </w:t>
            </w:r>
            <w:r>
              <w:rPr>
                <w:sz w:val="20"/>
                <w:szCs w:val="20"/>
                <w:lang w:eastAsia="sk-SK"/>
              </w:rPr>
              <w:t>j</w:t>
            </w:r>
            <w:r w:rsidRPr="00B043B4">
              <w:rPr>
                <w:sz w:val="20"/>
                <w:szCs w:val="20"/>
                <w:lang w:eastAsia="sk-SK"/>
              </w:rPr>
              <w:t>ednotnej metodiky</w:t>
            </w:r>
            <w:r>
              <w:rPr>
                <w:sz w:val="20"/>
                <w:szCs w:val="20"/>
                <w:lang w:eastAsia="sk-SK"/>
              </w:rPr>
              <w:t>.</w:t>
            </w:r>
          </w:p>
          <w:p w14:paraId="0BAED6F4" w14:textId="77777777" w:rsidR="004A117C" w:rsidRPr="00B043B4" w:rsidRDefault="004A117C" w:rsidP="00470E9B">
            <w:pPr>
              <w:rPr>
                <w:b/>
                <w:sz w:val="20"/>
                <w:szCs w:val="20"/>
                <w:lang w:eastAsia="sk-SK"/>
              </w:rPr>
            </w:pPr>
          </w:p>
        </w:tc>
      </w:tr>
      <w:tr w:rsidR="004A117C" w:rsidRPr="00B043B4" w14:paraId="67CFE939" w14:textId="77777777" w:rsidTr="00470E9B">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3672A926" w14:textId="77777777" w:rsidR="004A117C" w:rsidRPr="00B043B4" w:rsidRDefault="004A117C" w:rsidP="00470E9B">
            <w:pPr>
              <w:numPr>
                <w:ilvl w:val="0"/>
                <w:numId w:val="1"/>
              </w:numPr>
              <w:ind w:left="426"/>
              <w:contextualSpacing/>
              <w:rPr>
                <w:rFonts w:eastAsia="Calibri"/>
                <w:b/>
              </w:rPr>
            </w:pPr>
            <w:r w:rsidRPr="00B043B4">
              <w:rPr>
                <w:rFonts w:eastAsia="Calibri"/>
                <w:b/>
              </w:rPr>
              <w:t>Vybrané vplyvy  materiálu</w:t>
            </w:r>
          </w:p>
        </w:tc>
      </w:tr>
      <w:tr w:rsidR="004A117C" w:rsidRPr="00B043B4" w14:paraId="69ED4D93" w14:textId="77777777" w:rsidTr="00470E9B">
        <w:tc>
          <w:tcPr>
            <w:tcW w:w="3812" w:type="dxa"/>
            <w:tcBorders>
              <w:top w:val="single" w:sz="4" w:space="0" w:color="auto"/>
              <w:left w:val="single" w:sz="4" w:space="0" w:color="auto"/>
              <w:bottom w:val="nil"/>
              <w:right w:val="single" w:sz="4" w:space="0" w:color="auto"/>
            </w:tcBorders>
            <w:shd w:val="clear" w:color="auto" w:fill="E2E2E2"/>
          </w:tcPr>
          <w:p w14:paraId="2E33286B" w14:textId="77777777" w:rsidR="004A117C" w:rsidRPr="00B043B4" w:rsidRDefault="004A117C" w:rsidP="00470E9B">
            <w:pPr>
              <w:rPr>
                <w:b/>
                <w:sz w:val="20"/>
                <w:szCs w:val="20"/>
                <w:lang w:eastAsia="sk-SK"/>
              </w:rPr>
            </w:pPr>
            <w:r w:rsidRPr="00B043B4">
              <w:rPr>
                <w:b/>
                <w:sz w:val="20"/>
                <w:szCs w:val="20"/>
                <w:lang w:eastAsia="sk-SK"/>
              </w:rPr>
              <w:t>Vplyvy na rozpočet verejnej správy</w:t>
            </w:r>
          </w:p>
        </w:tc>
        <w:sdt>
          <w:sdtPr>
            <w:rPr>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7BA25C3F" w14:textId="77777777" w:rsidR="004A117C" w:rsidRPr="00B043B4" w:rsidRDefault="004A117C" w:rsidP="00470E9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1EB9D2C0" w14:textId="77777777" w:rsidR="004A117C" w:rsidRPr="00B043B4" w:rsidRDefault="004A117C" w:rsidP="00470E9B">
            <w:pPr>
              <w:rPr>
                <w:b/>
                <w:sz w:val="20"/>
                <w:szCs w:val="20"/>
                <w:lang w:eastAsia="sk-SK"/>
              </w:rPr>
            </w:pPr>
            <w:r w:rsidRPr="00B043B4">
              <w:rPr>
                <w:b/>
                <w:sz w:val="20"/>
                <w:szCs w:val="20"/>
                <w:lang w:eastAsia="sk-SK"/>
              </w:rPr>
              <w:t>Pozitívne</w:t>
            </w:r>
          </w:p>
        </w:tc>
        <w:sdt>
          <w:sdtPr>
            <w:rPr>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59D6DEF3" w14:textId="77777777" w:rsidR="004A117C" w:rsidRPr="00B043B4" w:rsidRDefault="004A117C" w:rsidP="00470E9B">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2333E9E5" w14:textId="77777777" w:rsidR="004A117C" w:rsidRPr="00B043B4" w:rsidRDefault="004A117C" w:rsidP="00470E9B">
            <w:pPr>
              <w:rPr>
                <w:b/>
                <w:sz w:val="20"/>
                <w:szCs w:val="20"/>
                <w:lang w:eastAsia="sk-SK"/>
              </w:rPr>
            </w:pPr>
            <w:r w:rsidRPr="00B043B4">
              <w:rPr>
                <w:b/>
                <w:sz w:val="20"/>
                <w:szCs w:val="20"/>
                <w:lang w:eastAsia="sk-SK"/>
              </w:rPr>
              <w:t>Žiadne</w:t>
            </w:r>
          </w:p>
        </w:tc>
        <w:sdt>
          <w:sdtPr>
            <w:rPr>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19A0B2F6" w14:textId="77777777" w:rsidR="004A117C" w:rsidRPr="00B043B4" w:rsidRDefault="004A117C" w:rsidP="00470E9B">
                <w:pPr>
                  <w:ind w:left="-107" w:right="-108"/>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44FE46C2" w14:textId="77777777" w:rsidR="004A117C" w:rsidRPr="00B043B4" w:rsidRDefault="004A117C" w:rsidP="00470E9B">
            <w:pPr>
              <w:ind w:left="34"/>
              <w:rPr>
                <w:b/>
                <w:sz w:val="20"/>
                <w:szCs w:val="20"/>
                <w:lang w:eastAsia="sk-SK"/>
              </w:rPr>
            </w:pPr>
            <w:r w:rsidRPr="00B043B4">
              <w:rPr>
                <w:b/>
                <w:sz w:val="20"/>
                <w:szCs w:val="20"/>
                <w:lang w:eastAsia="sk-SK"/>
              </w:rPr>
              <w:t>Negatívne</w:t>
            </w:r>
          </w:p>
        </w:tc>
      </w:tr>
      <w:tr w:rsidR="004A117C" w:rsidRPr="00B043B4" w14:paraId="10E09E54" w14:textId="77777777" w:rsidTr="00470E9B">
        <w:tc>
          <w:tcPr>
            <w:tcW w:w="3812" w:type="dxa"/>
            <w:tcBorders>
              <w:top w:val="nil"/>
              <w:left w:val="single" w:sz="4" w:space="0" w:color="auto"/>
              <w:bottom w:val="single" w:sz="4" w:space="0" w:color="000000"/>
              <w:right w:val="single" w:sz="4" w:space="0" w:color="auto"/>
            </w:tcBorders>
            <w:shd w:val="clear" w:color="auto" w:fill="E2E2E2"/>
          </w:tcPr>
          <w:p w14:paraId="4FC5FD15" w14:textId="77777777" w:rsidR="004A117C" w:rsidRDefault="004A117C" w:rsidP="00470E9B">
            <w:pPr>
              <w:rPr>
                <w:sz w:val="20"/>
                <w:szCs w:val="20"/>
                <w:lang w:eastAsia="sk-SK"/>
              </w:rPr>
            </w:pPr>
            <w:r>
              <w:rPr>
                <w:sz w:val="20"/>
                <w:szCs w:val="20"/>
                <w:lang w:eastAsia="sk-SK"/>
              </w:rPr>
              <w:t xml:space="preserve">    </w:t>
            </w:r>
            <w:r w:rsidRPr="00A340BB">
              <w:rPr>
                <w:sz w:val="20"/>
                <w:szCs w:val="20"/>
                <w:lang w:eastAsia="sk-SK"/>
              </w:rPr>
              <w:t xml:space="preserve">z toho rozpočtovo zabezpečené vplyvy,     </w:t>
            </w:r>
            <w:r>
              <w:rPr>
                <w:sz w:val="20"/>
                <w:szCs w:val="20"/>
                <w:lang w:eastAsia="sk-SK"/>
              </w:rPr>
              <w:t xml:space="preserve">    </w:t>
            </w:r>
          </w:p>
          <w:p w14:paraId="798AF20E" w14:textId="77777777" w:rsidR="004A117C" w:rsidRDefault="004A117C" w:rsidP="00470E9B">
            <w:pPr>
              <w:rPr>
                <w:sz w:val="20"/>
                <w:szCs w:val="20"/>
                <w:lang w:eastAsia="sk-SK"/>
              </w:rPr>
            </w:pPr>
            <w:r>
              <w:rPr>
                <w:sz w:val="20"/>
                <w:szCs w:val="20"/>
                <w:lang w:eastAsia="sk-SK"/>
              </w:rPr>
              <w:t xml:space="preserve">    </w:t>
            </w:r>
            <w:r w:rsidRPr="00A340BB">
              <w:rPr>
                <w:sz w:val="20"/>
                <w:szCs w:val="20"/>
                <w:lang w:eastAsia="sk-SK"/>
              </w:rPr>
              <w:t xml:space="preserve">v prípade identifikovaného negatívneho </w:t>
            </w:r>
          </w:p>
          <w:p w14:paraId="627504B6" w14:textId="77777777" w:rsidR="004A117C" w:rsidRPr="00A340BB" w:rsidRDefault="004A117C" w:rsidP="00470E9B">
            <w:pPr>
              <w:rPr>
                <w:sz w:val="20"/>
                <w:szCs w:val="20"/>
                <w:lang w:eastAsia="sk-SK"/>
              </w:rPr>
            </w:pPr>
            <w:r>
              <w:rPr>
                <w:sz w:val="20"/>
                <w:szCs w:val="20"/>
                <w:lang w:eastAsia="sk-SK"/>
              </w:rPr>
              <w:t xml:space="preserve">    </w:t>
            </w:r>
            <w:r w:rsidRPr="00A340BB">
              <w:rPr>
                <w:sz w:val="20"/>
                <w:szCs w:val="20"/>
                <w:lang w:eastAsia="sk-SK"/>
              </w:rPr>
              <w:t>vplyvu</w:t>
            </w:r>
          </w:p>
        </w:tc>
        <w:sdt>
          <w:sdtPr>
            <w:rPr>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3E429D3F" w14:textId="77777777" w:rsidR="004A117C" w:rsidRPr="00B043B4" w:rsidRDefault="004A117C" w:rsidP="00470E9B">
                <w:pPr>
                  <w:jc w:val="cente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1C975FA4" w14:textId="77777777" w:rsidR="004A117C" w:rsidRPr="00B043B4" w:rsidRDefault="004A117C" w:rsidP="00470E9B">
            <w:pPr>
              <w:rPr>
                <w:sz w:val="20"/>
                <w:szCs w:val="20"/>
                <w:lang w:eastAsia="sk-SK"/>
              </w:rPr>
            </w:pPr>
            <w:r w:rsidRPr="00B043B4">
              <w:rPr>
                <w:sz w:val="20"/>
                <w:szCs w:val="20"/>
                <w:lang w:eastAsia="sk-SK"/>
              </w:rPr>
              <w:t>Áno</w:t>
            </w:r>
          </w:p>
        </w:tc>
        <w:sdt>
          <w:sdtPr>
            <w:rPr>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763CE3AD" w14:textId="77777777" w:rsidR="004A117C" w:rsidRPr="00B043B4" w:rsidRDefault="004A117C" w:rsidP="00470E9B">
                <w:pPr>
                  <w:jc w:val="center"/>
                  <w:rPr>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18F76088" w14:textId="77777777" w:rsidR="004A117C" w:rsidRPr="00B043B4" w:rsidRDefault="004A117C" w:rsidP="00470E9B">
            <w:pPr>
              <w:rPr>
                <w:sz w:val="20"/>
                <w:szCs w:val="20"/>
                <w:lang w:eastAsia="sk-SK"/>
              </w:rPr>
            </w:pPr>
            <w:r w:rsidRPr="00B043B4">
              <w:rPr>
                <w:sz w:val="20"/>
                <w:szCs w:val="20"/>
                <w:lang w:eastAsia="sk-SK"/>
              </w:rPr>
              <w:t>Nie</w:t>
            </w:r>
          </w:p>
        </w:tc>
        <w:sdt>
          <w:sdtPr>
            <w:rPr>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53EFE79" w14:textId="77777777" w:rsidR="004A117C" w:rsidRPr="00B043B4" w:rsidRDefault="004A117C" w:rsidP="00470E9B">
                <w:pPr>
                  <w:ind w:left="-107" w:right="-108"/>
                  <w:jc w:val="center"/>
                  <w:rPr>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CB54338" w14:textId="77777777" w:rsidR="004A117C" w:rsidRPr="00B043B4" w:rsidRDefault="004A117C" w:rsidP="00470E9B">
            <w:pPr>
              <w:ind w:left="34"/>
              <w:rPr>
                <w:sz w:val="20"/>
                <w:szCs w:val="20"/>
                <w:lang w:eastAsia="sk-SK"/>
              </w:rPr>
            </w:pPr>
            <w:r w:rsidRPr="00B043B4">
              <w:rPr>
                <w:sz w:val="20"/>
                <w:szCs w:val="20"/>
                <w:lang w:eastAsia="sk-SK"/>
              </w:rPr>
              <w:t>Čiastočne</w:t>
            </w:r>
          </w:p>
        </w:tc>
      </w:tr>
      <w:tr w:rsidR="004A117C" w:rsidRPr="00B043B4" w14:paraId="33C4C252" w14:textId="77777777" w:rsidTr="00470E9B">
        <w:tc>
          <w:tcPr>
            <w:tcW w:w="3812" w:type="dxa"/>
            <w:tcBorders>
              <w:top w:val="single" w:sz="4" w:space="0" w:color="000000"/>
              <w:left w:val="single" w:sz="4" w:space="0" w:color="auto"/>
              <w:bottom w:val="nil"/>
              <w:right w:val="single" w:sz="4" w:space="0" w:color="auto"/>
            </w:tcBorders>
            <w:shd w:val="clear" w:color="auto" w:fill="E2E2E2"/>
          </w:tcPr>
          <w:p w14:paraId="1426ADF9" w14:textId="77777777" w:rsidR="004A117C" w:rsidRPr="00B043B4" w:rsidRDefault="004A117C" w:rsidP="00470E9B">
            <w:pPr>
              <w:rPr>
                <w:b/>
                <w:sz w:val="20"/>
                <w:szCs w:val="20"/>
                <w:lang w:eastAsia="sk-SK"/>
              </w:rPr>
            </w:pPr>
            <w:r w:rsidRPr="00B043B4">
              <w:rPr>
                <w:b/>
                <w:sz w:val="20"/>
                <w:szCs w:val="20"/>
                <w:lang w:eastAsia="sk-SK"/>
              </w:rPr>
              <w:t>Vplyvy na podnikateľské prostredie</w:t>
            </w:r>
          </w:p>
        </w:tc>
        <w:sdt>
          <w:sdtPr>
            <w:rPr>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2AECD870" w14:textId="77777777" w:rsidR="004A117C" w:rsidRPr="00B043B4" w:rsidRDefault="004A117C" w:rsidP="00470E9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5B381641" w14:textId="77777777" w:rsidR="004A117C" w:rsidRPr="00B043B4" w:rsidRDefault="004A117C" w:rsidP="00470E9B">
            <w:pPr>
              <w:ind w:right="-108"/>
              <w:rPr>
                <w:b/>
                <w:sz w:val="20"/>
                <w:szCs w:val="20"/>
                <w:lang w:eastAsia="sk-SK"/>
              </w:rPr>
            </w:pPr>
            <w:r w:rsidRPr="00B043B4">
              <w:rPr>
                <w:b/>
                <w:sz w:val="20"/>
                <w:szCs w:val="20"/>
                <w:lang w:eastAsia="sk-SK"/>
              </w:rPr>
              <w:t>Pozitívne</w:t>
            </w:r>
          </w:p>
        </w:tc>
        <w:sdt>
          <w:sdtPr>
            <w:rPr>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11BAA617" w14:textId="77777777" w:rsidR="004A117C" w:rsidRPr="00B043B4" w:rsidRDefault="004A117C" w:rsidP="00470E9B">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4082781A" w14:textId="77777777" w:rsidR="004A117C" w:rsidRPr="00B043B4" w:rsidRDefault="004A117C" w:rsidP="00470E9B">
            <w:pPr>
              <w:rPr>
                <w:b/>
                <w:sz w:val="20"/>
                <w:szCs w:val="20"/>
                <w:lang w:eastAsia="sk-SK"/>
              </w:rPr>
            </w:pPr>
            <w:r w:rsidRPr="00B043B4">
              <w:rPr>
                <w:b/>
                <w:sz w:val="20"/>
                <w:szCs w:val="20"/>
                <w:lang w:eastAsia="sk-SK"/>
              </w:rPr>
              <w:t>Žiadne</w:t>
            </w:r>
          </w:p>
        </w:tc>
        <w:sdt>
          <w:sdtPr>
            <w:rPr>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68465CAD" w14:textId="77777777" w:rsidR="004A117C" w:rsidRPr="00B043B4" w:rsidRDefault="004A117C" w:rsidP="00470E9B">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6E5E53E1" w14:textId="77777777" w:rsidR="004A117C" w:rsidRPr="00B043B4" w:rsidRDefault="004A117C" w:rsidP="00470E9B">
            <w:pPr>
              <w:ind w:left="54"/>
              <w:rPr>
                <w:b/>
                <w:sz w:val="20"/>
                <w:szCs w:val="20"/>
                <w:lang w:eastAsia="sk-SK"/>
              </w:rPr>
            </w:pPr>
            <w:r w:rsidRPr="00B043B4">
              <w:rPr>
                <w:b/>
                <w:sz w:val="20"/>
                <w:szCs w:val="20"/>
                <w:lang w:eastAsia="sk-SK"/>
              </w:rPr>
              <w:t>Negatívne</w:t>
            </w:r>
          </w:p>
        </w:tc>
      </w:tr>
      <w:tr w:rsidR="004A117C" w:rsidRPr="00B043B4" w14:paraId="621B108A" w14:textId="77777777" w:rsidTr="00470E9B">
        <w:tc>
          <w:tcPr>
            <w:tcW w:w="3812" w:type="dxa"/>
            <w:tcBorders>
              <w:top w:val="nil"/>
              <w:left w:val="single" w:sz="4" w:space="0" w:color="000000"/>
              <w:bottom w:val="nil"/>
              <w:right w:val="single" w:sz="4" w:space="0" w:color="000000"/>
            </w:tcBorders>
            <w:shd w:val="clear" w:color="auto" w:fill="E2E2E2"/>
          </w:tcPr>
          <w:p w14:paraId="1E5F86B4" w14:textId="77777777" w:rsidR="004A117C" w:rsidRPr="00B043B4" w:rsidRDefault="004A117C" w:rsidP="00470E9B">
            <w:pPr>
              <w:rPr>
                <w:sz w:val="20"/>
                <w:szCs w:val="20"/>
                <w:lang w:eastAsia="sk-SK"/>
              </w:rPr>
            </w:pPr>
            <w:r w:rsidRPr="00B043B4">
              <w:rPr>
                <w:sz w:val="20"/>
                <w:szCs w:val="20"/>
                <w:lang w:eastAsia="sk-SK"/>
              </w:rPr>
              <w:t xml:space="preserve"> </w:t>
            </w:r>
            <w:r>
              <w:rPr>
                <w:sz w:val="20"/>
                <w:szCs w:val="20"/>
                <w:lang w:eastAsia="sk-SK"/>
              </w:rPr>
              <w:t xml:space="preserve">   </w:t>
            </w:r>
            <w:r w:rsidRPr="00B043B4">
              <w:rPr>
                <w:sz w:val="20"/>
                <w:szCs w:val="20"/>
                <w:lang w:eastAsia="sk-SK"/>
              </w:rPr>
              <w:t>z toho vplyvy na MSP</w:t>
            </w:r>
          </w:p>
          <w:p w14:paraId="51BF62BC" w14:textId="77777777" w:rsidR="004A117C" w:rsidRPr="00B043B4" w:rsidRDefault="004A117C" w:rsidP="00470E9B">
            <w:pPr>
              <w:rPr>
                <w:sz w:val="20"/>
                <w:szCs w:val="20"/>
                <w:lang w:eastAsia="sk-SK"/>
              </w:rPr>
            </w:pPr>
          </w:p>
        </w:tc>
        <w:sdt>
          <w:sdtPr>
            <w:rPr>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363B9ABE" w14:textId="77777777" w:rsidR="004A117C" w:rsidRPr="00B043B4" w:rsidRDefault="004A117C" w:rsidP="00470E9B">
                <w:pPr>
                  <w:jc w:val="cente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7AC39B3" w14:textId="77777777" w:rsidR="004A117C" w:rsidRPr="00B043B4" w:rsidRDefault="004A117C" w:rsidP="00470E9B">
            <w:pPr>
              <w:ind w:right="-108"/>
              <w:rPr>
                <w:sz w:val="20"/>
                <w:szCs w:val="20"/>
                <w:lang w:eastAsia="sk-SK"/>
              </w:rPr>
            </w:pPr>
            <w:r w:rsidRPr="00B043B4">
              <w:rPr>
                <w:sz w:val="20"/>
                <w:szCs w:val="20"/>
                <w:lang w:eastAsia="sk-SK"/>
              </w:rPr>
              <w:t>Pozitívne</w:t>
            </w:r>
          </w:p>
        </w:tc>
        <w:sdt>
          <w:sdtPr>
            <w:rPr>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52E573B" w14:textId="77777777" w:rsidR="004A117C" w:rsidRPr="00B043B4" w:rsidRDefault="004A117C" w:rsidP="00470E9B">
                <w:pPr>
                  <w:jc w:val="center"/>
                  <w:rPr>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DD525B0" w14:textId="77777777" w:rsidR="004A117C" w:rsidRPr="00B043B4" w:rsidRDefault="004A117C" w:rsidP="00470E9B">
            <w:pPr>
              <w:rPr>
                <w:sz w:val="20"/>
                <w:szCs w:val="20"/>
                <w:lang w:eastAsia="sk-SK"/>
              </w:rPr>
            </w:pPr>
            <w:r w:rsidRPr="00B043B4">
              <w:rPr>
                <w:sz w:val="20"/>
                <w:szCs w:val="20"/>
                <w:lang w:eastAsia="sk-SK"/>
              </w:rPr>
              <w:t>Žiadne</w:t>
            </w:r>
          </w:p>
        </w:tc>
        <w:sdt>
          <w:sdtPr>
            <w:rPr>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5138DB4" w14:textId="77777777" w:rsidR="004A117C" w:rsidRPr="00B043B4" w:rsidRDefault="004A117C" w:rsidP="00470E9B">
                <w:pPr>
                  <w:jc w:val="center"/>
                  <w:rPr>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A301825" w14:textId="77777777" w:rsidR="004A117C" w:rsidRPr="00B043B4" w:rsidRDefault="004A117C" w:rsidP="00470E9B">
            <w:pPr>
              <w:ind w:left="54"/>
              <w:rPr>
                <w:sz w:val="20"/>
                <w:szCs w:val="20"/>
                <w:lang w:eastAsia="sk-SK"/>
              </w:rPr>
            </w:pPr>
            <w:r w:rsidRPr="00B043B4">
              <w:rPr>
                <w:sz w:val="20"/>
                <w:szCs w:val="20"/>
                <w:lang w:eastAsia="sk-SK"/>
              </w:rPr>
              <w:t>Negatívne</w:t>
            </w:r>
          </w:p>
        </w:tc>
      </w:tr>
      <w:tr w:rsidR="004A117C" w:rsidRPr="00B043B4" w14:paraId="1EE09804" w14:textId="77777777" w:rsidTr="00470E9B">
        <w:tc>
          <w:tcPr>
            <w:tcW w:w="3812" w:type="dxa"/>
            <w:tcBorders>
              <w:top w:val="nil"/>
              <w:left w:val="single" w:sz="4" w:space="0" w:color="auto"/>
              <w:bottom w:val="single" w:sz="4" w:space="0" w:color="auto"/>
              <w:right w:val="single" w:sz="4" w:space="0" w:color="auto"/>
            </w:tcBorders>
            <w:shd w:val="clear" w:color="auto" w:fill="E2E2E2"/>
          </w:tcPr>
          <w:p w14:paraId="43567AD0" w14:textId="77777777" w:rsidR="004A117C" w:rsidRDefault="004A117C" w:rsidP="00470E9B">
            <w:pPr>
              <w:rPr>
                <w:sz w:val="20"/>
                <w:szCs w:val="20"/>
                <w:lang w:eastAsia="sk-SK"/>
              </w:rPr>
            </w:pPr>
            <w:r>
              <w:rPr>
                <w:sz w:val="20"/>
                <w:szCs w:val="20"/>
                <w:lang w:eastAsia="sk-SK"/>
              </w:rPr>
              <w:t xml:space="preserve">    </w:t>
            </w:r>
            <w:r w:rsidRPr="00B043B4">
              <w:rPr>
                <w:sz w:val="20"/>
                <w:szCs w:val="20"/>
                <w:lang w:eastAsia="sk-SK"/>
              </w:rPr>
              <w:t xml:space="preserve">Mechanizmus znižovania byrokracie </w:t>
            </w:r>
            <w:r>
              <w:rPr>
                <w:sz w:val="20"/>
                <w:szCs w:val="20"/>
                <w:lang w:eastAsia="sk-SK"/>
              </w:rPr>
              <w:t xml:space="preserve">   </w:t>
            </w:r>
          </w:p>
          <w:p w14:paraId="67B260FE" w14:textId="77777777" w:rsidR="004A117C" w:rsidRPr="00B043B4" w:rsidRDefault="004A117C" w:rsidP="00470E9B">
            <w:pPr>
              <w:rPr>
                <w:b/>
                <w:sz w:val="20"/>
                <w:szCs w:val="20"/>
                <w:lang w:eastAsia="sk-SK"/>
              </w:rPr>
            </w:pPr>
            <w:r>
              <w:rPr>
                <w:sz w:val="20"/>
                <w:szCs w:val="20"/>
                <w:lang w:eastAsia="sk-SK"/>
              </w:rPr>
              <w:t xml:space="preserve">    </w:t>
            </w:r>
            <w:r w:rsidRPr="00B043B4">
              <w:rPr>
                <w:sz w:val="20"/>
                <w:szCs w:val="20"/>
                <w:lang w:eastAsia="sk-SK"/>
              </w:rPr>
              <w:t>a nákladov sa uplatňuje:</w:t>
            </w:r>
          </w:p>
        </w:tc>
        <w:sdt>
          <w:sdtPr>
            <w:rPr>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13FCB89" w14:textId="77777777" w:rsidR="004A117C" w:rsidRPr="00B043B4" w:rsidRDefault="004A117C" w:rsidP="00470E9B">
                <w:pPr>
                  <w:jc w:val="center"/>
                  <w:rPr>
                    <w:b/>
                    <w:sz w:val="20"/>
                    <w:szCs w:val="20"/>
                    <w:lang w:eastAsia="sk-SK"/>
                  </w:rPr>
                </w:pPr>
                <w:r>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477029C0" w14:textId="77777777" w:rsidR="004A117C" w:rsidRPr="00B043B4" w:rsidRDefault="004A117C" w:rsidP="00470E9B">
            <w:pPr>
              <w:ind w:right="-108"/>
              <w:rPr>
                <w:b/>
                <w:sz w:val="20"/>
                <w:szCs w:val="20"/>
                <w:lang w:eastAsia="sk-SK"/>
              </w:rPr>
            </w:pPr>
            <w:r w:rsidRPr="00B043B4">
              <w:rPr>
                <w:sz w:val="20"/>
                <w:szCs w:val="20"/>
                <w:lang w:eastAsia="sk-SK"/>
              </w:rPr>
              <w:t>Áno</w:t>
            </w:r>
          </w:p>
        </w:tc>
        <w:tc>
          <w:tcPr>
            <w:tcW w:w="254" w:type="dxa"/>
            <w:tcBorders>
              <w:top w:val="dotted" w:sz="4" w:space="0" w:color="auto"/>
              <w:left w:val="nil"/>
              <w:bottom w:val="single" w:sz="4" w:space="0" w:color="auto"/>
              <w:right w:val="nil"/>
            </w:tcBorders>
            <w:vAlign w:val="center"/>
          </w:tcPr>
          <w:p w14:paraId="34FE8291" w14:textId="77777777" w:rsidR="004A117C" w:rsidRPr="00B043B4" w:rsidRDefault="004A117C" w:rsidP="00470E9B">
            <w:pPr>
              <w:jc w:val="center"/>
              <w:rPr>
                <w:b/>
                <w:sz w:val="20"/>
                <w:szCs w:val="20"/>
                <w:lang w:eastAsia="sk-SK"/>
              </w:rPr>
            </w:pPr>
          </w:p>
        </w:tc>
        <w:tc>
          <w:tcPr>
            <w:tcW w:w="1133" w:type="dxa"/>
            <w:tcBorders>
              <w:top w:val="dotted" w:sz="4" w:space="0" w:color="auto"/>
              <w:left w:val="nil"/>
              <w:bottom w:val="single" w:sz="4" w:space="0" w:color="auto"/>
              <w:right w:val="nil"/>
            </w:tcBorders>
            <w:vAlign w:val="center"/>
          </w:tcPr>
          <w:p w14:paraId="22E3CA05" w14:textId="77777777" w:rsidR="004A117C" w:rsidRPr="00B043B4" w:rsidRDefault="004A117C" w:rsidP="00470E9B">
            <w:pPr>
              <w:jc w:val="center"/>
              <w:rPr>
                <w:b/>
                <w:sz w:val="20"/>
                <w:szCs w:val="20"/>
                <w:lang w:eastAsia="sk-SK"/>
              </w:rPr>
            </w:pPr>
          </w:p>
        </w:tc>
        <w:sdt>
          <w:sdtPr>
            <w:rPr>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7C9F763" w14:textId="77777777" w:rsidR="004A117C" w:rsidRPr="00B043B4" w:rsidRDefault="004A117C" w:rsidP="00470E9B">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A245513" w14:textId="77777777" w:rsidR="004A117C" w:rsidRPr="00B043B4" w:rsidRDefault="004A117C" w:rsidP="00470E9B">
            <w:pPr>
              <w:ind w:left="54"/>
              <w:rPr>
                <w:b/>
                <w:sz w:val="20"/>
                <w:szCs w:val="20"/>
                <w:lang w:eastAsia="sk-SK"/>
              </w:rPr>
            </w:pPr>
            <w:r w:rsidRPr="00B043B4">
              <w:rPr>
                <w:sz w:val="20"/>
                <w:szCs w:val="20"/>
                <w:lang w:eastAsia="sk-SK"/>
              </w:rPr>
              <w:t>Nie</w:t>
            </w:r>
          </w:p>
        </w:tc>
      </w:tr>
      <w:tr w:rsidR="004A117C" w:rsidRPr="00B043B4" w14:paraId="21AD2965" w14:textId="77777777" w:rsidTr="00470E9B">
        <w:tc>
          <w:tcPr>
            <w:tcW w:w="3812" w:type="dxa"/>
            <w:tcBorders>
              <w:top w:val="single" w:sz="4" w:space="0" w:color="000000"/>
              <w:left w:val="single" w:sz="4" w:space="0" w:color="auto"/>
              <w:bottom w:val="single" w:sz="4" w:space="0" w:color="auto"/>
              <w:right w:val="single" w:sz="4" w:space="0" w:color="auto"/>
            </w:tcBorders>
            <w:shd w:val="clear" w:color="auto" w:fill="E2E2E2"/>
          </w:tcPr>
          <w:p w14:paraId="29348A53" w14:textId="77777777" w:rsidR="004A117C" w:rsidRPr="00B043B4" w:rsidRDefault="004A117C" w:rsidP="00470E9B">
            <w:pPr>
              <w:rPr>
                <w:b/>
                <w:sz w:val="20"/>
                <w:szCs w:val="20"/>
                <w:lang w:eastAsia="sk-SK"/>
              </w:rPr>
            </w:pPr>
            <w:r w:rsidRPr="00B043B4">
              <w:rPr>
                <w:b/>
                <w:sz w:val="20"/>
                <w:szCs w:val="20"/>
                <w:lang w:eastAsia="sk-SK"/>
              </w:rPr>
              <w:t>Sociálne vplyvy</w:t>
            </w:r>
          </w:p>
        </w:tc>
        <w:sdt>
          <w:sdtPr>
            <w:rPr>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FAB66D2" w14:textId="77777777" w:rsidR="004A117C" w:rsidRPr="00B043B4" w:rsidRDefault="004A117C" w:rsidP="00470E9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D9469DE" w14:textId="77777777" w:rsidR="004A117C" w:rsidRPr="00B043B4" w:rsidRDefault="004A117C" w:rsidP="00470E9B">
            <w:pPr>
              <w:ind w:right="-108"/>
              <w:rPr>
                <w:b/>
                <w:sz w:val="20"/>
                <w:szCs w:val="20"/>
                <w:lang w:eastAsia="sk-SK"/>
              </w:rPr>
            </w:pPr>
            <w:r w:rsidRPr="00B043B4">
              <w:rPr>
                <w:b/>
                <w:sz w:val="20"/>
                <w:szCs w:val="20"/>
                <w:lang w:eastAsia="sk-SK"/>
              </w:rPr>
              <w:t>Pozitívne</w:t>
            </w:r>
          </w:p>
        </w:tc>
        <w:sdt>
          <w:sdtPr>
            <w:rPr>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1AE52D9" w14:textId="77777777" w:rsidR="004A117C" w:rsidRPr="00B043B4" w:rsidRDefault="004A117C" w:rsidP="00470E9B">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7AD2992" w14:textId="77777777" w:rsidR="004A117C" w:rsidRPr="00B043B4" w:rsidRDefault="004A117C" w:rsidP="00470E9B">
            <w:pPr>
              <w:rPr>
                <w:b/>
                <w:sz w:val="20"/>
                <w:szCs w:val="20"/>
                <w:lang w:eastAsia="sk-SK"/>
              </w:rPr>
            </w:pPr>
            <w:r w:rsidRPr="00B043B4">
              <w:rPr>
                <w:b/>
                <w:sz w:val="20"/>
                <w:szCs w:val="20"/>
                <w:lang w:eastAsia="sk-SK"/>
              </w:rPr>
              <w:t>Žiadne</w:t>
            </w:r>
          </w:p>
        </w:tc>
        <w:sdt>
          <w:sdtPr>
            <w:rPr>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9209E9B" w14:textId="77777777" w:rsidR="004A117C" w:rsidRPr="00B043B4" w:rsidRDefault="004A117C" w:rsidP="00470E9B">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3716E9C" w14:textId="77777777" w:rsidR="004A117C" w:rsidRPr="00B043B4" w:rsidRDefault="004A117C" w:rsidP="00470E9B">
            <w:pPr>
              <w:ind w:left="54"/>
              <w:rPr>
                <w:b/>
                <w:sz w:val="20"/>
                <w:szCs w:val="20"/>
                <w:lang w:eastAsia="sk-SK"/>
              </w:rPr>
            </w:pPr>
            <w:r w:rsidRPr="00B043B4">
              <w:rPr>
                <w:b/>
                <w:sz w:val="20"/>
                <w:szCs w:val="20"/>
                <w:lang w:eastAsia="sk-SK"/>
              </w:rPr>
              <w:t>Negatívne</w:t>
            </w:r>
          </w:p>
        </w:tc>
      </w:tr>
      <w:tr w:rsidR="004A117C" w:rsidRPr="00B043B4" w14:paraId="73975F62" w14:textId="77777777" w:rsidTr="00470E9B">
        <w:tc>
          <w:tcPr>
            <w:tcW w:w="3812" w:type="dxa"/>
            <w:tcBorders>
              <w:top w:val="single" w:sz="4" w:space="0" w:color="auto"/>
              <w:left w:val="single" w:sz="4" w:space="0" w:color="auto"/>
              <w:bottom w:val="single" w:sz="4" w:space="0" w:color="auto"/>
              <w:right w:val="single" w:sz="4" w:space="0" w:color="auto"/>
            </w:tcBorders>
            <w:shd w:val="clear" w:color="auto" w:fill="E2E2E2"/>
          </w:tcPr>
          <w:p w14:paraId="0B19CF8D" w14:textId="77777777" w:rsidR="004A117C" w:rsidRPr="00B043B4" w:rsidRDefault="004A117C" w:rsidP="00470E9B">
            <w:pPr>
              <w:rPr>
                <w:b/>
                <w:sz w:val="20"/>
                <w:szCs w:val="20"/>
                <w:lang w:eastAsia="sk-SK"/>
              </w:rPr>
            </w:pPr>
            <w:r w:rsidRPr="00B043B4">
              <w:rPr>
                <w:b/>
                <w:sz w:val="20"/>
                <w:szCs w:val="20"/>
                <w:lang w:eastAsia="sk-SK"/>
              </w:rPr>
              <w:t>Vplyvy na životné prostredie</w:t>
            </w:r>
          </w:p>
        </w:tc>
        <w:sdt>
          <w:sdtPr>
            <w:rPr>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83C0F1D" w14:textId="77777777" w:rsidR="004A117C" w:rsidRPr="00B043B4" w:rsidRDefault="004A117C" w:rsidP="00470E9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31CC2E6" w14:textId="77777777" w:rsidR="004A117C" w:rsidRPr="00B043B4" w:rsidRDefault="004A117C" w:rsidP="00470E9B">
            <w:pPr>
              <w:ind w:right="-108"/>
              <w:rPr>
                <w:b/>
                <w:sz w:val="20"/>
                <w:szCs w:val="20"/>
                <w:lang w:eastAsia="sk-SK"/>
              </w:rPr>
            </w:pPr>
            <w:r w:rsidRPr="00B043B4">
              <w:rPr>
                <w:b/>
                <w:sz w:val="20"/>
                <w:szCs w:val="20"/>
                <w:lang w:eastAsia="sk-SK"/>
              </w:rPr>
              <w:t>Pozitívne</w:t>
            </w:r>
          </w:p>
        </w:tc>
        <w:sdt>
          <w:sdtPr>
            <w:rPr>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16DB2AA" w14:textId="77777777" w:rsidR="004A117C" w:rsidRPr="00B043B4" w:rsidRDefault="004A117C" w:rsidP="00470E9B">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186C1E0B" w14:textId="77777777" w:rsidR="004A117C" w:rsidRPr="00B043B4" w:rsidRDefault="004A117C" w:rsidP="00470E9B">
            <w:pPr>
              <w:rPr>
                <w:b/>
                <w:sz w:val="20"/>
                <w:szCs w:val="20"/>
                <w:lang w:eastAsia="sk-SK"/>
              </w:rPr>
            </w:pPr>
            <w:r w:rsidRPr="00B043B4">
              <w:rPr>
                <w:b/>
                <w:sz w:val="20"/>
                <w:szCs w:val="20"/>
                <w:lang w:eastAsia="sk-SK"/>
              </w:rPr>
              <w:t>Žiadne</w:t>
            </w:r>
          </w:p>
        </w:tc>
        <w:sdt>
          <w:sdtPr>
            <w:rPr>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6C95042" w14:textId="77777777" w:rsidR="004A117C" w:rsidRPr="00B043B4" w:rsidRDefault="004A117C" w:rsidP="00470E9B">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418B9A8" w14:textId="77777777" w:rsidR="004A117C" w:rsidRPr="00B043B4" w:rsidRDefault="004A117C" w:rsidP="00470E9B">
            <w:pPr>
              <w:ind w:left="54"/>
              <w:rPr>
                <w:b/>
                <w:sz w:val="20"/>
                <w:szCs w:val="20"/>
                <w:lang w:eastAsia="sk-SK"/>
              </w:rPr>
            </w:pPr>
            <w:r w:rsidRPr="00B043B4">
              <w:rPr>
                <w:b/>
                <w:sz w:val="20"/>
                <w:szCs w:val="20"/>
                <w:lang w:eastAsia="sk-SK"/>
              </w:rPr>
              <w:t>Negatívne</w:t>
            </w:r>
          </w:p>
        </w:tc>
      </w:tr>
      <w:tr w:rsidR="004A117C" w:rsidRPr="00B043B4" w14:paraId="6E587CEB" w14:textId="77777777" w:rsidTr="00470E9B">
        <w:tc>
          <w:tcPr>
            <w:tcW w:w="3812" w:type="dxa"/>
            <w:tcBorders>
              <w:top w:val="single" w:sz="4" w:space="0" w:color="auto"/>
              <w:left w:val="single" w:sz="4" w:space="0" w:color="auto"/>
              <w:bottom w:val="single" w:sz="4" w:space="0" w:color="auto"/>
              <w:right w:val="single" w:sz="4" w:space="0" w:color="auto"/>
            </w:tcBorders>
            <w:shd w:val="clear" w:color="auto" w:fill="E2E2E2"/>
          </w:tcPr>
          <w:p w14:paraId="11332E76" w14:textId="77777777" w:rsidR="004A117C" w:rsidRPr="00B043B4" w:rsidRDefault="004A117C" w:rsidP="00470E9B">
            <w:pPr>
              <w:rPr>
                <w:b/>
                <w:sz w:val="20"/>
                <w:szCs w:val="20"/>
                <w:lang w:eastAsia="sk-SK"/>
              </w:rPr>
            </w:pPr>
            <w:r w:rsidRPr="00B043B4">
              <w:rPr>
                <w:b/>
                <w:sz w:val="20"/>
                <w:szCs w:val="20"/>
                <w:lang w:eastAsia="sk-SK"/>
              </w:rPr>
              <w:t>Vplyvy na informatizáciu</w:t>
            </w:r>
            <w:r>
              <w:rPr>
                <w:b/>
                <w:sz w:val="20"/>
                <w:szCs w:val="20"/>
                <w:lang w:eastAsia="sk-SK"/>
              </w:rPr>
              <w:t xml:space="preserve"> spoločnosti</w:t>
            </w:r>
          </w:p>
        </w:tc>
        <w:sdt>
          <w:sdtPr>
            <w:rPr>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38A2215" w14:textId="77777777" w:rsidR="004A117C" w:rsidRPr="00B043B4" w:rsidRDefault="004A117C" w:rsidP="00470E9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54A68D5" w14:textId="77777777" w:rsidR="004A117C" w:rsidRPr="00B043B4" w:rsidRDefault="004A117C" w:rsidP="00470E9B">
            <w:pPr>
              <w:ind w:right="-108"/>
              <w:rPr>
                <w:b/>
                <w:sz w:val="20"/>
                <w:szCs w:val="20"/>
                <w:lang w:eastAsia="sk-SK"/>
              </w:rPr>
            </w:pPr>
            <w:r w:rsidRPr="00B043B4">
              <w:rPr>
                <w:b/>
                <w:sz w:val="20"/>
                <w:szCs w:val="20"/>
                <w:lang w:eastAsia="sk-SK"/>
              </w:rPr>
              <w:t>Pozitívne</w:t>
            </w:r>
          </w:p>
        </w:tc>
        <w:sdt>
          <w:sdtPr>
            <w:rPr>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2A467C1" w14:textId="77777777" w:rsidR="004A117C" w:rsidRPr="00B043B4" w:rsidRDefault="004A117C" w:rsidP="00470E9B">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82D2FAD" w14:textId="77777777" w:rsidR="004A117C" w:rsidRPr="00B043B4" w:rsidRDefault="004A117C" w:rsidP="00470E9B">
            <w:pPr>
              <w:rPr>
                <w:b/>
                <w:sz w:val="20"/>
                <w:szCs w:val="20"/>
                <w:lang w:eastAsia="sk-SK"/>
              </w:rPr>
            </w:pPr>
            <w:r w:rsidRPr="00B043B4">
              <w:rPr>
                <w:b/>
                <w:sz w:val="20"/>
                <w:szCs w:val="20"/>
                <w:lang w:eastAsia="sk-SK"/>
              </w:rPr>
              <w:t>Žiadne</w:t>
            </w:r>
          </w:p>
        </w:tc>
        <w:sdt>
          <w:sdtPr>
            <w:rPr>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88AF483" w14:textId="77777777" w:rsidR="004A117C" w:rsidRPr="00B043B4" w:rsidRDefault="004A117C" w:rsidP="00470E9B">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5D3184F" w14:textId="77777777" w:rsidR="004A117C" w:rsidRPr="00B043B4" w:rsidRDefault="004A117C" w:rsidP="00470E9B">
            <w:pPr>
              <w:ind w:left="54"/>
              <w:rPr>
                <w:b/>
                <w:sz w:val="20"/>
                <w:szCs w:val="20"/>
                <w:lang w:eastAsia="sk-SK"/>
              </w:rPr>
            </w:pPr>
            <w:r w:rsidRPr="00B043B4">
              <w:rPr>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4A117C" w:rsidRPr="00B043B4" w14:paraId="52B37C67" w14:textId="77777777" w:rsidTr="00470E9B">
        <w:tc>
          <w:tcPr>
            <w:tcW w:w="3812" w:type="dxa"/>
            <w:tcBorders>
              <w:top w:val="single" w:sz="4" w:space="0" w:color="auto"/>
              <w:left w:val="single" w:sz="4" w:space="0" w:color="auto"/>
              <w:bottom w:val="nil"/>
              <w:right w:val="single" w:sz="4" w:space="0" w:color="auto"/>
            </w:tcBorders>
            <w:shd w:val="clear" w:color="auto" w:fill="E2E2E2"/>
          </w:tcPr>
          <w:p w14:paraId="53BD24A1" w14:textId="77777777" w:rsidR="004A117C" w:rsidRPr="00B043B4" w:rsidRDefault="004A117C" w:rsidP="00470E9B">
            <w:pPr>
              <w:rPr>
                <w:b/>
                <w:sz w:val="20"/>
                <w:szCs w:val="20"/>
                <w:lang w:eastAsia="sk-SK"/>
              </w:rPr>
            </w:pPr>
            <w:r w:rsidRPr="00B043B4">
              <w:rPr>
                <w:rFonts w:eastAsia="Calibri"/>
                <w:b/>
                <w:sz w:val="20"/>
                <w:szCs w:val="20"/>
              </w:rPr>
              <w:t>Vplyvy na služby verejnej správy pre občana, z</w:t>
            </w:r>
            <w:r>
              <w:rPr>
                <w:rFonts w:eastAsia="Calibri"/>
                <w:b/>
                <w:sz w:val="20"/>
                <w:szCs w:val="20"/>
              </w:rPr>
              <w:t> </w:t>
            </w:r>
            <w:r w:rsidRPr="00B043B4">
              <w:rPr>
                <w:rFonts w:eastAsia="Calibri"/>
                <w:b/>
                <w:sz w:val="20"/>
                <w:szCs w:val="20"/>
              </w:rPr>
              <w:t>toho</w:t>
            </w:r>
          </w:p>
        </w:tc>
        <w:tc>
          <w:tcPr>
            <w:tcW w:w="541" w:type="dxa"/>
            <w:tcBorders>
              <w:top w:val="single" w:sz="4" w:space="0" w:color="auto"/>
              <w:left w:val="single" w:sz="4" w:space="0" w:color="auto"/>
              <w:bottom w:val="nil"/>
              <w:right w:val="nil"/>
            </w:tcBorders>
            <w:shd w:val="clear" w:color="auto" w:fill="auto"/>
          </w:tcPr>
          <w:p w14:paraId="1A3305A3" w14:textId="77777777" w:rsidR="004A117C" w:rsidRPr="00B043B4" w:rsidRDefault="004A117C" w:rsidP="00470E9B">
            <w:pPr>
              <w:jc w:val="center"/>
              <w:rPr>
                <w:rFonts w:eastAsia="MS Mincho"/>
                <w:b/>
                <w:sz w:val="20"/>
                <w:szCs w:val="20"/>
                <w:lang w:eastAsia="sk-SK"/>
              </w:rPr>
            </w:pPr>
          </w:p>
        </w:tc>
        <w:tc>
          <w:tcPr>
            <w:tcW w:w="1281" w:type="dxa"/>
            <w:tcBorders>
              <w:top w:val="single" w:sz="4" w:space="0" w:color="auto"/>
              <w:left w:val="nil"/>
              <w:bottom w:val="nil"/>
              <w:right w:val="nil"/>
            </w:tcBorders>
            <w:shd w:val="clear" w:color="auto" w:fill="auto"/>
          </w:tcPr>
          <w:p w14:paraId="326C0D31" w14:textId="77777777" w:rsidR="004A117C" w:rsidRPr="00B043B4" w:rsidRDefault="004A117C" w:rsidP="00470E9B">
            <w:pPr>
              <w:ind w:right="-108"/>
              <w:rPr>
                <w:b/>
                <w:sz w:val="20"/>
                <w:szCs w:val="20"/>
                <w:lang w:eastAsia="sk-SK"/>
              </w:rPr>
            </w:pPr>
          </w:p>
        </w:tc>
        <w:tc>
          <w:tcPr>
            <w:tcW w:w="569" w:type="dxa"/>
            <w:gridSpan w:val="2"/>
            <w:tcBorders>
              <w:top w:val="single" w:sz="4" w:space="0" w:color="auto"/>
              <w:left w:val="nil"/>
              <w:bottom w:val="nil"/>
              <w:right w:val="nil"/>
            </w:tcBorders>
            <w:shd w:val="clear" w:color="auto" w:fill="auto"/>
          </w:tcPr>
          <w:p w14:paraId="7642D582" w14:textId="77777777" w:rsidR="004A117C" w:rsidRPr="00B043B4" w:rsidRDefault="004A117C" w:rsidP="00470E9B">
            <w:pPr>
              <w:jc w:val="center"/>
              <w:rPr>
                <w:rFonts w:eastAsia="MS Mincho"/>
                <w:b/>
                <w:sz w:val="20"/>
                <w:szCs w:val="20"/>
                <w:lang w:eastAsia="sk-SK"/>
              </w:rPr>
            </w:pPr>
          </w:p>
        </w:tc>
        <w:tc>
          <w:tcPr>
            <w:tcW w:w="1133" w:type="dxa"/>
            <w:tcBorders>
              <w:top w:val="single" w:sz="4" w:space="0" w:color="auto"/>
              <w:left w:val="nil"/>
              <w:bottom w:val="nil"/>
              <w:right w:val="nil"/>
            </w:tcBorders>
            <w:shd w:val="clear" w:color="auto" w:fill="auto"/>
          </w:tcPr>
          <w:p w14:paraId="7D05CBB7" w14:textId="77777777" w:rsidR="004A117C" w:rsidRPr="00B043B4" w:rsidRDefault="004A117C" w:rsidP="00470E9B">
            <w:pPr>
              <w:rPr>
                <w:b/>
                <w:sz w:val="20"/>
                <w:szCs w:val="20"/>
                <w:lang w:eastAsia="sk-SK"/>
              </w:rPr>
            </w:pPr>
          </w:p>
        </w:tc>
        <w:tc>
          <w:tcPr>
            <w:tcW w:w="547" w:type="dxa"/>
            <w:tcBorders>
              <w:top w:val="single" w:sz="4" w:space="0" w:color="auto"/>
              <w:left w:val="nil"/>
              <w:bottom w:val="nil"/>
              <w:right w:val="nil"/>
            </w:tcBorders>
            <w:shd w:val="clear" w:color="auto" w:fill="auto"/>
          </w:tcPr>
          <w:p w14:paraId="62653678" w14:textId="77777777" w:rsidR="004A117C" w:rsidRPr="00B043B4" w:rsidRDefault="004A117C" w:rsidP="00470E9B">
            <w:pPr>
              <w:jc w:val="center"/>
              <w:rPr>
                <w:rFonts w:eastAsia="MS Mincho"/>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5FE797B2" w14:textId="77777777" w:rsidR="004A117C" w:rsidRPr="00B043B4" w:rsidRDefault="004A117C" w:rsidP="00470E9B">
            <w:pPr>
              <w:ind w:left="54"/>
              <w:rPr>
                <w:b/>
                <w:sz w:val="20"/>
                <w:szCs w:val="20"/>
                <w:lang w:eastAsia="sk-SK"/>
              </w:rPr>
            </w:pPr>
          </w:p>
        </w:tc>
      </w:tr>
      <w:tr w:rsidR="004A117C" w:rsidRPr="00B043B4" w14:paraId="7A3F2FF8" w14:textId="77777777" w:rsidTr="00470E9B">
        <w:tc>
          <w:tcPr>
            <w:tcW w:w="3812" w:type="dxa"/>
            <w:tcBorders>
              <w:top w:val="nil"/>
              <w:left w:val="single" w:sz="4" w:space="0" w:color="auto"/>
              <w:bottom w:val="nil"/>
              <w:right w:val="single" w:sz="4" w:space="0" w:color="auto"/>
            </w:tcBorders>
            <w:shd w:val="clear" w:color="auto" w:fill="E2E2E2"/>
          </w:tcPr>
          <w:p w14:paraId="4AB8551B" w14:textId="77777777" w:rsidR="004A117C" w:rsidRPr="00B043B4" w:rsidRDefault="004A117C" w:rsidP="00470E9B">
            <w:pPr>
              <w:ind w:left="196" w:hanging="196"/>
              <w:rPr>
                <w:rFonts w:eastAsia="Calibri"/>
                <w:b/>
                <w:sz w:val="20"/>
                <w:szCs w:val="20"/>
              </w:rPr>
            </w:pPr>
            <w:r w:rsidRPr="00B043B4">
              <w:rPr>
                <w:rFonts w:eastAsia="Calibri"/>
                <w:b/>
                <w:sz w:val="20"/>
                <w:szCs w:val="20"/>
              </w:rPr>
              <w:t xml:space="preserve">    vplyvy služieb verejnej správy na občana</w:t>
            </w:r>
          </w:p>
        </w:tc>
        <w:sdt>
          <w:sdtPr>
            <w:rPr>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1CA5D6E9" w14:textId="77777777" w:rsidR="004A117C" w:rsidRPr="00B043B4" w:rsidRDefault="004A117C" w:rsidP="00470E9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213263EA" w14:textId="77777777" w:rsidR="004A117C" w:rsidRPr="00B043B4" w:rsidRDefault="004A117C" w:rsidP="00470E9B">
            <w:pPr>
              <w:ind w:right="-108"/>
              <w:rPr>
                <w:b/>
                <w:sz w:val="20"/>
                <w:szCs w:val="20"/>
                <w:lang w:eastAsia="sk-SK"/>
              </w:rPr>
            </w:pPr>
            <w:r w:rsidRPr="00B043B4">
              <w:rPr>
                <w:b/>
                <w:sz w:val="20"/>
                <w:szCs w:val="20"/>
                <w:lang w:eastAsia="sk-SK"/>
              </w:rPr>
              <w:t>Pozitívne</w:t>
            </w:r>
          </w:p>
        </w:tc>
        <w:sdt>
          <w:sdtPr>
            <w:rPr>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252FD57C" w14:textId="77777777" w:rsidR="004A117C" w:rsidRPr="00B043B4" w:rsidRDefault="004A117C" w:rsidP="00470E9B">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371DC8D8" w14:textId="77777777" w:rsidR="004A117C" w:rsidRPr="00B043B4" w:rsidRDefault="004A117C" w:rsidP="00470E9B">
            <w:pPr>
              <w:rPr>
                <w:b/>
                <w:sz w:val="20"/>
                <w:szCs w:val="20"/>
                <w:lang w:eastAsia="sk-SK"/>
              </w:rPr>
            </w:pPr>
            <w:r w:rsidRPr="00B043B4">
              <w:rPr>
                <w:b/>
                <w:sz w:val="20"/>
                <w:szCs w:val="20"/>
                <w:lang w:eastAsia="sk-SK"/>
              </w:rPr>
              <w:t>Žiadne</w:t>
            </w:r>
          </w:p>
        </w:tc>
        <w:sdt>
          <w:sdtPr>
            <w:rPr>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0CAED54C" w14:textId="77777777" w:rsidR="004A117C" w:rsidRPr="00B043B4" w:rsidRDefault="004A117C" w:rsidP="00470E9B">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2A397B62" w14:textId="77777777" w:rsidR="004A117C" w:rsidRPr="00B043B4" w:rsidRDefault="004A117C" w:rsidP="00470E9B">
            <w:pPr>
              <w:ind w:left="54"/>
              <w:rPr>
                <w:b/>
                <w:sz w:val="20"/>
                <w:szCs w:val="20"/>
                <w:lang w:eastAsia="sk-SK"/>
              </w:rPr>
            </w:pPr>
            <w:r w:rsidRPr="00B043B4">
              <w:rPr>
                <w:b/>
                <w:sz w:val="20"/>
                <w:szCs w:val="20"/>
                <w:lang w:eastAsia="sk-SK"/>
              </w:rPr>
              <w:t>Negatívne</w:t>
            </w:r>
          </w:p>
        </w:tc>
      </w:tr>
      <w:tr w:rsidR="004A117C" w:rsidRPr="00B043B4" w14:paraId="33153CB2" w14:textId="77777777" w:rsidTr="00470E9B">
        <w:tc>
          <w:tcPr>
            <w:tcW w:w="3812" w:type="dxa"/>
            <w:tcBorders>
              <w:top w:val="nil"/>
              <w:left w:val="single" w:sz="4" w:space="0" w:color="auto"/>
              <w:bottom w:val="nil"/>
              <w:right w:val="single" w:sz="4" w:space="0" w:color="auto"/>
            </w:tcBorders>
            <w:shd w:val="clear" w:color="auto" w:fill="E2E2E2"/>
          </w:tcPr>
          <w:p w14:paraId="65204756" w14:textId="77777777" w:rsidR="004A117C" w:rsidRPr="00B043B4" w:rsidRDefault="004A117C" w:rsidP="00470E9B">
            <w:pPr>
              <w:ind w:left="168" w:hanging="168"/>
              <w:rPr>
                <w:rFonts w:eastAsia="Calibri"/>
                <w:b/>
                <w:sz w:val="20"/>
                <w:szCs w:val="20"/>
              </w:rPr>
            </w:pPr>
            <w:r w:rsidRPr="00B043B4">
              <w:rPr>
                <w:rFonts w:eastAsia="Calibri"/>
                <w:b/>
                <w:sz w:val="20"/>
                <w:szCs w:val="20"/>
              </w:rPr>
              <w:t xml:space="preserve">    vplyvy na procesy služieb vo verejnej správe</w:t>
            </w:r>
          </w:p>
        </w:tc>
        <w:sdt>
          <w:sdtPr>
            <w:rPr>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225D8D07" w14:textId="77777777" w:rsidR="004A117C" w:rsidRPr="00B043B4" w:rsidRDefault="004A117C" w:rsidP="00470E9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79F816C3" w14:textId="77777777" w:rsidR="004A117C" w:rsidRPr="00B043B4" w:rsidRDefault="004A117C" w:rsidP="00470E9B">
            <w:pPr>
              <w:ind w:right="-108"/>
              <w:rPr>
                <w:b/>
                <w:sz w:val="20"/>
                <w:szCs w:val="20"/>
                <w:lang w:eastAsia="sk-SK"/>
              </w:rPr>
            </w:pPr>
            <w:r w:rsidRPr="00B043B4">
              <w:rPr>
                <w:b/>
                <w:sz w:val="20"/>
                <w:szCs w:val="20"/>
                <w:lang w:eastAsia="sk-SK"/>
              </w:rPr>
              <w:t>Pozitívne</w:t>
            </w:r>
          </w:p>
        </w:tc>
        <w:sdt>
          <w:sdtPr>
            <w:rPr>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3D8E3325" w14:textId="77777777" w:rsidR="004A117C" w:rsidRPr="00B043B4" w:rsidRDefault="004A117C" w:rsidP="00470E9B">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134CF979" w14:textId="77777777" w:rsidR="004A117C" w:rsidRPr="00B043B4" w:rsidRDefault="004A117C" w:rsidP="00470E9B">
            <w:pPr>
              <w:rPr>
                <w:b/>
                <w:sz w:val="20"/>
                <w:szCs w:val="20"/>
                <w:lang w:eastAsia="sk-SK"/>
              </w:rPr>
            </w:pPr>
            <w:r w:rsidRPr="00B043B4">
              <w:rPr>
                <w:b/>
                <w:sz w:val="20"/>
                <w:szCs w:val="20"/>
                <w:lang w:eastAsia="sk-SK"/>
              </w:rPr>
              <w:t>Žiadne</w:t>
            </w:r>
          </w:p>
        </w:tc>
        <w:sdt>
          <w:sdtPr>
            <w:rPr>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0B0B4112" w14:textId="77777777" w:rsidR="004A117C" w:rsidRPr="00B043B4" w:rsidRDefault="004A117C" w:rsidP="00470E9B">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49CC0629" w14:textId="77777777" w:rsidR="004A117C" w:rsidRPr="00B043B4" w:rsidRDefault="004A117C" w:rsidP="00470E9B">
            <w:pPr>
              <w:ind w:left="54"/>
              <w:rPr>
                <w:b/>
                <w:sz w:val="20"/>
                <w:szCs w:val="20"/>
                <w:lang w:eastAsia="sk-SK"/>
              </w:rPr>
            </w:pPr>
            <w:r w:rsidRPr="00B043B4">
              <w:rPr>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4A117C" w:rsidRPr="00B043B4" w14:paraId="7108237C" w14:textId="77777777" w:rsidTr="00470E9B">
        <w:tc>
          <w:tcPr>
            <w:tcW w:w="3812" w:type="dxa"/>
            <w:tcBorders>
              <w:top w:val="single" w:sz="4" w:space="0" w:color="000000"/>
              <w:left w:val="single" w:sz="4" w:space="0" w:color="auto"/>
              <w:bottom w:val="single" w:sz="4" w:space="0" w:color="auto"/>
              <w:right w:val="single" w:sz="4" w:space="0" w:color="auto"/>
            </w:tcBorders>
            <w:shd w:val="clear" w:color="auto" w:fill="E2E2E2"/>
          </w:tcPr>
          <w:p w14:paraId="50C63E6C" w14:textId="77777777" w:rsidR="004A117C" w:rsidRPr="00B043B4" w:rsidRDefault="004A117C" w:rsidP="00470E9B">
            <w:pPr>
              <w:rPr>
                <w:b/>
                <w:sz w:val="20"/>
                <w:szCs w:val="20"/>
                <w:lang w:eastAsia="sk-SK"/>
              </w:rPr>
            </w:pPr>
            <w:r w:rsidRPr="00F87681">
              <w:rPr>
                <w:b/>
                <w:sz w:val="20"/>
                <w:szCs w:val="20"/>
              </w:rPr>
              <w:t>Vplyvy na manželstvo</w:t>
            </w:r>
            <w:r>
              <w:rPr>
                <w:b/>
                <w:sz w:val="20"/>
                <w:szCs w:val="20"/>
              </w:rPr>
              <w:t>,</w:t>
            </w:r>
            <w:r w:rsidRPr="00F87681">
              <w:rPr>
                <w:b/>
                <w:sz w:val="20"/>
                <w:szCs w:val="20"/>
              </w:rPr>
              <w:t xml:space="preserve"> rodičovstvo a</w:t>
            </w:r>
            <w:r>
              <w:rPr>
                <w:b/>
                <w:sz w:val="20"/>
                <w:szCs w:val="20"/>
              </w:rPr>
              <w:t> </w:t>
            </w:r>
            <w:r w:rsidRPr="00F87681">
              <w:rPr>
                <w:b/>
                <w:sz w:val="20"/>
                <w:szCs w:val="20"/>
              </w:rPr>
              <w:t>rodinu</w:t>
            </w:r>
          </w:p>
        </w:tc>
        <w:sdt>
          <w:sdtPr>
            <w:rPr>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0559331" w14:textId="77777777" w:rsidR="004A117C" w:rsidRPr="00B043B4" w:rsidRDefault="004A117C" w:rsidP="00470E9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4DFCB676" w14:textId="77777777" w:rsidR="004A117C" w:rsidRPr="00B043B4" w:rsidRDefault="004A117C" w:rsidP="00470E9B">
            <w:pPr>
              <w:ind w:right="-108"/>
              <w:rPr>
                <w:b/>
                <w:sz w:val="20"/>
                <w:szCs w:val="20"/>
                <w:lang w:eastAsia="sk-SK"/>
              </w:rPr>
            </w:pPr>
            <w:r w:rsidRPr="00B043B4">
              <w:rPr>
                <w:b/>
                <w:sz w:val="20"/>
                <w:szCs w:val="20"/>
                <w:lang w:eastAsia="sk-SK"/>
              </w:rPr>
              <w:t>Pozitívne</w:t>
            </w:r>
          </w:p>
        </w:tc>
        <w:sdt>
          <w:sdtPr>
            <w:rPr>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72F0A9C7" w14:textId="77777777" w:rsidR="004A117C" w:rsidRPr="00B043B4" w:rsidRDefault="004A117C" w:rsidP="00470E9B">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15AE1A20" w14:textId="77777777" w:rsidR="004A117C" w:rsidRPr="00B043B4" w:rsidRDefault="004A117C" w:rsidP="00470E9B">
            <w:pPr>
              <w:rPr>
                <w:b/>
                <w:sz w:val="20"/>
                <w:szCs w:val="20"/>
                <w:lang w:eastAsia="sk-SK"/>
              </w:rPr>
            </w:pPr>
            <w:r w:rsidRPr="00B043B4">
              <w:rPr>
                <w:b/>
                <w:sz w:val="20"/>
                <w:szCs w:val="20"/>
                <w:lang w:eastAsia="sk-SK"/>
              </w:rPr>
              <w:t>Žiadne</w:t>
            </w:r>
          </w:p>
        </w:tc>
        <w:sdt>
          <w:sdtPr>
            <w:rPr>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532D0794" w14:textId="77777777" w:rsidR="004A117C" w:rsidRPr="00B043B4" w:rsidRDefault="004A117C" w:rsidP="00470E9B">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1889D53" w14:textId="77777777" w:rsidR="004A117C" w:rsidRPr="00B043B4" w:rsidRDefault="004A117C" w:rsidP="00470E9B">
            <w:pPr>
              <w:ind w:left="54"/>
              <w:rPr>
                <w:b/>
                <w:sz w:val="20"/>
                <w:szCs w:val="20"/>
                <w:lang w:eastAsia="sk-SK"/>
              </w:rPr>
            </w:pPr>
            <w:r w:rsidRPr="00B043B4">
              <w:rPr>
                <w:b/>
                <w:sz w:val="20"/>
                <w:szCs w:val="20"/>
                <w:lang w:eastAsia="sk-SK"/>
              </w:rPr>
              <w:t>Negatívne</w:t>
            </w:r>
          </w:p>
        </w:tc>
      </w:tr>
    </w:tbl>
    <w:p w14:paraId="60463DF0" w14:textId="77777777" w:rsidR="004A117C" w:rsidRPr="00B043B4" w:rsidRDefault="004A117C" w:rsidP="004A117C">
      <w:pPr>
        <w:ind w:right="141"/>
        <w:rPr>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4A117C" w:rsidRPr="00B043B4" w14:paraId="32435618" w14:textId="77777777" w:rsidTr="00470E9B">
        <w:tc>
          <w:tcPr>
            <w:tcW w:w="9176" w:type="dxa"/>
            <w:tcBorders>
              <w:top w:val="single" w:sz="4" w:space="0" w:color="auto"/>
              <w:left w:val="single" w:sz="4" w:space="0" w:color="auto"/>
              <w:bottom w:val="nil"/>
              <w:right w:val="single" w:sz="4" w:space="0" w:color="auto"/>
            </w:tcBorders>
            <w:shd w:val="clear" w:color="auto" w:fill="E2E2E2"/>
          </w:tcPr>
          <w:p w14:paraId="01C3092B" w14:textId="77777777" w:rsidR="004A117C" w:rsidRPr="00B043B4" w:rsidRDefault="004A117C" w:rsidP="00470E9B">
            <w:pPr>
              <w:numPr>
                <w:ilvl w:val="0"/>
                <w:numId w:val="1"/>
              </w:numPr>
              <w:ind w:left="426"/>
              <w:contextualSpacing/>
              <w:rPr>
                <w:rFonts w:eastAsia="Calibri"/>
                <w:b/>
              </w:rPr>
            </w:pPr>
            <w:r w:rsidRPr="00B043B4">
              <w:rPr>
                <w:rFonts w:eastAsia="Calibri"/>
                <w:b/>
              </w:rPr>
              <w:t>Poznámky</w:t>
            </w:r>
          </w:p>
        </w:tc>
      </w:tr>
      <w:tr w:rsidR="004A117C" w:rsidRPr="00B043B4" w14:paraId="5DFE7A44" w14:textId="77777777" w:rsidTr="00470E9B">
        <w:trPr>
          <w:trHeight w:val="713"/>
        </w:trPr>
        <w:tc>
          <w:tcPr>
            <w:tcW w:w="9176" w:type="dxa"/>
            <w:tcBorders>
              <w:top w:val="nil"/>
              <w:left w:val="single" w:sz="4" w:space="0" w:color="auto"/>
              <w:bottom w:val="single" w:sz="4" w:space="0" w:color="FFFFFF"/>
              <w:right w:val="single" w:sz="4" w:space="0" w:color="auto"/>
            </w:tcBorders>
            <w:shd w:val="clear" w:color="auto" w:fill="auto"/>
          </w:tcPr>
          <w:p w14:paraId="5C4A9549" w14:textId="77777777" w:rsidR="004A117C" w:rsidRPr="00B043B4" w:rsidRDefault="004A117C" w:rsidP="00470E9B">
            <w:pPr>
              <w:jc w:val="both"/>
              <w:rPr>
                <w:i/>
                <w:sz w:val="20"/>
                <w:szCs w:val="20"/>
                <w:lang w:eastAsia="sk-SK"/>
              </w:rPr>
            </w:pPr>
            <w:r w:rsidRPr="00B043B4">
              <w:rPr>
                <w:i/>
                <w:sz w:val="20"/>
                <w:szCs w:val="20"/>
                <w:lang w:eastAsia="sk-SK"/>
              </w:rPr>
              <w:t>V prípade potreby uveďte doplňujúce informácie k identifikovaným vplyvom a ich analýzam. Informácie v tejto časti slúžia na zhrnutie vplyvov a nie ako náhrada za vypracovanie príslušných analýz vybraných vplyvov.</w:t>
            </w:r>
          </w:p>
          <w:p w14:paraId="344DF5B3" w14:textId="77777777" w:rsidR="004A117C" w:rsidRDefault="004A117C" w:rsidP="00470E9B">
            <w:pPr>
              <w:ind w:left="426"/>
              <w:contextualSpacing/>
              <w:rPr>
                <w:rFonts w:eastAsia="Calibri"/>
                <w:b/>
              </w:rPr>
            </w:pPr>
          </w:p>
          <w:p w14:paraId="2DD7A840" w14:textId="77777777" w:rsidR="004A117C" w:rsidRDefault="004A117C" w:rsidP="00470E9B">
            <w:pPr>
              <w:contextualSpacing/>
              <w:jc w:val="both"/>
              <w:rPr>
                <w:rFonts w:eastAsia="Calibri"/>
              </w:rPr>
            </w:pPr>
            <w:r w:rsidRPr="00D32F1D">
              <w:rPr>
                <w:rFonts w:eastAsia="Calibri"/>
              </w:rPr>
              <w:t xml:space="preserve">V rámci Slovenskej republiky nebola </w:t>
            </w:r>
            <w:r>
              <w:rPr>
                <w:rFonts w:eastAsia="Calibri"/>
              </w:rPr>
              <w:t xml:space="preserve">podľa Čl. I </w:t>
            </w:r>
            <w:r w:rsidRPr="00D32F1D">
              <w:rPr>
                <w:rFonts w:eastAsia="Calibri"/>
              </w:rPr>
              <w:t>doposiaľ zriadená žiadna centrálna protistrana, v tomto momente ide o prebratie príslušných ustanovení nariadenia</w:t>
            </w:r>
            <w:r>
              <w:rPr>
                <w:rFonts w:eastAsia="Calibri"/>
              </w:rPr>
              <w:t xml:space="preserve"> 2021/23</w:t>
            </w:r>
            <w:r w:rsidRPr="00D32F1D">
              <w:rPr>
                <w:rFonts w:eastAsia="Calibri"/>
              </w:rPr>
              <w:t xml:space="preserve">, predovšetkým o určenie orgánu dohľadu. </w:t>
            </w:r>
          </w:p>
          <w:p w14:paraId="455E5905" w14:textId="77777777" w:rsidR="004A117C" w:rsidRDefault="004A117C" w:rsidP="00470E9B">
            <w:pPr>
              <w:contextualSpacing/>
              <w:jc w:val="both"/>
              <w:rPr>
                <w:rFonts w:eastAsia="Calibri"/>
              </w:rPr>
            </w:pPr>
          </w:p>
          <w:p w14:paraId="4F89F061" w14:textId="77777777" w:rsidR="004A117C" w:rsidRDefault="004A117C" w:rsidP="00470E9B">
            <w:pPr>
              <w:contextualSpacing/>
              <w:jc w:val="both"/>
              <w:rPr>
                <w:rFonts w:eastAsia="Calibri"/>
              </w:rPr>
            </w:pPr>
            <w:r>
              <w:rPr>
                <w:rFonts w:eastAsia="Calibri"/>
              </w:rPr>
              <w:lastRenderedPageBreak/>
              <w:t>V</w:t>
            </w:r>
            <w:r w:rsidRPr="005D7B6D">
              <w:rPr>
                <w:rFonts w:eastAsia="Calibri"/>
              </w:rPr>
              <w:t xml:space="preserve"> nadväznosti na balík opatrení Ministerstva hospodárstva Slovenskej republiky zameraný na uľahčenie podnikateľs</w:t>
            </w:r>
            <w:r>
              <w:rPr>
                <w:rFonts w:eastAsia="Calibri"/>
              </w:rPr>
              <w:t xml:space="preserve">kej činnosti, tzv. kilečko 2.0 </w:t>
            </w:r>
            <w:r w:rsidRPr="0084126D">
              <w:rPr>
                <w:rFonts w:eastAsia="Calibri"/>
              </w:rPr>
              <w:t xml:space="preserve">sa </w:t>
            </w:r>
            <w:r>
              <w:rPr>
                <w:rFonts w:eastAsia="Calibri"/>
              </w:rPr>
              <w:t xml:space="preserve">podľa Čl. IV </w:t>
            </w:r>
            <w:r w:rsidRPr="0084126D">
              <w:rPr>
                <w:rFonts w:eastAsia="Calibri"/>
              </w:rPr>
              <w:t>vytvárajú vhodnejšie podmienky na zabezpečenie dostupnosti kapitálu, ktorý následne subjekty kolektívneho investovania alokujú do reálnej ekonomiky</w:t>
            </w:r>
            <w:r>
              <w:rPr>
                <w:rFonts w:eastAsia="Calibri"/>
              </w:rPr>
              <w:t>, čo po</w:t>
            </w:r>
            <w:r w:rsidRPr="00FF3FEE">
              <w:rPr>
                <w:rFonts w:eastAsia="Calibri"/>
              </w:rPr>
              <w:t xml:space="preserve">vedie k zníženiu </w:t>
            </w:r>
            <w:r>
              <w:rPr>
                <w:rFonts w:eastAsia="Calibri"/>
              </w:rPr>
              <w:t>nákladov na získavanie kapitálu</w:t>
            </w:r>
            <w:r w:rsidRPr="0084126D">
              <w:rPr>
                <w:rFonts w:eastAsia="Calibri"/>
              </w:rPr>
              <w:t xml:space="preserve">. </w:t>
            </w:r>
          </w:p>
          <w:p w14:paraId="79D791BA" w14:textId="77777777" w:rsidR="004A117C" w:rsidRPr="00D32F1D" w:rsidRDefault="004A117C" w:rsidP="00470E9B">
            <w:pPr>
              <w:contextualSpacing/>
              <w:jc w:val="both"/>
              <w:rPr>
                <w:rFonts w:eastAsia="Calibri"/>
              </w:rPr>
            </w:pPr>
            <w:r w:rsidRPr="0084126D">
              <w:rPr>
                <w:rFonts w:eastAsia="Calibri"/>
              </w:rPr>
              <w:t>Zároveň vznikajú z dôvodu ochrany investorov povinnosti daným subjektom kolektívneho investovania informovať investorov o činnosti týchto subjektov v širšom rozsahu.</w:t>
            </w:r>
            <w:r>
              <w:rPr>
                <w:rFonts w:eastAsia="Calibri"/>
              </w:rPr>
              <w:t xml:space="preserve"> </w:t>
            </w:r>
          </w:p>
        </w:tc>
      </w:tr>
      <w:tr w:rsidR="004A117C" w:rsidRPr="00B043B4" w14:paraId="10691758" w14:textId="77777777" w:rsidTr="00470E9B">
        <w:tc>
          <w:tcPr>
            <w:tcW w:w="9176" w:type="dxa"/>
            <w:tcBorders>
              <w:top w:val="single" w:sz="4" w:space="0" w:color="auto"/>
              <w:left w:val="single" w:sz="4" w:space="0" w:color="auto"/>
              <w:bottom w:val="single" w:sz="4" w:space="0" w:color="FFFFFF"/>
              <w:right w:val="single" w:sz="4" w:space="0" w:color="auto"/>
            </w:tcBorders>
            <w:shd w:val="clear" w:color="auto" w:fill="E2E2E2"/>
          </w:tcPr>
          <w:p w14:paraId="06A5598D" w14:textId="77777777" w:rsidR="004A117C" w:rsidRPr="00B043B4" w:rsidRDefault="004A117C" w:rsidP="00470E9B">
            <w:pPr>
              <w:numPr>
                <w:ilvl w:val="0"/>
                <w:numId w:val="1"/>
              </w:numPr>
              <w:ind w:left="426"/>
              <w:contextualSpacing/>
              <w:rPr>
                <w:rFonts w:eastAsia="Calibri"/>
                <w:b/>
              </w:rPr>
            </w:pPr>
            <w:r w:rsidRPr="00B043B4">
              <w:rPr>
                <w:rFonts w:eastAsia="Calibri"/>
                <w:b/>
              </w:rPr>
              <w:lastRenderedPageBreak/>
              <w:t>Kontakt na spracovateľa</w:t>
            </w:r>
          </w:p>
        </w:tc>
      </w:tr>
      <w:tr w:rsidR="004A117C" w:rsidRPr="00B043B4" w14:paraId="2965EEA6" w14:textId="77777777" w:rsidTr="00470E9B">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AB14963" w14:textId="77777777" w:rsidR="004A117C" w:rsidRDefault="004A117C" w:rsidP="00470E9B">
            <w:pPr>
              <w:rPr>
                <w:i/>
                <w:sz w:val="20"/>
                <w:szCs w:val="20"/>
                <w:lang w:eastAsia="sk-SK"/>
              </w:rPr>
            </w:pPr>
            <w:r w:rsidRPr="00B043B4">
              <w:rPr>
                <w:i/>
                <w:sz w:val="20"/>
                <w:szCs w:val="20"/>
                <w:lang w:eastAsia="sk-SK"/>
              </w:rPr>
              <w:t>Uveďte údaje na kontaktnú osobu, ktorú je možné kontaktovať v súvislosti s posúdením vybraných vplyvov.</w:t>
            </w:r>
          </w:p>
          <w:p w14:paraId="6E591A34" w14:textId="77777777" w:rsidR="004A117C" w:rsidRDefault="004A117C" w:rsidP="00470E9B">
            <w:pPr>
              <w:rPr>
                <w:i/>
                <w:sz w:val="20"/>
                <w:szCs w:val="20"/>
                <w:lang w:eastAsia="sk-SK"/>
              </w:rPr>
            </w:pPr>
          </w:p>
          <w:p w14:paraId="6B4F226B" w14:textId="77777777" w:rsidR="004A117C" w:rsidRPr="002F424F" w:rsidRDefault="004A117C" w:rsidP="00470E9B">
            <w:pPr>
              <w:rPr>
                <w:sz w:val="20"/>
                <w:szCs w:val="20"/>
                <w:lang w:eastAsia="sk-SK"/>
              </w:rPr>
            </w:pPr>
            <w:r w:rsidRPr="002F424F">
              <w:rPr>
                <w:sz w:val="20"/>
                <w:szCs w:val="20"/>
                <w:lang w:eastAsia="sk-SK"/>
              </w:rPr>
              <w:t>Ing. Ján Kaššovič, PhD.</w:t>
            </w:r>
          </w:p>
          <w:p w14:paraId="55E84181" w14:textId="77777777" w:rsidR="004A117C" w:rsidRPr="002F424F" w:rsidRDefault="004A117C" w:rsidP="00470E9B">
            <w:pPr>
              <w:rPr>
                <w:sz w:val="20"/>
                <w:szCs w:val="20"/>
                <w:lang w:eastAsia="sk-SK"/>
              </w:rPr>
            </w:pPr>
            <w:r w:rsidRPr="002F424F">
              <w:rPr>
                <w:sz w:val="20"/>
                <w:szCs w:val="20"/>
                <w:lang w:eastAsia="sk-SK"/>
              </w:rPr>
              <w:t xml:space="preserve">02/5958 2529, jan.kassovic@mfsr.sk </w:t>
            </w:r>
          </w:p>
          <w:p w14:paraId="4A25DB96" w14:textId="77777777" w:rsidR="004A117C" w:rsidRPr="002F424F" w:rsidRDefault="004A117C" w:rsidP="00470E9B">
            <w:pPr>
              <w:rPr>
                <w:sz w:val="20"/>
                <w:szCs w:val="20"/>
                <w:lang w:eastAsia="sk-SK"/>
              </w:rPr>
            </w:pPr>
            <w:r w:rsidRPr="002F424F">
              <w:rPr>
                <w:sz w:val="20"/>
                <w:szCs w:val="20"/>
                <w:lang w:eastAsia="sk-SK"/>
              </w:rPr>
              <w:t>Ministerstvo financií Slovenskej republiky</w:t>
            </w:r>
          </w:p>
        </w:tc>
      </w:tr>
      <w:tr w:rsidR="004A117C" w:rsidRPr="00B043B4" w14:paraId="609D411A" w14:textId="77777777" w:rsidTr="00470E9B">
        <w:tc>
          <w:tcPr>
            <w:tcW w:w="9176" w:type="dxa"/>
            <w:tcBorders>
              <w:top w:val="single" w:sz="4" w:space="0" w:color="auto"/>
              <w:left w:val="single" w:sz="4" w:space="0" w:color="auto"/>
              <w:bottom w:val="single" w:sz="4" w:space="0" w:color="FFFFFF"/>
              <w:right w:val="single" w:sz="4" w:space="0" w:color="auto"/>
            </w:tcBorders>
            <w:shd w:val="clear" w:color="auto" w:fill="E2E2E2"/>
          </w:tcPr>
          <w:p w14:paraId="46811206" w14:textId="77777777" w:rsidR="004A117C" w:rsidRPr="00B043B4" w:rsidRDefault="004A117C" w:rsidP="00470E9B">
            <w:pPr>
              <w:numPr>
                <w:ilvl w:val="0"/>
                <w:numId w:val="1"/>
              </w:numPr>
              <w:ind w:left="426"/>
              <w:contextualSpacing/>
              <w:rPr>
                <w:rFonts w:eastAsia="Calibri"/>
                <w:b/>
              </w:rPr>
            </w:pPr>
            <w:r w:rsidRPr="00B043B4">
              <w:rPr>
                <w:rFonts w:eastAsia="Calibri"/>
                <w:b/>
              </w:rPr>
              <w:t>Zdroje</w:t>
            </w:r>
          </w:p>
        </w:tc>
      </w:tr>
      <w:tr w:rsidR="004A117C" w:rsidRPr="00B043B4" w14:paraId="6FE1A2DE" w14:textId="77777777" w:rsidTr="00470E9B">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BD762E2" w14:textId="77777777" w:rsidR="004A117C" w:rsidRPr="00B043B4" w:rsidRDefault="004A117C" w:rsidP="00470E9B">
            <w:pPr>
              <w:jc w:val="both"/>
              <w:rPr>
                <w:i/>
                <w:sz w:val="20"/>
                <w:szCs w:val="20"/>
                <w:lang w:eastAsia="sk-SK"/>
              </w:rPr>
            </w:pPr>
            <w:r w:rsidRPr="00B043B4">
              <w:rPr>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eastAsia="Calibri"/>
              </w:rPr>
              <w:t xml:space="preserve"> </w:t>
            </w:r>
          </w:p>
          <w:p w14:paraId="60F922CF" w14:textId="77777777" w:rsidR="004A117C" w:rsidRPr="00B043B4" w:rsidRDefault="004A117C" w:rsidP="00470E9B">
            <w:pPr>
              <w:rPr>
                <w:i/>
                <w:sz w:val="20"/>
                <w:szCs w:val="20"/>
                <w:lang w:eastAsia="sk-SK"/>
              </w:rPr>
            </w:pPr>
          </w:p>
          <w:p w14:paraId="50B94D91" w14:textId="77777777" w:rsidR="004A117C" w:rsidRPr="00B043B4" w:rsidRDefault="004A117C" w:rsidP="00470E9B">
            <w:pPr>
              <w:rPr>
                <w:b/>
                <w:sz w:val="20"/>
                <w:szCs w:val="20"/>
                <w:lang w:eastAsia="sk-SK"/>
              </w:rPr>
            </w:pPr>
          </w:p>
        </w:tc>
      </w:tr>
      <w:tr w:rsidR="004A117C" w:rsidRPr="00B043B4" w14:paraId="3BE848D7" w14:textId="77777777" w:rsidTr="00470E9B">
        <w:tc>
          <w:tcPr>
            <w:tcW w:w="9176" w:type="dxa"/>
            <w:tcBorders>
              <w:top w:val="single" w:sz="4" w:space="0" w:color="auto"/>
              <w:left w:val="single" w:sz="4" w:space="0" w:color="auto"/>
              <w:bottom w:val="single" w:sz="4" w:space="0" w:color="FFFFFF"/>
              <w:right w:val="single" w:sz="4" w:space="0" w:color="auto"/>
            </w:tcBorders>
            <w:shd w:val="clear" w:color="auto" w:fill="E2E2E2"/>
          </w:tcPr>
          <w:p w14:paraId="3E320DC4" w14:textId="77777777" w:rsidR="004A117C" w:rsidRPr="00B043B4" w:rsidRDefault="004A117C" w:rsidP="00470E9B">
            <w:pPr>
              <w:numPr>
                <w:ilvl w:val="0"/>
                <w:numId w:val="1"/>
              </w:numPr>
              <w:ind w:left="447" w:hanging="425"/>
              <w:contextualSpacing/>
              <w:rPr>
                <w:rFonts w:eastAsia="Calibri"/>
                <w:b/>
              </w:rPr>
            </w:pPr>
            <w:r w:rsidRPr="00B043B4">
              <w:rPr>
                <w:rFonts w:eastAsia="Calibri"/>
                <w:b/>
              </w:rPr>
              <w:t xml:space="preserve">Stanovisko Komisie na posudzovanie vybraných vplyvov z PPK č. </w:t>
            </w:r>
            <w:r>
              <w:rPr>
                <w:rFonts w:eastAsia="Calibri"/>
                <w:b/>
              </w:rPr>
              <w:t>219_2/2021</w:t>
            </w:r>
            <w:r w:rsidRPr="00B043B4">
              <w:rPr>
                <w:rFonts w:ascii="Calibri" w:eastAsia="Calibri" w:hAnsi="Calibri"/>
              </w:rPr>
              <w:t xml:space="preserve"> </w:t>
            </w:r>
          </w:p>
          <w:p w14:paraId="2147006E" w14:textId="77777777" w:rsidR="004A117C" w:rsidRPr="00B043B4" w:rsidRDefault="004A117C" w:rsidP="00470E9B">
            <w:pPr>
              <w:ind w:left="502"/>
              <w:rPr>
                <w:b/>
                <w:sz w:val="20"/>
                <w:szCs w:val="20"/>
                <w:lang w:eastAsia="sk-SK"/>
              </w:rPr>
            </w:pPr>
            <w:r w:rsidRPr="00B043B4">
              <w:rPr>
                <w:rFonts w:eastAsia="Calibri"/>
              </w:rPr>
              <w:t>(v prípade, ak sa uskutočnilo v zmysle bodu 8.1 Jednotnej metodiky)</w:t>
            </w:r>
          </w:p>
        </w:tc>
      </w:tr>
      <w:tr w:rsidR="004A117C" w:rsidRPr="00B043B4" w14:paraId="526C40DF" w14:textId="77777777" w:rsidTr="00470E9B">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93F2184" w14:textId="77777777" w:rsidR="004A117C" w:rsidRPr="00B043B4" w:rsidRDefault="004A117C" w:rsidP="00470E9B">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4A117C" w:rsidRPr="00B043B4" w14:paraId="63B0B8F9" w14:textId="77777777" w:rsidTr="00470E9B">
              <w:trPr>
                <w:trHeight w:val="396"/>
              </w:trPr>
              <w:tc>
                <w:tcPr>
                  <w:tcW w:w="2552" w:type="dxa"/>
                </w:tcPr>
                <w:p w14:paraId="65F5B4BF" w14:textId="77777777" w:rsidR="004A117C" w:rsidRPr="00B043B4" w:rsidRDefault="00081867" w:rsidP="00470E9B">
                  <w:pPr>
                    <w:rPr>
                      <w:b/>
                      <w:sz w:val="20"/>
                      <w:szCs w:val="20"/>
                      <w:lang w:eastAsia="sk-SK"/>
                    </w:rPr>
                  </w:pPr>
                  <w:sdt>
                    <w:sdtPr>
                      <w:rPr>
                        <w:b/>
                        <w:sz w:val="20"/>
                        <w:szCs w:val="20"/>
                        <w:lang w:eastAsia="sk-SK"/>
                      </w:rPr>
                      <w:id w:val="-1874910888"/>
                      <w14:checkbox>
                        <w14:checked w14:val="1"/>
                        <w14:checkedState w14:val="2612" w14:font="MS Gothic"/>
                        <w14:uncheckedState w14:val="2610" w14:font="MS Gothic"/>
                      </w14:checkbox>
                    </w:sdtPr>
                    <w:sdtEndPr/>
                    <w:sdtContent>
                      <w:r w:rsidR="004A117C">
                        <w:rPr>
                          <w:rFonts w:ascii="MS Gothic" w:eastAsia="MS Gothic" w:hAnsi="MS Gothic" w:hint="eastAsia"/>
                          <w:b/>
                          <w:sz w:val="20"/>
                          <w:szCs w:val="20"/>
                          <w:lang w:eastAsia="sk-SK"/>
                        </w:rPr>
                        <w:t>☒</w:t>
                      </w:r>
                    </w:sdtContent>
                  </w:sdt>
                  <w:r w:rsidR="004A117C">
                    <w:rPr>
                      <w:b/>
                      <w:sz w:val="20"/>
                      <w:szCs w:val="20"/>
                      <w:lang w:eastAsia="sk-SK"/>
                    </w:rPr>
                    <w:t xml:space="preserve">  </w:t>
                  </w:r>
                  <w:r w:rsidR="004A117C" w:rsidRPr="00B043B4">
                    <w:rPr>
                      <w:b/>
                      <w:sz w:val="20"/>
                      <w:szCs w:val="20"/>
                      <w:lang w:eastAsia="sk-SK"/>
                    </w:rPr>
                    <w:t xml:space="preserve">Súhlasné </w:t>
                  </w:r>
                </w:p>
              </w:tc>
              <w:tc>
                <w:tcPr>
                  <w:tcW w:w="3827" w:type="dxa"/>
                </w:tcPr>
                <w:p w14:paraId="1E23DD87" w14:textId="77777777" w:rsidR="004A117C" w:rsidRPr="00B043B4" w:rsidRDefault="00081867" w:rsidP="00470E9B">
                  <w:pPr>
                    <w:rPr>
                      <w:b/>
                      <w:sz w:val="20"/>
                      <w:szCs w:val="20"/>
                      <w:lang w:eastAsia="sk-SK"/>
                    </w:rPr>
                  </w:pPr>
                  <w:sdt>
                    <w:sdtPr>
                      <w:rPr>
                        <w:b/>
                        <w:sz w:val="20"/>
                        <w:szCs w:val="20"/>
                        <w:lang w:eastAsia="sk-SK"/>
                      </w:rPr>
                      <w:id w:val="1697888127"/>
                      <w14:checkbox>
                        <w14:checked w14:val="0"/>
                        <w14:checkedState w14:val="2612" w14:font="MS Gothic"/>
                        <w14:uncheckedState w14:val="2610" w14:font="MS Gothic"/>
                      </w14:checkbox>
                    </w:sdtPr>
                    <w:sdtEndPr/>
                    <w:sdtContent>
                      <w:r w:rsidR="004A117C">
                        <w:rPr>
                          <w:rFonts w:ascii="MS Gothic" w:eastAsia="MS Gothic" w:hAnsi="MS Gothic" w:hint="eastAsia"/>
                          <w:b/>
                          <w:sz w:val="20"/>
                          <w:szCs w:val="20"/>
                          <w:lang w:eastAsia="sk-SK"/>
                        </w:rPr>
                        <w:t>☐</w:t>
                      </w:r>
                    </w:sdtContent>
                  </w:sdt>
                  <w:r w:rsidR="004A117C">
                    <w:rPr>
                      <w:b/>
                      <w:sz w:val="20"/>
                      <w:szCs w:val="20"/>
                      <w:lang w:eastAsia="sk-SK"/>
                    </w:rPr>
                    <w:t xml:space="preserve">  </w:t>
                  </w:r>
                  <w:r w:rsidR="004A117C" w:rsidRPr="00B043B4">
                    <w:rPr>
                      <w:b/>
                      <w:sz w:val="20"/>
                      <w:szCs w:val="20"/>
                      <w:lang w:eastAsia="sk-SK"/>
                    </w:rPr>
                    <w:t>Súhlasné s návrhom na dopracovanie</w:t>
                  </w:r>
                </w:p>
              </w:tc>
              <w:tc>
                <w:tcPr>
                  <w:tcW w:w="2534" w:type="dxa"/>
                </w:tcPr>
                <w:p w14:paraId="60F64B39" w14:textId="77777777" w:rsidR="004A117C" w:rsidRPr="00B043B4" w:rsidRDefault="00081867" w:rsidP="00470E9B">
                  <w:pPr>
                    <w:ind w:right="459"/>
                    <w:rPr>
                      <w:b/>
                      <w:sz w:val="20"/>
                      <w:szCs w:val="20"/>
                      <w:lang w:eastAsia="sk-SK"/>
                    </w:rPr>
                  </w:pPr>
                  <w:sdt>
                    <w:sdtPr>
                      <w:rPr>
                        <w:b/>
                        <w:sz w:val="20"/>
                        <w:szCs w:val="20"/>
                        <w:lang w:eastAsia="sk-SK"/>
                      </w:rPr>
                      <w:id w:val="-647822913"/>
                      <w14:checkbox>
                        <w14:checked w14:val="0"/>
                        <w14:checkedState w14:val="2612" w14:font="MS Gothic"/>
                        <w14:uncheckedState w14:val="2610" w14:font="MS Gothic"/>
                      </w14:checkbox>
                    </w:sdtPr>
                    <w:sdtEndPr/>
                    <w:sdtContent>
                      <w:r w:rsidR="004A117C">
                        <w:rPr>
                          <w:rFonts w:ascii="MS Gothic" w:eastAsia="MS Gothic" w:hAnsi="MS Gothic" w:hint="eastAsia"/>
                          <w:b/>
                          <w:sz w:val="20"/>
                          <w:szCs w:val="20"/>
                          <w:lang w:eastAsia="sk-SK"/>
                        </w:rPr>
                        <w:t>☐</w:t>
                      </w:r>
                    </w:sdtContent>
                  </w:sdt>
                  <w:r w:rsidR="004A117C">
                    <w:rPr>
                      <w:b/>
                      <w:sz w:val="20"/>
                      <w:szCs w:val="20"/>
                      <w:lang w:eastAsia="sk-SK"/>
                    </w:rPr>
                    <w:t xml:space="preserve">  </w:t>
                  </w:r>
                  <w:r w:rsidR="004A117C" w:rsidRPr="00B043B4">
                    <w:rPr>
                      <w:b/>
                      <w:sz w:val="20"/>
                      <w:szCs w:val="20"/>
                      <w:lang w:eastAsia="sk-SK"/>
                    </w:rPr>
                    <w:t>Nesúhlasné</w:t>
                  </w:r>
                </w:p>
              </w:tc>
            </w:tr>
          </w:tbl>
          <w:p w14:paraId="0DB51E8C" w14:textId="77777777" w:rsidR="004A117C" w:rsidRDefault="004A117C" w:rsidP="00470E9B">
            <w:pPr>
              <w:jc w:val="both"/>
              <w:rPr>
                <w:b/>
                <w:sz w:val="20"/>
                <w:szCs w:val="20"/>
                <w:lang w:eastAsia="sk-SK"/>
              </w:rPr>
            </w:pPr>
            <w:r w:rsidRPr="00B043B4">
              <w:rPr>
                <w:b/>
                <w:sz w:val="20"/>
                <w:szCs w:val="20"/>
                <w:lang w:eastAsia="sk-SK"/>
              </w:rPr>
              <w:t>Uveďte pripomienky zo stanoviska Komisie z časti II. spolu s Vaším vyhodnotením:</w:t>
            </w:r>
          </w:p>
          <w:p w14:paraId="78619E86" w14:textId="77777777" w:rsidR="004A117C" w:rsidRDefault="004A117C" w:rsidP="00470E9B">
            <w:pPr>
              <w:jc w:val="both"/>
              <w:rPr>
                <w:b/>
                <w:sz w:val="20"/>
                <w:szCs w:val="20"/>
                <w:lang w:eastAsia="sk-SK"/>
              </w:rPr>
            </w:pPr>
          </w:p>
          <w:p w14:paraId="540B6753" w14:textId="77777777" w:rsidR="004A117C" w:rsidRPr="009A503F" w:rsidRDefault="004A117C" w:rsidP="00470E9B">
            <w:pPr>
              <w:jc w:val="both"/>
              <w:rPr>
                <w:sz w:val="20"/>
                <w:szCs w:val="20"/>
                <w:lang w:eastAsia="sk-SK"/>
              </w:rPr>
            </w:pPr>
            <w:r w:rsidRPr="009A503F">
              <w:rPr>
                <w:sz w:val="20"/>
                <w:szCs w:val="20"/>
                <w:lang w:eastAsia="sk-SK"/>
              </w:rPr>
              <w:t>Komisia neuplatňuje k materiálu žiadne pripomienky ani odporúčania.</w:t>
            </w:r>
          </w:p>
          <w:p w14:paraId="5487C3AD" w14:textId="77777777" w:rsidR="004A117C" w:rsidRPr="00B043B4" w:rsidRDefault="004A117C" w:rsidP="00470E9B">
            <w:pPr>
              <w:rPr>
                <w:b/>
                <w:sz w:val="20"/>
                <w:szCs w:val="20"/>
                <w:lang w:eastAsia="sk-SK"/>
              </w:rPr>
            </w:pPr>
          </w:p>
          <w:p w14:paraId="776AAC98" w14:textId="77777777" w:rsidR="004A117C" w:rsidRPr="00B043B4" w:rsidRDefault="004A117C" w:rsidP="00470E9B">
            <w:pPr>
              <w:rPr>
                <w:b/>
                <w:sz w:val="20"/>
                <w:szCs w:val="20"/>
                <w:lang w:eastAsia="sk-SK"/>
              </w:rPr>
            </w:pPr>
          </w:p>
        </w:tc>
      </w:tr>
      <w:tr w:rsidR="004A117C" w:rsidRPr="00B043B4" w14:paraId="3ED90842" w14:textId="77777777" w:rsidTr="00470E9B">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1E019C61" w14:textId="77777777" w:rsidR="004A117C" w:rsidRPr="00B043B4" w:rsidRDefault="004A117C" w:rsidP="00470E9B">
            <w:pPr>
              <w:numPr>
                <w:ilvl w:val="0"/>
                <w:numId w:val="1"/>
              </w:numPr>
              <w:ind w:left="450" w:hanging="425"/>
              <w:contextualSpacing/>
              <w:jc w:val="both"/>
              <w:rPr>
                <w:rFonts w:eastAsia="Calibri"/>
                <w:b/>
              </w:rPr>
            </w:pPr>
            <w:r w:rsidRPr="00B043B4">
              <w:rPr>
                <w:rFonts w:eastAsia="Calibri"/>
                <w:b/>
              </w:rPr>
              <w:t>Stanovisko Komisie na posudzovanie vybraných vplyvov zo záverečného posúdenia č. ..........</w:t>
            </w:r>
            <w:r w:rsidRPr="00B043B4">
              <w:rPr>
                <w:rFonts w:eastAsia="Calibri"/>
              </w:rPr>
              <w:t xml:space="preserve"> (v prípade, ak sa uskutočnilo v zmysle bodu 9.1. Jednotnej metodiky) </w:t>
            </w:r>
          </w:p>
        </w:tc>
      </w:tr>
      <w:tr w:rsidR="004A117C" w:rsidRPr="00B043B4" w14:paraId="68C8E22D" w14:textId="77777777" w:rsidTr="00470E9B">
        <w:tblPrEx>
          <w:tblBorders>
            <w:insideH w:val="single" w:sz="4" w:space="0" w:color="FFFFFF"/>
            <w:insideV w:val="single" w:sz="4" w:space="0" w:color="FFFFFF"/>
          </w:tblBorders>
        </w:tblPrEx>
        <w:tc>
          <w:tcPr>
            <w:tcW w:w="9176" w:type="dxa"/>
            <w:shd w:val="clear" w:color="auto" w:fill="FFFFFF"/>
          </w:tcPr>
          <w:p w14:paraId="271EAFB5" w14:textId="77777777" w:rsidR="004A117C" w:rsidRPr="00B043B4" w:rsidRDefault="004A117C" w:rsidP="00470E9B">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4A117C" w:rsidRPr="00B043B4" w14:paraId="0A9FD20A" w14:textId="77777777" w:rsidTr="00470E9B">
              <w:trPr>
                <w:trHeight w:val="396"/>
              </w:trPr>
              <w:tc>
                <w:tcPr>
                  <w:tcW w:w="2552" w:type="dxa"/>
                </w:tcPr>
                <w:p w14:paraId="5F478386" w14:textId="77777777" w:rsidR="004A117C" w:rsidRPr="00B043B4" w:rsidRDefault="00081867" w:rsidP="00470E9B">
                  <w:pPr>
                    <w:rPr>
                      <w:b/>
                      <w:sz w:val="20"/>
                      <w:szCs w:val="20"/>
                      <w:lang w:eastAsia="sk-SK"/>
                    </w:rPr>
                  </w:pPr>
                  <w:sdt>
                    <w:sdtPr>
                      <w:rPr>
                        <w:b/>
                        <w:sz w:val="20"/>
                        <w:szCs w:val="20"/>
                        <w:lang w:eastAsia="sk-SK"/>
                      </w:rPr>
                      <w:id w:val="888232876"/>
                      <w14:checkbox>
                        <w14:checked w14:val="0"/>
                        <w14:checkedState w14:val="2612" w14:font="MS Gothic"/>
                        <w14:uncheckedState w14:val="2610" w14:font="MS Gothic"/>
                      </w14:checkbox>
                    </w:sdtPr>
                    <w:sdtEndPr/>
                    <w:sdtContent>
                      <w:r w:rsidR="004A117C">
                        <w:rPr>
                          <w:rFonts w:ascii="MS Gothic" w:eastAsia="MS Gothic" w:hAnsi="MS Gothic" w:hint="eastAsia"/>
                          <w:b/>
                          <w:sz w:val="20"/>
                          <w:szCs w:val="20"/>
                          <w:lang w:eastAsia="sk-SK"/>
                        </w:rPr>
                        <w:t>☐</w:t>
                      </w:r>
                    </w:sdtContent>
                  </w:sdt>
                  <w:r w:rsidR="004A117C">
                    <w:rPr>
                      <w:b/>
                      <w:sz w:val="20"/>
                      <w:szCs w:val="20"/>
                      <w:lang w:eastAsia="sk-SK"/>
                    </w:rPr>
                    <w:t xml:space="preserve">   </w:t>
                  </w:r>
                  <w:r w:rsidR="004A117C" w:rsidRPr="00B043B4">
                    <w:rPr>
                      <w:b/>
                      <w:sz w:val="20"/>
                      <w:szCs w:val="20"/>
                      <w:lang w:eastAsia="sk-SK"/>
                    </w:rPr>
                    <w:t xml:space="preserve">Súhlasné </w:t>
                  </w:r>
                </w:p>
              </w:tc>
              <w:tc>
                <w:tcPr>
                  <w:tcW w:w="3827" w:type="dxa"/>
                </w:tcPr>
                <w:p w14:paraId="558DA48A" w14:textId="77777777" w:rsidR="004A117C" w:rsidRPr="00B043B4" w:rsidRDefault="00081867" w:rsidP="00470E9B">
                  <w:pPr>
                    <w:rPr>
                      <w:b/>
                      <w:sz w:val="20"/>
                      <w:szCs w:val="20"/>
                      <w:lang w:eastAsia="sk-SK"/>
                    </w:rPr>
                  </w:pPr>
                  <w:sdt>
                    <w:sdtPr>
                      <w:rPr>
                        <w:b/>
                        <w:sz w:val="20"/>
                        <w:szCs w:val="20"/>
                        <w:lang w:eastAsia="sk-SK"/>
                      </w:rPr>
                      <w:id w:val="953831761"/>
                      <w14:checkbox>
                        <w14:checked w14:val="0"/>
                        <w14:checkedState w14:val="2612" w14:font="MS Gothic"/>
                        <w14:uncheckedState w14:val="2610" w14:font="MS Gothic"/>
                      </w14:checkbox>
                    </w:sdtPr>
                    <w:sdtEndPr/>
                    <w:sdtContent>
                      <w:r w:rsidR="004A117C">
                        <w:rPr>
                          <w:rFonts w:ascii="MS Gothic" w:eastAsia="MS Gothic" w:hAnsi="MS Gothic" w:hint="eastAsia"/>
                          <w:b/>
                          <w:sz w:val="20"/>
                          <w:szCs w:val="20"/>
                          <w:lang w:eastAsia="sk-SK"/>
                        </w:rPr>
                        <w:t>☐</w:t>
                      </w:r>
                    </w:sdtContent>
                  </w:sdt>
                  <w:r w:rsidR="004A117C">
                    <w:rPr>
                      <w:b/>
                      <w:sz w:val="20"/>
                      <w:szCs w:val="20"/>
                      <w:lang w:eastAsia="sk-SK"/>
                    </w:rPr>
                    <w:t xml:space="preserve">  </w:t>
                  </w:r>
                  <w:r w:rsidR="004A117C" w:rsidRPr="00B043B4">
                    <w:rPr>
                      <w:b/>
                      <w:sz w:val="20"/>
                      <w:szCs w:val="20"/>
                      <w:lang w:eastAsia="sk-SK"/>
                    </w:rPr>
                    <w:t>Súhlasné s  návrhom na dopracovanie</w:t>
                  </w:r>
                </w:p>
              </w:tc>
              <w:tc>
                <w:tcPr>
                  <w:tcW w:w="2534" w:type="dxa"/>
                </w:tcPr>
                <w:p w14:paraId="35EE1B73" w14:textId="77777777" w:rsidR="004A117C" w:rsidRPr="00B043B4" w:rsidRDefault="00081867" w:rsidP="00470E9B">
                  <w:pPr>
                    <w:ind w:right="459"/>
                    <w:rPr>
                      <w:b/>
                      <w:sz w:val="20"/>
                      <w:szCs w:val="20"/>
                      <w:lang w:eastAsia="sk-SK"/>
                    </w:rPr>
                  </w:pPr>
                  <w:sdt>
                    <w:sdtPr>
                      <w:rPr>
                        <w:b/>
                        <w:sz w:val="20"/>
                        <w:szCs w:val="20"/>
                        <w:lang w:eastAsia="sk-SK"/>
                      </w:rPr>
                      <w:id w:val="-361740452"/>
                      <w14:checkbox>
                        <w14:checked w14:val="0"/>
                        <w14:checkedState w14:val="2612" w14:font="MS Gothic"/>
                        <w14:uncheckedState w14:val="2610" w14:font="MS Gothic"/>
                      </w14:checkbox>
                    </w:sdtPr>
                    <w:sdtEndPr/>
                    <w:sdtContent>
                      <w:r w:rsidR="004A117C">
                        <w:rPr>
                          <w:rFonts w:ascii="MS Gothic" w:eastAsia="MS Gothic" w:hAnsi="MS Gothic" w:hint="eastAsia"/>
                          <w:b/>
                          <w:sz w:val="20"/>
                          <w:szCs w:val="20"/>
                          <w:lang w:eastAsia="sk-SK"/>
                        </w:rPr>
                        <w:t>☐</w:t>
                      </w:r>
                    </w:sdtContent>
                  </w:sdt>
                  <w:r w:rsidR="004A117C">
                    <w:rPr>
                      <w:b/>
                      <w:sz w:val="20"/>
                      <w:szCs w:val="20"/>
                      <w:lang w:eastAsia="sk-SK"/>
                    </w:rPr>
                    <w:t xml:space="preserve">  </w:t>
                  </w:r>
                  <w:r w:rsidR="004A117C" w:rsidRPr="00B043B4">
                    <w:rPr>
                      <w:b/>
                      <w:sz w:val="20"/>
                      <w:szCs w:val="20"/>
                      <w:lang w:eastAsia="sk-SK"/>
                    </w:rPr>
                    <w:t>Nesúhlasné</w:t>
                  </w:r>
                </w:p>
              </w:tc>
            </w:tr>
          </w:tbl>
          <w:p w14:paraId="30497325" w14:textId="77777777" w:rsidR="004A117C" w:rsidRPr="00B043B4" w:rsidRDefault="004A117C" w:rsidP="00470E9B">
            <w:pPr>
              <w:jc w:val="both"/>
              <w:rPr>
                <w:b/>
                <w:sz w:val="20"/>
                <w:szCs w:val="20"/>
                <w:lang w:eastAsia="sk-SK"/>
              </w:rPr>
            </w:pPr>
            <w:r w:rsidRPr="00B043B4">
              <w:rPr>
                <w:b/>
                <w:sz w:val="20"/>
                <w:szCs w:val="20"/>
                <w:lang w:eastAsia="sk-SK"/>
              </w:rPr>
              <w:t>Uveďte pripomienky zo stanoviska Komisie z časti II. spolu s Vaším vyhodnotením:</w:t>
            </w:r>
          </w:p>
          <w:p w14:paraId="0CD31E0C" w14:textId="77777777" w:rsidR="004A117C" w:rsidRPr="00B043B4" w:rsidRDefault="004A117C" w:rsidP="00470E9B">
            <w:pPr>
              <w:rPr>
                <w:b/>
                <w:sz w:val="20"/>
                <w:szCs w:val="20"/>
                <w:lang w:eastAsia="sk-SK"/>
              </w:rPr>
            </w:pPr>
          </w:p>
          <w:p w14:paraId="1A347067" w14:textId="77777777" w:rsidR="004A117C" w:rsidRPr="00B043B4" w:rsidRDefault="004A117C" w:rsidP="00470E9B">
            <w:pPr>
              <w:rPr>
                <w:b/>
                <w:sz w:val="20"/>
                <w:szCs w:val="20"/>
                <w:lang w:eastAsia="sk-SK"/>
              </w:rPr>
            </w:pPr>
          </w:p>
        </w:tc>
      </w:tr>
    </w:tbl>
    <w:p w14:paraId="7D99D27A" w14:textId="77777777" w:rsidR="004A117C" w:rsidRDefault="004A117C" w:rsidP="004A117C"/>
    <w:p w14:paraId="3B7622BE" w14:textId="112C9560" w:rsidR="004A117C" w:rsidRDefault="004A117C">
      <w:pPr>
        <w:spacing w:after="160" w:line="259" w:lineRule="auto"/>
      </w:pPr>
      <w:r>
        <w:br w:type="page"/>
      </w:r>
    </w:p>
    <w:p w14:paraId="1893CEEA" w14:textId="77777777" w:rsidR="004A117C" w:rsidRPr="00895898" w:rsidRDefault="004A117C" w:rsidP="004A117C">
      <w:pPr>
        <w:jc w:val="center"/>
        <w:rPr>
          <w:rFonts w:eastAsia="Calibri"/>
          <w:b/>
          <w:sz w:val="28"/>
          <w:szCs w:val="28"/>
        </w:rPr>
      </w:pPr>
      <w:r w:rsidRPr="00895898">
        <w:rPr>
          <w:rFonts w:eastAsia="Calibri"/>
          <w:b/>
          <w:sz w:val="28"/>
          <w:szCs w:val="28"/>
        </w:rPr>
        <w:lastRenderedPageBreak/>
        <w:t>Analýza vplyvov na podnikateľské prostredie</w:t>
      </w:r>
    </w:p>
    <w:p w14:paraId="7975A9C4" w14:textId="77777777" w:rsidR="004A117C" w:rsidRPr="00895898" w:rsidRDefault="004A117C" w:rsidP="004A117C">
      <w:pPr>
        <w:jc w:val="both"/>
        <w:rPr>
          <w:rFonts w:eastAsia="Calibri"/>
          <w:b/>
        </w:rPr>
      </w:pPr>
    </w:p>
    <w:p w14:paraId="31FEBE56" w14:textId="77777777" w:rsidR="004A117C" w:rsidRPr="00BE2584" w:rsidRDefault="004A117C" w:rsidP="004A117C">
      <w:pPr>
        <w:jc w:val="both"/>
        <w:rPr>
          <w:rFonts w:eastAsia="Calibri"/>
        </w:rPr>
      </w:pPr>
      <w:r w:rsidRPr="001F1B43">
        <w:rPr>
          <w:rFonts w:eastAsia="Calibri"/>
          <w:b/>
        </w:rPr>
        <w:t>Názov materiálu:</w:t>
      </w:r>
      <w:r w:rsidRPr="00BE2584">
        <w:t xml:space="preserve"> </w:t>
      </w:r>
      <w:r w:rsidRPr="00BE2584">
        <w:rPr>
          <w:rFonts w:eastAsia="Calibri"/>
        </w:rPr>
        <w:t>Návrh zákona, ktorým sa mení a dopĺňa zákon č. 371/2014 Z. z. o riešení krízových situácií na finančnom trhu a o zmene a doplnení niektorých zákonov v znení neskorších predpisov a ktorým sa m</w:t>
      </w:r>
      <w:r>
        <w:rPr>
          <w:rFonts w:eastAsia="Calibri"/>
        </w:rPr>
        <w:t>enia a dopĺňajú niektoré zákony</w:t>
      </w:r>
    </w:p>
    <w:p w14:paraId="14D8C615" w14:textId="77777777" w:rsidR="004A117C" w:rsidRPr="00BE2584" w:rsidRDefault="004A117C" w:rsidP="004A117C">
      <w:pPr>
        <w:jc w:val="both"/>
        <w:rPr>
          <w:rFonts w:eastAsia="Calibri"/>
        </w:rPr>
      </w:pPr>
      <w:r w:rsidRPr="001F1B43">
        <w:rPr>
          <w:rFonts w:eastAsia="Calibri"/>
          <w:b/>
        </w:rPr>
        <w:t>Predkladateľ:</w:t>
      </w:r>
      <w:r>
        <w:rPr>
          <w:rFonts w:eastAsia="Calibri"/>
          <w:b/>
        </w:rPr>
        <w:t xml:space="preserve"> </w:t>
      </w:r>
      <w:r>
        <w:rPr>
          <w:rFonts w:eastAsia="Calibri"/>
        </w:rPr>
        <w:t>Ministerstvo financií Slovenskej republiky</w:t>
      </w:r>
    </w:p>
    <w:p w14:paraId="5B33C920" w14:textId="77777777" w:rsidR="004A117C" w:rsidRPr="001F1B43" w:rsidRDefault="004A117C" w:rsidP="004A117C">
      <w:pPr>
        <w:jc w:val="both"/>
        <w:rPr>
          <w:rFonts w:eastAsia="Calibri"/>
          <w:b/>
        </w:rPr>
      </w:pPr>
    </w:p>
    <w:p w14:paraId="6CB7C4FC" w14:textId="77777777" w:rsidR="004A117C" w:rsidRPr="001F1B43" w:rsidRDefault="004A117C" w:rsidP="004A117C">
      <w:pPr>
        <w:jc w:val="both"/>
        <w:rPr>
          <w:rFonts w:eastAsia="Calibri"/>
          <w:b/>
        </w:rPr>
      </w:pPr>
      <w:r w:rsidRPr="001F1B43">
        <w:rPr>
          <w:rFonts w:eastAsia="Calibri"/>
          <w:b/>
        </w:rPr>
        <w:t>3.1 Náklady regulácie</w:t>
      </w:r>
    </w:p>
    <w:p w14:paraId="610CFB1F" w14:textId="77777777" w:rsidR="004A117C" w:rsidRPr="001F1B43" w:rsidRDefault="004A117C" w:rsidP="004A117C">
      <w:pPr>
        <w:tabs>
          <w:tab w:val="left" w:pos="8025"/>
        </w:tabs>
        <w:rPr>
          <w:rFonts w:eastAsia="Calibri"/>
          <w:bCs/>
          <w:i/>
          <w:iCs/>
        </w:rPr>
      </w:pPr>
      <w:r w:rsidRPr="001F1B43">
        <w:rPr>
          <w:rFonts w:eastAsia="Calibri"/>
          <w:b/>
          <w:i/>
          <w:iCs/>
        </w:rPr>
        <w:t xml:space="preserve">3.1.1 Súhrnná tabuľka nákladov regulácie </w:t>
      </w:r>
      <w:r>
        <w:rPr>
          <w:rFonts w:eastAsia="Calibri"/>
          <w:b/>
          <w:i/>
          <w:iCs/>
        </w:rPr>
        <w:tab/>
      </w:r>
    </w:p>
    <w:p w14:paraId="4A0AAC9A" w14:textId="77777777" w:rsidR="004A117C" w:rsidRPr="001F1B43" w:rsidRDefault="004A117C" w:rsidP="004A117C">
      <w:pPr>
        <w:jc w:val="both"/>
        <w:rPr>
          <w:rFonts w:eastAsia="Calibri"/>
          <w:b/>
        </w:rPr>
      </w:pPr>
    </w:p>
    <w:p w14:paraId="168C6FB5" w14:textId="77777777" w:rsidR="004A117C" w:rsidRPr="00D8247C" w:rsidRDefault="004A117C" w:rsidP="004A117C">
      <w:pPr>
        <w:jc w:val="both"/>
        <w:rPr>
          <w:rFonts w:eastAsia="Calibri"/>
          <w:i/>
        </w:rPr>
      </w:pPr>
      <w:r w:rsidRPr="00D8247C">
        <w:rPr>
          <w:rFonts w:eastAsia="Calibri"/>
          <w:i/>
        </w:rPr>
        <w:t xml:space="preserve">Tabuľka č. 1: Zmeny nákladov (ročne) v prepočte na podnikateľské prostredie (PP), vyhodnotenie mechanizmu znižovania byrokracie a nákladov. </w:t>
      </w:r>
    </w:p>
    <w:p w14:paraId="24A62B7A" w14:textId="77777777" w:rsidR="004A117C" w:rsidRPr="00D8247C" w:rsidRDefault="004A117C" w:rsidP="004A117C">
      <w:pPr>
        <w:jc w:val="both"/>
        <w:rPr>
          <w:rFonts w:eastAsia="Calibri"/>
          <w:i/>
        </w:rPr>
      </w:pPr>
      <w:r w:rsidRPr="00D8247C">
        <w:rPr>
          <w:rFonts w:eastAsia="Calibri"/>
          <w:i/>
        </w:rPr>
        <w:t xml:space="preserve">Nahraďte rovnakou tabuľkou po vyplnení Kalkulačky nákladov podnikateľského prostredia, ktorá je povinnou prílohou tejto analýzy a nájdete ju na </w:t>
      </w:r>
      <w:hyperlink r:id="rId7" w:history="1">
        <w:r w:rsidRPr="00D8247C">
          <w:rPr>
            <w:rFonts w:eastAsia="Calibri"/>
            <w:i/>
            <w:color w:val="0563C1"/>
            <w:u w:val="single"/>
          </w:rPr>
          <w:t>webovom sídle MH SR</w:t>
        </w:r>
      </w:hyperlink>
      <w:r w:rsidRPr="00D8247C">
        <w:rPr>
          <w:rFonts w:eastAsia="Calibri"/>
          <w:i/>
        </w:rPr>
        <w:t xml:space="preserve">, (ďalej len </w:t>
      </w:r>
      <w:r>
        <w:rPr>
          <w:rFonts w:eastAsia="Calibri"/>
          <w:i/>
        </w:rPr>
        <w:t>„</w:t>
      </w:r>
      <w:r w:rsidRPr="00D8247C">
        <w:rPr>
          <w:rFonts w:eastAsia="Calibri"/>
          <w:i/>
        </w:rPr>
        <w:t>Kalkulačka nákladov</w:t>
      </w:r>
      <w:r>
        <w:rPr>
          <w:rFonts w:eastAsia="Calibri"/>
          <w:i/>
        </w:rPr>
        <w:t>“</w:t>
      </w:r>
      <w:r w:rsidRPr="00D8247C">
        <w:rPr>
          <w:rFonts w:eastAsia="Calibri"/>
          <w:i/>
        </w:rPr>
        <w:t>):</w:t>
      </w:r>
    </w:p>
    <w:p w14:paraId="15DEAE0E" w14:textId="77777777" w:rsidR="004A117C" w:rsidRPr="00895898" w:rsidRDefault="004A117C" w:rsidP="004A117C">
      <w:pPr>
        <w:rPr>
          <w:rFonts w:eastAsia="Calibri"/>
          <w:i/>
        </w:rPr>
      </w:pPr>
    </w:p>
    <w:tbl>
      <w:tblPr>
        <w:tblW w:w="8780" w:type="dxa"/>
        <w:tblCellMar>
          <w:left w:w="70" w:type="dxa"/>
          <w:right w:w="70" w:type="dxa"/>
        </w:tblCellMar>
        <w:tblLook w:val="04A0" w:firstRow="1" w:lastRow="0" w:firstColumn="1" w:lastColumn="0" w:noHBand="0" w:noVBand="1"/>
      </w:tblPr>
      <w:tblGrid>
        <w:gridCol w:w="3676"/>
        <w:gridCol w:w="1684"/>
        <w:gridCol w:w="1151"/>
        <w:gridCol w:w="1269"/>
        <w:gridCol w:w="1000"/>
      </w:tblGrid>
      <w:tr w:rsidR="004A117C" w14:paraId="1250F914" w14:textId="77777777" w:rsidTr="00470E9B">
        <w:trPr>
          <w:trHeight w:val="510"/>
        </w:trPr>
        <w:tc>
          <w:tcPr>
            <w:tcW w:w="36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AC8148C" w14:textId="77777777" w:rsidR="004A117C" w:rsidRDefault="004A117C" w:rsidP="00470E9B">
            <w:pPr>
              <w:jc w:val="center"/>
              <w:rPr>
                <w:b/>
                <w:bCs/>
                <w:i/>
                <w:iCs/>
                <w:color w:val="000000"/>
                <w:sz w:val="20"/>
                <w:szCs w:val="20"/>
              </w:rPr>
            </w:pPr>
            <w:r>
              <w:rPr>
                <w:b/>
                <w:bCs/>
                <w:i/>
                <w:iCs/>
                <w:color w:val="000000"/>
                <w:sz w:val="20"/>
                <w:szCs w:val="20"/>
              </w:rPr>
              <w:t>TYP NÁKLADOV</w:t>
            </w:r>
          </w:p>
        </w:tc>
        <w:tc>
          <w:tcPr>
            <w:tcW w:w="2835" w:type="dxa"/>
            <w:gridSpan w:val="2"/>
            <w:tcBorders>
              <w:top w:val="single" w:sz="8" w:space="0" w:color="auto"/>
              <w:left w:val="nil"/>
              <w:bottom w:val="single" w:sz="4" w:space="0" w:color="auto"/>
              <w:right w:val="single" w:sz="4" w:space="0" w:color="auto"/>
            </w:tcBorders>
            <w:shd w:val="clear" w:color="000000" w:fill="FFC000"/>
            <w:vAlign w:val="center"/>
            <w:hideMark/>
          </w:tcPr>
          <w:p w14:paraId="08C900F3" w14:textId="77777777" w:rsidR="004A117C" w:rsidRDefault="004A117C" w:rsidP="00470E9B">
            <w:pPr>
              <w:jc w:val="center"/>
              <w:rPr>
                <w:b/>
                <w:bCs/>
                <w:color w:val="000000"/>
                <w:sz w:val="20"/>
                <w:szCs w:val="20"/>
              </w:rPr>
            </w:pPr>
            <w:r>
              <w:rPr>
                <w:b/>
                <w:bCs/>
                <w:color w:val="000000"/>
                <w:sz w:val="20"/>
                <w:szCs w:val="20"/>
              </w:rPr>
              <w:t>Zvýšenie nákladov v € na PP</w:t>
            </w:r>
          </w:p>
        </w:tc>
        <w:tc>
          <w:tcPr>
            <w:tcW w:w="2269" w:type="dxa"/>
            <w:gridSpan w:val="2"/>
            <w:tcBorders>
              <w:top w:val="single" w:sz="8" w:space="0" w:color="auto"/>
              <w:left w:val="nil"/>
              <w:bottom w:val="single" w:sz="4" w:space="0" w:color="auto"/>
              <w:right w:val="single" w:sz="8" w:space="0" w:color="000000"/>
            </w:tcBorders>
            <w:shd w:val="clear" w:color="000000" w:fill="92D050"/>
            <w:vAlign w:val="center"/>
            <w:hideMark/>
          </w:tcPr>
          <w:p w14:paraId="223625B3" w14:textId="77777777" w:rsidR="004A117C" w:rsidRDefault="004A117C" w:rsidP="00470E9B">
            <w:pPr>
              <w:jc w:val="center"/>
              <w:rPr>
                <w:b/>
                <w:bCs/>
                <w:color w:val="000000"/>
                <w:sz w:val="20"/>
                <w:szCs w:val="20"/>
              </w:rPr>
            </w:pPr>
            <w:r>
              <w:rPr>
                <w:b/>
                <w:bCs/>
                <w:color w:val="000000"/>
                <w:sz w:val="20"/>
                <w:szCs w:val="20"/>
              </w:rPr>
              <w:t>Zníženie nákladov v € na PP</w:t>
            </w:r>
          </w:p>
        </w:tc>
      </w:tr>
      <w:tr w:rsidR="004A117C" w14:paraId="7BD4F0C3" w14:textId="77777777" w:rsidTr="00470E9B">
        <w:trPr>
          <w:trHeight w:val="660"/>
        </w:trPr>
        <w:tc>
          <w:tcPr>
            <w:tcW w:w="3676" w:type="dxa"/>
            <w:tcBorders>
              <w:top w:val="nil"/>
              <w:left w:val="single" w:sz="8" w:space="0" w:color="auto"/>
              <w:bottom w:val="single" w:sz="4" w:space="0" w:color="auto"/>
              <w:right w:val="single" w:sz="4" w:space="0" w:color="auto"/>
            </w:tcBorders>
            <w:shd w:val="clear" w:color="auto" w:fill="auto"/>
            <w:vAlign w:val="center"/>
            <w:hideMark/>
          </w:tcPr>
          <w:p w14:paraId="47703ED2" w14:textId="77777777" w:rsidR="004A117C" w:rsidRDefault="004A117C" w:rsidP="00470E9B">
            <w:pPr>
              <w:rPr>
                <w:b/>
                <w:bCs/>
                <w:i/>
                <w:iCs/>
                <w:color w:val="000000"/>
                <w:sz w:val="20"/>
                <w:szCs w:val="20"/>
              </w:rPr>
            </w:pPr>
            <w:r>
              <w:rPr>
                <w:b/>
                <w:bCs/>
                <w:i/>
                <w:iCs/>
                <w:color w:val="000000"/>
                <w:sz w:val="20"/>
                <w:szCs w:val="20"/>
              </w:rPr>
              <w:t>A.Dane, odvody, clá a poplatky, ktorých cieľom je znižovať negatívne externality</w:t>
            </w:r>
          </w:p>
        </w:tc>
        <w:tc>
          <w:tcPr>
            <w:tcW w:w="2835" w:type="dxa"/>
            <w:gridSpan w:val="2"/>
            <w:tcBorders>
              <w:top w:val="single" w:sz="4" w:space="0" w:color="auto"/>
              <w:left w:val="nil"/>
              <w:bottom w:val="single" w:sz="4" w:space="0" w:color="auto"/>
              <w:right w:val="single" w:sz="4" w:space="0" w:color="auto"/>
            </w:tcBorders>
            <w:shd w:val="clear" w:color="000000" w:fill="FFC000"/>
            <w:vAlign w:val="center"/>
            <w:hideMark/>
          </w:tcPr>
          <w:p w14:paraId="3826CDDD" w14:textId="77777777" w:rsidR="004A117C" w:rsidRDefault="004A117C" w:rsidP="00470E9B">
            <w:pPr>
              <w:jc w:val="center"/>
              <w:rPr>
                <w:b/>
                <w:bCs/>
                <w:color w:val="000000"/>
                <w:sz w:val="20"/>
                <w:szCs w:val="20"/>
              </w:rPr>
            </w:pPr>
            <w:r>
              <w:rPr>
                <w:b/>
                <w:bCs/>
                <w:color w:val="000000"/>
                <w:sz w:val="20"/>
                <w:szCs w:val="20"/>
              </w:rPr>
              <w:t>0,00</w:t>
            </w:r>
          </w:p>
        </w:tc>
        <w:tc>
          <w:tcPr>
            <w:tcW w:w="2269" w:type="dxa"/>
            <w:gridSpan w:val="2"/>
            <w:tcBorders>
              <w:top w:val="single" w:sz="4" w:space="0" w:color="auto"/>
              <w:left w:val="nil"/>
              <w:bottom w:val="single" w:sz="4" w:space="0" w:color="auto"/>
              <w:right w:val="single" w:sz="8" w:space="0" w:color="000000"/>
            </w:tcBorders>
            <w:shd w:val="clear" w:color="000000" w:fill="92D050"/>
            <w:vAlign w:val="center"/>
            <w:hideMark/>
          </w:tcPr>
          <w:p w14:paraId="43B46D61" w14:textId="77777777" w:rsidR="004A117C" w:rsidRDefault="004A117C" w:rsidP="00470E9B">
            <w:pPr>
              <w:jc w:val="center"/>
              <w:rPr>
                <w:b/>
                <w:bCs/>
                <w:color w:val="000000"/>
                <w:sz w:val="20"/>
                <w:szCs w:val="20"/>
              </w:rPr>
            </w:pPr>
            <w:r>
              <w:rPr>
                <w:b/>
                <w:bCs/>
                <w:color w:val="000000"/>
                <w:sz w:val="20"/>
                <w:szCs w:val="20"/>
              </w:rPr>
              <w:t>0,00</w:t>
            </w:r>
          </w:p>
        </w:tc>
      </w:tr>
      <w:tr w:rsidR="004A117C" w14:paraId="5C898832" w14:textId="77777777" w:rsidTr="00470E9B">
        <w:trPr>
          <w:trHeight w:val="300"/>
        </w:trPr>
        <w:tc>
          <w:tcPr>
            <w:tcW w:w="3676" w:type="dxa"/>
            <w:tcBorders>
              <w:top w:val="nil"/>
              <w:left w:val="single" w:sz="8" w:space="0" w:color="auto"/>
              <w:bottom w:val="single" w:sz="4" w:space="0" w:color="auto"/>
              <w:right w:val="single" w:sz="4" w:space="0" w:color="auto"/>
            </w:tcBorders>
            <w:shd w:val="clear" w:color="auto" w:fill="auto"/>
            <w:vAlign w:val="center"/>
            <w:hideMark/>
          </w:tcPr>
          <w:p w14:paraId="33255077" w14:textId="77777777" w:rsidR="004A117C" w:rsidRDefault="004A117C" w:rsidP="00470E9B">
            <w:pPr>
              <w:rPr>
                <w:b/>
                <w:bCs/>
                <w:i/>
                <w:iCs/>
                <w:color w:val="000000"/>
                <w:sz w:val="20"/>
                <w:szCs w:val="20"/>
              </w:rPr>
            </w:pPr>
            <w:r>
              <w:rPr>
                <w:b/>
                <w:bCs/>
                <w:i/>
                <w:iCs/>
                <w:color w:val="000000"/>
                <w:sz w:val="20"/>
                <w:szCs w:val="20"/>
              </w:rPr>
              <w:t>B. Iné poplatky</w:t>
            </w:r>
          </w:p>
        </w:tc>
        <w:tc>
          <w:tcPr>
            <w:tcW w:w="2835" w:type="dxa"/>
            <w:gridSpan w:val="2"/>
            <w:tcBorders>
              <w:top w:val="single" w:sz="4" w:space="0" w:color="auto"/>
              <w:left w:val="nil"/>
              <w:bottom w:val="single" w:sz="4" w:space="0" w:color="auto"/>
              <w:right w:val="single" w:sz="4" w:space="0" w:color="auto"/>
            </w:tcBorders>
            <w:shd w:val="clear" w:color="000000" w:fill="FFC000"/>
            <w:vAlign w:val="center"/>
            <w:hideMark/>
          </w:tcPr>
          <w:p w14:paraId="398CC72A" w14:textId="77777777" w:rsidR="004A117C" w:rsidRDefault="004A117C" w:rsidP="00470E9B">
            <w:pPr>
              <w:jc w:val="center"/>
              <w:rPr>
                <w:b/>
                <w:bCs/>
                <w:color w:val="000000"/>
                <w:sz w:val="20"/>
                <w:szCs w:val="20"/>
              </w:rPr>
            </w:pPr>
            <w:r>
              <w:rPr>
                <w:b/>
                <w:bCs/>
                <w:color w:val="000000"/>
                <w:sz w:val="20"/>
                <w:szCs w:val="20"/>
              </w:rPr>
              <w:t>0,00</w:t>
            </w:r>
          </w:p>
        </w:tc>
        <w:tc>
          <w:tcPr>
            <w:tcW w:w="2269" w:type="dxa"/>
            <w:gridSpan w:val="2"/>
            <w:tcBorders>
              <w:top w:val="single" w:sz="4" w:space="0" w:color="auto"/>
              <w:left w:val="nil"/>
              <w:bottom w:val="single" w:sz="4" w:space="0" w:color="auto"/>
              <w:right w:val="single" w:sz="8" w:space="0" w:color="000000"/>
            </w:tcBorders>
            <w:shd w:val="clear" w:color="000000" w:fill="92D050"/>
            <w:vAlign w:val="center"/>
            <w:hideMark/>
          </w:tcPr>
          <w:p w14:paraId="68C1593E" w14:textId="77777777" w:rsidR="004A117C" w:rsidRDefault="004A117C" w:rsidP="00470E9B">
            <w:pPr>
              <w:jc w:val="center"/>
              <w:rPr>
                <w:b/>
                <w:bCs/>
                <w:color w:val="000000"/>
                <w:sz w:val="20"/>
                <w:szCs w:val="20"/>
              </w:rPr>
            </w:pPr>
            <w:r>
              <w:rPr>
                <w:b/>
                <w:bCs/>
                <w:color w:val="000000"/>
                <w:sz w:val="20"/>
                <w:szCs w:val="20"/>
              </w:rPr>
              <w:t>0,00</w:t>
            </w:r>
          </w:p>
        </w:tc>
      </w:tr>
      <w:tr w:rsidR="004A117C" w14:paraId="2EEB61B0" w14:textId="77777777" w:rsidTr="00470E9B">
        <w:trPr>
          <w:trHeight w:val="300"/>
        </w:trPr>
        <w:tc>
          <w:tcPr>
            <w:tcW w:w="3676" w:type="dxa"/>
            <w:tcBorders>
              <w:top w:val="nil"/>
              <w:left w:val="single" w:sz="8" w:space="0" w:color="auto"/>
              <w:bottom w:val="single" w:sz="4" w:space="0" w:color="auto"/>
              <w:right w:val="single" w:sz="4" w:space="0" w:color="auto"/>
            </w:tcBorders>
            <w:shd w:val="clear" w:color="auto" w:fill="auto"/>
            <w:vAlign w:val="center"/>
            <w:hideMark/>
          </w:tcPr>
          <w:p w14:paraId="233ADCDA" w14:textId="77777777" w:rsidR="004A117C" w:rsidRDefault="004A117C" w:rsidP="00470E9B">
            <w:pPr>
              <w:rPr>
                <w:b/>
                <w:bCs/>
                <w:i/>
                <w:iCs/>
                <w:color w:val="000000"/>
                <w:sz w:val="20"/>
                <w:szCs w:val="20"/>
              </w:rPr>
            </w:pPr>
            <w:r>
              <w:rPr>
                <w:b/>
                <w:bCs/>
                <w:i/>
                <w:iCs/>
                <w:color w:val="000000"/>
                <w:sz w:val="20"/>
                <w:szCs w:val="20"/>
              </w:rPr>
              <w:t>C. Nepriame finančné náklady</w:t>
            </w:r>
          </w:p>
        </w:tc>
        <w:tc>
          <w:tcPr>
            <w:tcW w:w="2835" w:type="dxa"/>
            <w:gridSpan w:val="2"/>
            <w:tcBorders>
              <w:top w:val="single" w:sz="4" w:space="0" w:color="auto"/>
              <w:left w:val="nil"/>
              <w:bottom w:val="single" w:sz="4" w:space="0" w:color="auto"/>
              <w:right w:val="single" w:sz="4" w:space="0" w:color="auto"/>
            </w:tcBorders>
            <w:shd w:val="clear" w:color="000000" w:fill="FFC000"/>
            <w:vAlign w:val="center"/>
            <w:hideMark/>
          </w:tcPr>
          <w:p w14:paraId="2437663F" w14:textId="77777777" w:rsidR="004A117C" w:rsidRDefault="004A117C" w:rsidP="00470E9B">
            <w:pPr>
              <w:jc w:val="center"/>
              <w:rPr>
                <w:b/>
                <w:bCs/>
                <w:color w:val="000000"/>
                <w:sz w:val="20"/>
                <w:szCs w:val="20"/>
              </w:rPr>
            </w:pPr>
            <w:r>
              <w:rPr>
                <w:b/>
                <w:bCs/>
                <w:color w:val="000000"/>
                <w:sz w:val="20"/>
                <w:szCs w:val="20"/>
              </w:rPr>
              <w:t>0,00</w:t>
            </w:r>
          </w:p>
        </w:tc>
        <w:tc>
          <w:tcPr>
            <w:tcW w:w="2269" w:type="dxa"/>
            <w:gridSpan w:val="2"/>
            <w:tcBorders>
              <w:top w:val="single" w:sz="4" w:space="0" w:color="auto"/>
              <w:left w:val="nil"/>
              <w:bottom w:val="single" w:sz="4" w:space="0" w:color="auto"/>
              <w:right w:val="single" w:sz="8" w:space="0" w:color="000000"/>
            </w:tcBorders>
            <w:shd w:val="clear" w:color="000000" w:fill="92D050"/>
            <w:vAlign w:val="center"/>
            <w:hideMark/>
          </w:tcPr>
          <w:p w14:paraId="7C5A4A90" w14:textId="77777777" w:rsidR="004A117C" w:rsidRDefault="004A117C" w:rsidP="00470E9B">
            <w:pPr>
              <w:jc w:val="center"/>
              <w:rPr>
                <w:b/>
                <w:bCs/>
                <w:color w:val="000000"/>
                <w:sz w:val="20"/>
                <w:szCs w:val="20"/>
              </w:rPr>
            </w:pPr>
            <w:r>
              <w:rPr>
                <w:b/>
                <w:bCs/>
                <w:color w:val="000000"/>
                <w:sz w:val="20"/>
                <w:szCs w:val="20"/>
              </w:rPr>
              <w:t>0,00</w:t>
            </w:r>
          </w:p>
        </w:tc>
      </w:tr>
      <w:tr w:rsidR="004A117C" w14:paraId="6E619C15" w14:textId="77777777" w:rsidTr="00470E9B">
        <w:trPr>
          <w:trHeight w:val="300"/>
        </w:trPr>
        <w:tc>
          <w:tcPr>
            <w:tcW w:w="3676" w:type="dxa"/>
            <w:tcBorders>
              <w:top w:val="nil"/>
              <w:left w:val="single" w:sz="8" w:space="0" w:color="auto"/>
              <w:bottom w:val="single" w:sz="4" w:space="0" w:color="auto"/>
              <w:right w:val="single" w:sz="4" w:space="0" w:color="auto"/>
            </w:tcBorders>
            <w:shd w:val="clear" w:color="auto" w:fill="auto"/>
            <w:vAlign w:val="center"/>
            <w:hideMark/>
          </w:tcPr>
          <w:p w14:paraId="170F5BA8" w14:textId="77777777" w:rsidR="004A117C" w:rsidRDefault="004A117C" w:rsidP="00470E9B">
            <w:pPr>
              <w:rPr>
                <w:b/>
                <w:bCs/>
                <w:i/>
                <w:iCs/>
                <w:color w:val="000000"/>
                <w:sz w:val="20"/>
                <w:szCs w:val="20"/>
              </w:rPr>
            </w:pPr>
            <w:r>
              <w:rPr>
                <w:b/>
                <w:bCs/>
                <w:i/>
                <w:iCs/>
                <w:color w:val="000000"/>
                <w:sz w:val="20"/>
                <w:szCs w:val="20"/>
              </w:rPr>
              <w:t>D. Administratívne náklady</w:t>
            </w:r>
          </w:p>
        </w:tc>
        <w:tc>
          <w:tcPr>
            <w:tcW w:w="2835" w:type="dxa"/>
            <w:gridSpan w:val="2"/>
            <w:tcBorders>
              <w:top w:val="single" w:sz="4" w:space="0" w:color="auto"/>
              <w:left w:val="nil"/>
              <w:bottom w:val="single" w:sz="4" w:space="0" w:color="auto"/>
              <w:right w:val="single" w:sz="4" w:space="0" w:color="auto"/>
            </w:tcBorders>
            <w:shd w:val="clear" w:color="000000" w:fill="FFC000"/>
            <w:vAlign w:val="center"/>
            <w:hideMark/>
          </w:tcPr>
          <w:p w14:paraId="433BF0C8" w14:textId="77777777" w:rsidR="004A117C" w:rsidRDefault="004A117C" w:rsidP="00470E9B">
            <w:pPr>
              <w:jc w:val="center"/>
              <w:rPr>
                <w:b/>
                <w:bCs/>
                <w:color w:val="000000"/>
                <w:sz w:val="20"/>
                <w:szCs w:val="20"/>
              </w:rPr>
            </w:pPr>
            <w:r>
              <w:rPr>
                <w:b/>
                <w:bCs/>
                <w:color w:val="000000"/>
                <w:sz w:val="20"/>
                <w:szCs w:val="20"/>
              </w:rPr>
              <w:t>14 000,03</w:t>
            </w:r>
          </w:p>
        </w:tc>
        <w:tc>
          <w:tcPr>
            <w:tcW w:w="2269" w:type="dxa"/>
            <w:gridSpan w:val="2"/>
            <w:tcBorders>
              <w:top w:val="single" w:sz="4" w:space="0" w:color="auto"/>
              <w:left w:val="nil"/>
              <w:bottom w:val="single" w:sz="4" w:space="0" w:color="auto"/>
              <w:right w:val="single" w:sz="8" w:space="0" w:color="000000"/>
            </w:tcBorders>
            <w:shd w:val="clear" w:color="000000" w:fill="92D050"/>
            <w:vAlign w:val="center"/>
            <w:hideMark/>
          </w:tcPr>
          <w:p w14:paraId="6D90FDB3" w14:textId="77777777" w:rsidR="004A117C" w:rsidRDefault="004A117C" w:rsidP="00470E9B">
            <w:pPr>
              <w:jc w:val="center"/>
              <w:rPr>
                <w:b/>
                <w:bCs/>
                <w:color w:val="000000"/>
                <w:sz w:val="20"/>
                <w:szCs w:val="20"/>
              </w:rPr>
            </w:pPr>
            <w:r>
              <w:rPr>
                <w:b/>
                <w:bCs/>
                <w:color w:val="000000"/>
                <w:sz w:val="20"/>
                <w:szCs w:val="20"/>
              </w:rPr>
              <w:t>84 000,04</w:t>
            </w:r>
          </w:p>
        </w:tc>
      </w:tr>
      <w:tr w:rsidR="004A117C" w14:paraId="1710D904" w14:textId="77777777" w:rsidTr="00470E9B">
        <w:trPr>
          <w:trHeight w:val="300"/>
        </w:trPr>
        <w:tc>
          <w:tcPr>
            <w:tcW w:w="3676" w:type="dxa"/>
            <w:tcBorders>
              <w:top w:val="nil"/>
              <w:left w:val="single" w:sz="8" w:space="0" w:color="auto"/>
              <w:bottom w:val="single" w:sz="4" w:space="0" w:color="auto"/>
              <w:right w:val="single" w:sz="4" w:space="0" w:color="auto"/>
            </w:tcBorders>
            <w:shd w:val="clear" w:color="auto" w:fill="auto"/>
            <w:vAlign w:val="center"/>
            <w:hideMark/>
          </w:tcPr>
          <w:p w14:paraId="31ADCCBD" w14:textId="77777777" w:rsidR="004A117C" w:rsidRDefault="004A117C" w:rsidP="00470E9B">
            <w:pPr>
              <w:rPr>
                <w:b/>
                <w:bCs/>
                <w:i/>
                <w:iCs/>
                <w:color w:val="000000"/>
                <w:sz w:val="20"/>
                <w:szCs w:val="20"/>
              </w:rPr>
            </w:pPr>
            <w:r>
              <w:rPr>
                <w:b/>
                <w:bCs/>
                <w:i/>
                <w:iCs/>
                <w:color w:val="000000"/>
                <w:sz w:val="20"/>
                <w:szCs w:val="20"/>
              </w:rPr>
              <w:t>Spolu = A+B+C+D</w:t>
            </w:r>
          </w:p>
        </w:tc>
        <w:tc>
          <w:tcPr>
            <w:tcW w:w="2835" w:type="dxa"/>
            <w:gridSpan w:val="2"/>
            <w:tcBorders>
              <w:top w:val="single" w:sz="4" w:space="0" w:color="auto"/>
              <w:left w:val="nil"/>
              <w:bottom w:val="single" w:sz="4" w:space="0" w:color="auto"/>
              <w:right w:val="single" w:sz="4" w:space="0" w:color="auto"/>
            </w:tcBorders>
            <w:shd w:val="clear" w:color="000000" w:fill="FFC000"/>
            <w:vAlign w:val="center"/>
            <w:hideMark/>
          </w:tcPr>
          <w:p w14:paraId="739432EB" w14:textId="77777777" w:rsidR="004A117C" w:rsidRDefault="004A117C" w:rsidP="00470E9B">
            <w:pPr>
              <w:jc w:val="center"/>
              <w:rPr>
                <w:b/>
                <w:bCs/>
                <w:color w:val="000000"/>
                <w:sz w:val="20"/>
                <w:szCs w:val="20"/>
              </w:rPr>
            </w:pPr>
            <w:r>
              <w:rPr>
                <w:b/>
                <w:bCs/>
                <w:color w:val="000000"/>
                <w:sz w:val="20"/>
                <w:szCs w:val="20"/>
              </w:rPr>
              <w:t>14 000,03</w:t>
            </w:r>
          </w:p>
        </w:tc>
        <w:tc>
          <w:tcPr>
            <w:tcW w:w="2269" w:type="dxa"/>
            <w:gridSpan w:val="2"/>
            <w:tcBorders>
              <w:top w:val="single" w:sz="4" w:space="0" w:color="auto"/>
              <w:left w:val="nil"/>
              <w:bottom w:val="single" w:sz="4" w:space="0" w:color="auto"/>
              <w:right w:val="single" w:sz="8" w:space="0" w:color="000000"/>
            </w:tcBorders>
            <w:shd w:val="clear" w:color="000000" w:fill="92D050"/>
            <w:vAlign w:val="center"/>
            <w:hideMark/>
          </w:tcPr>
          <w:p w14:paraId="17724D6C" w14:textId="77777777" w:rsidR="004A117C" w:rsidRDefault="004A117C" w:rsidP="00470E9B">
            <w:pPr>
              <w:jc w:val="center"/>
              <w:rPr>
                <w:b/>
                <w:bCs/>
                <w:color w:val="000000"/>
                <w:sz w:val="20"/>
                <w:szCs w:val="20"/>
              </w:rPr>
            </w:pPr>
            <w:r>
              <w:rPr>
                <w:b/>
                <w:bCs/>
                <w:color w:val="000000"/>
                <w:sz w:val="20"/>
                <w:szCs w:val="20"/>
              </w:rPr>
              <w:t>84 000,04</w:t>
            </w:r>
          </w:p>
        </w:tc>
      </w:tr>
      <w:tr w:rsidR="004A117C" w14:paraId="30A27EDF" w14:textId="77777777" w:rsidTr="00470E9B">
        <w:trPr>
          <w:trHeight w:val="300"/>
        </w:trPr>
        <w:tc>
          <w:tcPr>
            <w:tcW w:w="3676" w:type="dxa"/>
            <w:tcBorders>
              <w:top w:val="nil"/>
              <w:left w:val="single" w:sz="8" w:space="0" w:color="auto"/>
              <w:bottom w:val="single" w:sz="4" w:space="0" w:color="auto"/>
              <w:right w:val="single" w:sz="4" w:space="0" w:color="auto"/>
            </w:tcBorders>
            <w:shd w:val="clear" w:color="auto" w:fill="auto"/>
            <w:vAlign w:val="center"/>
            <w:hideMark/>
          </w:tcPr>
          <w:p w14:paraId="7C622B71" w14:textId="77777777" w:rsidR="004A117C" w:rsidRDefault="004A117C" w:rsidP="00470E9B">
            <w:pPr>
              <w:rPr>
                <w:b/>
                <w:bCs/>
                <w:i/>
                <w:iCs/>
                <w:color w:val="000000"/>
                <w:sz w:val="20"/>
                <w:szCs w:val="20"/>
              </w:rPr>
            </w:pPr>
            <w:r>
              <w:rPr>
                <w:b/>
                <w:bCs/>
                <w:i/>
                <w:iCs/>
                <w:color w:val="000000"/>
                <w:sz w:val="20"/>
                <w:szCs w:val="20"/>
              </w:rPr>
              <w:t xml:space="preserve"> Z toho</w:t>
            </w:r>
          </w:p>
        </w:tc>
        <w:tc>
          <w:tcPr>
            <w:tcW w:w="2835" w:type="dxa"/>
            <w:gridSpan w:val="2"/>
            <w:tcBorders>
              <w:top w:val="single" w:sz="4" w:space="0" w:color="auto"/>
              <w:left w:val="nil"/>
              <w:bottom w:val="single" w:sz="4" w:space="0" w:color="auto"/>
              <w:right w:val="single" w:sz="4" w:space="0" w:color="auto"/>
            </w:tcBorders>
            <w:shd w:val="clear" w:color="000000" w:fill="FFC000"/>
            <w:vAlign w:val="center"/>
            <w:hideMark/>
          </w:tcPr>
          <w:p w14:paraId="5D2988B5" w14:textId="77777777" w:rsidR="004A117C" w:rsidRDefault="004A117C" w:rsidP="00470E9B">
            <w:pPr>
              <w:jc w:val="center"/>
              <w:rPr>
                <w:b/>
                <w:bCs/>
                <w:color w:val="000000"/>
                <w:sz w:val="20"/>
                <w:szCs w:val="20"/>
              </w:rPr>
            </w:pPr>
            <w:r>
              <w:rPr>
                <w:b/>
                <w:bCs/>
                <w:color w:val="000000"/>
                <w:sz w:val="20"/>
                <w:szCs w:val="20"/>
              </w:rPr>
              <w:t> </w:t>
            </w:r>
          </w:p>
        </w:tc>
        <w:tc>
          <w:tcPr>
            <w:tcW w:w="2269" w:type="dxa"/>
            <w:gridSpan w:val="2"/>
            <w:tcBorders>
              <w:top w:val="single" w:sz="4" w:space="0" w:color="auto"/>
              <w:left w:val="nil"/>
              <w:bottom w:val="single" w:sz="4" w:space="0" w:color="auto"/>
              <w:right w:val="single" w:sz="8" w:space="0" w:color="000000"/>
            </w:tcBorders>
            <w:shd w:val="clear" w:color="000000" w:fill="92D050"/>
            <w:vAlign w:val="center"/>
            <w:hideMark/>
          </w:tcPr>
          <w:p w14:paraId="1D6E6EEF" w14:textId="77777777" w:rsidR="004A117C" w:rsidRDefault="004A117C" w:rsidP="00470E9B">
            <w:pPr>
              <w:jc w:val="center"/>
              <w:rPr>
                <w:b/>
                <w:bCs/>
                <w:color w:val="000000"/>
                <w:sz w:val="20"/>
                <w:szCs w:val="20"/>
              </w:rPr>
            </w:pPr>
            <w:r>
              <w:rPr>
                <w:b/>
                <w:bCs/>
                <w:color w:val="000000"/>
                <w:sz w:val="20"/>
                <w:szCs w:val="20"/>
              </w:rPr>
              <w:t> </w:t>
            </w:r>
          </w:p>
        </w:tc>
      </w:tr>
      <w:tr w:rsidR="004A117C" w14:paraId="70A27412" w14:textId="77777777" w:rsidTr="00470E9B">
        <w:trPr>
          <w:trHeight w:val="615"/>
        </w:trPr>
        <w:tc>
          <w:tcPr>
            <w:tcW w:w="3676" w:type="dxa"/>
            <w:tcBorders>
              <w:top w:val="nil"/>
              <w:left w:val="single" w:sz="8" w:space="0" w:color="auto"/>
              <w:bottom w:val="single" w:sz="4" w:space="0" w:color="auto"/>
              <w:right w:val="single" w:sz="4" w:space="0" w:color="auto"/>
            </w:tcBorders>
            <w:shd w:val="clear" w:color="auto" w:fill="auto"/>
            <w:vAlign w:val="center"/>
            <w:hideMark/>
          </w:tcPr>
          <w:p w14:paraId="64EA05C1" w14:textId="77777777" w:rsidR="004A117C" w:rsidRDefault="004A117C" w:rsidP="00470E9B">
            <w:pPr>
              <w:rPr>
                <w:b/>
                <w:bCs/>
                <w:i/>
                <w:iCs/>
                <w:color w:val="000000"/>
                <w:sz w:val="20"/>
                <w:szCs w:val="20"/>
              </w:rPr>
            </w:pPr>
            <w:r>
              <w:rPr>
                <w:b/>
                <w:bCs/>
                <w:i/>
                <w:iCs/>
                <w:color w:val="000000"/>
                <w:sz w:val="20"/>
                <w:szCs w:val="20"/>
              </w:rPr>
              <w:t>E. Vplyv na mikro, malé a stredné podn.</w:t>
            </w:r>
          </w:p>
        </w:tc>
        <w:tc>
          <w:tcPr>
            <w:tcW w:w="2835" w:type="dxa"/>
            <w:gridSpan w:val="2"/>
            <w:tcBorders>
              <w:top w:val="single" w:sz="4" w:space="0" w:color="auto"/>
              <w:left w:val="nil"/>
              <w:bottom w:val="single" w:sz="4" w:space="0" w:color="auto"/>
              <w:right w:val="single" w:sz="4" w:space="0" w:color="auto"/>
            </w:tcBorders>
            <w:shd w:val="clear" w:color="000000" w:fill="FFC000"/>
            <w:vAlign w:val="center"/>
            <w:hideMark/>
          </w:tcPr>
          <w:p w14:paraId="00EBA7AA" w14:textId="77777777" w:rsidR="004A117C" w:rsidRDefault="004A117C" w:rsidP="00470E9B">
            <w:pPr>
              <w:jc w:val="center"/>
              <w:rPr>
                <w:b/>
                <w:bCs/>
                <w:color w:val="000000"/>
                <w:sz w:val="20"/>
                <w:szCs w:val="20"/>
              </w:rPr>
            </w:pPr>
            <w:r>
              <w:rPr>
                <w:b/>
                <w:bCs/>
                <w:color w:val="000000"/>
                <w:sz w:val="20"/>
                <w:szCs w:val="20"/>
              </w:rPr>
              <w:t>0,00</w:t>
            </w:r>
          </w:p>
        </w:tc>
        <w:tc>
          <w:tcPr>
            <w:tcW w:w="2269" w:type="dxa"/>
            <w:gridSpan w:val="2"/>
            <w:tcBorders>
              <w:top w:val="single" w:sz="4" w:space="0" w:color="auto"/>
              <w:left w:val="nil"/>
              <w:bottom w:val="single" w:sz="4" w:space="0" w:color="auto"/>
              <w:right w:val="single" w:sz="8" w:space="0" w:color="000000"/>
            </w:tcBorders>
            <w:shd w:val="clear" w:color="000000" w:fill="92D050"/>
            <w:vAlign w:val="center"/>
            <w:hideMark/>
          </w:tcPr>
          <w:p w14:paraId="6B8BE378" w14:textId="77777777" w:rsidR="004A117C" w:rsidRDefault="004A117C" w:rsidP="00470E9B">
            <w:pPr>
              <w:jc w:val="center"/>
              <w:rPr>
                <w:b/>
                <w:bCs/>
                <w:color w:val="000000"/>
                <w:sz w:val="20"/>
                <w:szCs w:val="20"/>
              </w:rPr>
            </w:pPr>
            <w:r>
              <w:rPr>
                <w:b/>
                <w:bCs/>
                <w:color w:val="000000"/>
                <w:sz w:val="20"/>
                <w:szCs w:val="20"/>
              </w:rPr>
              <w:t>0,00</w:t>
            </w:r>
          </w:p>
        </w:tc>
      </w:tr>
      <w:tr w:rsidR="004A117C" w14:paraId="2B8111A3" w14:textId="77777777" w:rsidTr="00470E9B">
        <w:trPr>
          <w:trHeight w:val="990"/>
        </w:trPr>
        <w:tc>
          <w:tcPr>
            <w:tcW w:w="3676" w:type="dxa"/>
            <w:tcBorders>
              <w:top w:val="nil"/>
              <w:left w:val="single" w:sz="8" w:space="0" w:color="auto"/>
              <w:bottom w:val="single" w:sz="8" w:space="0" w:color="auto"/>
              <w:right w:val="single" w:sz="4" w:space="0" w:color="auto"/>
            </w:tcBorders>
            <w:shd w:val="clear" w:color="auto" w:fill="auto"/>
            <w:vAlign w:val="center"/>
            <w:hideMark/>
          </w:tcPr>
          <w:p w14:paraId="234BB720" w14:textId="77777777" w:rsidR="004A117C" w:rsidRDefault="004A117C" w:rsidP="00470E9B">
            <w:pPr>
              <w:rPr>
                <w:b/>
                <w:bCs/>
                <w:i/>
                <w:iCs/>
                <w:color w:val="000000"/>
                <w:sz w:val="20"/>
                <w:szCs w:val="20"/>
              </w:rPr>
            </w:pPr>
            <w:r>
              <w:rPr>
                <w:b/>
                <w:bCs/>
                <w:i/>
                <w:iCs/>
                <w:color w:val="000000"/>
                <w:sz w:val="20"/>
                <w:szCs w:val="20"/>
              </w:rPr>
              <w:t>F. Úplná harmonizácia práva EÚ</w:t>
            </w:r>
            <w:r>
              <w:rPr>
                <w:b/>
                <w:bCs/>
                <w:i/>
                <w:iCs/>
                <w:color w:val="000000"/>
                <w:sz w:val="20"/>
                <w:szCs w:val="20"/>
              </w:rPr>
              <w:br/>
            </w:r>
            <w:r>
              <w:rPr>
                <w:i/>
                <w:iCs/>
                <w:color w:val="000000"/>
                <w:sz w:val="16"/>
                <w:szCs w:val="16"/>
              </w:rPr>
              <w:t>(okrem daní, odvodov, ciel a poplatkov, ktorých cieľom je znižovať negatívne externality)</w:t>
            </w:r>
          </w:p>
        </w:tc>
        <w:tc>
          <w:tcPr>
            <w:tcW w:w="2835" w:type="dxa"/>
            <w:gridSpan w:val="2"/>
            <w:tcBorders>
              <w:top w:val="single" w:sz="4" w:space="0" w:color="auto"/>
              <w:left w:val="nil"/>
              <w:bottom w:val="single" w:sz="8" w:space="0" w:color="auto"/>
              <w:right w:val="single" w:sz="4" w:space="0" w:color="auto"/>
            </w:tcBorders>
            <w:shd w:val="clear" w:color="000000" w:fill="FFC000"/>
            <w:vAlign w:val="center"/>
            <w:hideMark/>
          </w:tcPr>
          <w:p w14:paraId="2ABCFF59" w14:textId="77777777" w:rsidR="004A117C" w:rsidRDefault="004A117C" w:rsidP="00470E9B">
            <w:pPr>
              <w:jc w:val="center"/>
              <w:rPr>
                <w:b/>
                <w:bCs/>
                <w:color w:val="000000"/>
                <w:sz w:val="20"/>
                <w:szCs w:val="20"/>
              </w:rPr>
            </w:pPr>
            <w:r>
              <w:rPr>
                <w:b/>
                <w:bCs/>
                <w:color w:val="000000"/>
                <w:sz w:val="20"/>
                <w:szCs w:val="20"/>
              </w:rPr>
              <w:t>0,00</w:t>
            </w:r>
          </w:p>
        </w:tc>
        <w:tc>
          <w:tcPr>
            <w:tcW w:w="2269" w:type="dxa"/>
            <w:gridSpan w:val="2"/>
            <w:tcBorders>
              <w:top w:val="single" w:sz="4" w:space="0" w:color="auto"/>
              <w:left w:val="nil"/>
              <w:bottom w:val="single" w:sz="8" w:space="0" w:color="auto"/>
              <w:right w:val="single" w:sz="8" w:space="0" w:color="000000"/>
            </w:tcBorders>
            <w:shd w:val="clear" w:color="000000" w:fill="92D050"/>
            <w:vAlign w:val="center"/>
            <w:hideMark/>
          </w:tcPr>
          <w:p w14:paraId="2F9CC011" w14:textId="77777777" w:rsidR="004A117C" w:rsidRDefault="004A117C" w:rsidP="00470E9B">
            <w:pPr>
              <w:jc w:val="center"/>
              <w:rPr>
                <w:b/>
                <w:bCs/>
                <w:color w:val="000000"/>
                <w:sz w:val="20"/>
                <w:szCs w:val="20"/>
              </w:rPr>
            </w:pPr>
            <w:r>
              <w:rPr>
                <w:b/>
                <w:bCs/>
                <w:color w:val="000000"/>
                <w:sz w:val="20"/>
                <w:szCs w:val="20"/>
              </w:rPr>
              <w:t>0,00</w:t>
            </w:r>
          </w:p>
        </w:tc>
      </w:tr>
      <w:tr w:rsidR="004A117C" w14:paraId="045AD4A1" w14:textId="77777777" w:rsidTr="00470E9B">
        <w:trPr>
          <w:trHeight w:val="270"/>
        </w:trPr>
        <w:tc>
          <w:tcPr>
            <w:tcW w:w="3676" w:type="dxa"/>
            <w:tcBorders>
              <w:top w:val="nil"/>
              <w:left w:val="nil"/>
              <w:bottom w:val="nil"/>
              <w:right w:val="nil"/>
            </w:tcBorders>
            <w:shd w:val="clear" w:color="auto" w:fill="auto"/>
            <w:noWrap/>
            <w:vAlign w:val="bottom"/>
            <w:hideMark/>
          </w:tcPr>
          <w:p w14:paraId="118E5C4E" w14:textId="77777777" w:rsidR="004A117C" w:rsidRDefault="004A117C" w:rsidP="00470E9B">
            <w:pPr>
              <w:jc w:val="center"/>
              <w:rPr>
                <w:b/>
                <w:bCs/>
                <w:color w:val="000000"/>
                <w:sz w:val="20"/>
                <w:szCs w:val="20"/>
              </w:rPr>
            </w:pPr>
          </w:p>
        </w:tc>
        <w:tc>
          <w:tcPr>
            <w:tcW w:w="1684" w:type="dxa"/>
            <w:tcBorders>
              <w:top w:val="nil"/>
              <w:left w:val="nil"/>
              <w:bottom w:val="nil"/>
              <w:right w:val="nil"/>
            </w:tcBorders>
            <w:shd w:val="clear" w:color="auto" w:fill="auto"/>
            <w:vAlign w:val="center"/>
            <w:hideMark/>
          </w:tcPr>
          <w:p w14:paraId="1D77D7C2" w14:textId="77777777" w:rsidR="004A117C" w:rsidRDefault="004A117C" w:rsidP="00470E9B">
            <w:pPr>
              <w:rPr>
                <w:sz w:val="20"/>
                <w:szCs w:val="20"/>
              </w:rPr>
            </w:pPr>
          </w:p>
        </w:tc>
        <w:tc>
          <w:tcPr>
            <w:tcW w:w="1151" w:type="dxa"/>
            <w:tcBorders>
              <w:top w:val="nil"/>
              <w:left w:val="nil"/>
              <w:bottom w:val="nil"/>
              <w:right w:val="nil"/>
            </w:tcBorders>
            <w:shd w:val="clear" w:color="auto" w:fill="auto"/>
            <w:vAlign w:val="center"/>
            <w:hideMark/>
          </w:tcPr>
          <w:p w14:paraId="199CE287" w14:textId="77777777" w:rsidR="004A117C" w:rsidRDefault="004A117C" w:rsidP="00470E9B">
            <w:pPr>
              <w:rPr>
                <w:sz w:val="20"/>
                <w:szCs w:val="20"/>
              </w:rPr>
            </w:pPr>
          </w:p>
        </w:tc>
        <w:tc>
          <w:tcPr>
            <w:tcW w:w="1269" w:type="dxa"/>
            <w:tcBorders>
              <w:top w:val="nil"/>
              <w:left w:val="nil"/>
              <w:bottom w:val="nil"/>
              <w:right w:val="nil"/>
            </w:tcBorders>
            <w:shd w:val="clear" w:color="auto" w:fill="auto"/>
            <w:vAlign w:val="center"/>
            <w:hideMark/>
          </w:tcPr>
          <w:p w14:paraId="32AB1F99" w14:textId="77777777" w:rsidR="004A117C" w:rsidRDefault="004A117C" w:rsidP="00470E9B">
            <w:pPr>
              <w:rPr>
                <w:sz w:val="20"/>
                <w:szCs w:val="20"/>
              </w:rPr>
            </w:pPr>
          </w:p>
        </w:tc>
        <w:tc>
          <w:tcPr>
            <w:tcW w:w="1000" w:type="dxa"/>
            <w:tcBorders>
              <w:top w:val="nil"/>
              <w:left w:val="nil"/>
              <w:bottom w:val="nil"/>
              <w:right w:val="nil"/>
            </w:tcBorders>
            <w:shd w:val="clear" w:color="auto" w:fill="auto"/>
            <w:vAlign w:val="center"/>
            <w:hideMark/>
          </w:tcPr>
          <w:p w14:paraId="69E80027" w14:textId="77777777" w:rsidR="004A117C" w:rsidRDefault="004A117C" w:rsidP="00470E9B">
            <w:pPr>
              <w:rPr>
                <w:sz w:val="20"/>
                <w:szCs w:val="20"/>
              </w:rPr>
            </w:pPr>
          </w:p>
        </w:tc>
      </w:tr>
      <w:tr w:rsidR="004A117C" w14:paraId="13831CCF" w14:textId="77777777" w:rsidTr="00470E9B">
        <w:trPr>
          <w:trHeight w:val="330"/>
        </w:trPr>
        <w:tc>
          <w:tcPr>
            <w:tcW w:w="36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B9BCCA7" w14:textId="77777777" w:rsidR="004A117C" w:rsidRDefault="004A117C" w:rsidP="00470E9B">
            <w:pPr>
              <w:rPr>
                <w:i/>
                <w:iCs/>
                <w:color w:val="000000"/>
                <w:sz w:val="20"/>
                <w:szCs w:val="20"/>
              </w:rPr>
            </w:pPr>
            <w:r>
              <w:rPr>
                <w:i/>
                <w:iCs/>
                <w:color w:val="000000"/>
                <w:sz w:val="20"/>
                <w:szCs w:val="20"/>
              </w:rPr>
              <w:t>VÝPOČET PRAVIDLA 1in2out:</w:t>
            </w:r>
          </w:p>
        </w:tc>
        <w:tc>
          <w:tcPr>
            <w:tcW w:w="2835" w:type="dxa"/>
            <w:gridSpan w:val="2"/>
            <w:tcBorders>
              <w:top w:val="single" w:sz="8" w:space="0" w:color="auto"/>
              <w:left w:val="nil"/>
              <w:bottom w:val="single" w:sz="4" w:space="0" w:color="auto"/>
              <w:right w:val="single" w:sz="4" w:space="0" w:color="auto"/>
            </w:tcBorders>
            <w:shd w:val="clear" w:color="000000" w:fill="FFC000"/>
            <w:vAlign w:val="center"/>
            <w:hideMark/>
          </w:tcPr>
          <w:p w14:paraId="1306E3EF" w14:textId="77777777" w:rsidR="004A117C" w:rsidRDefault="004A117C" w:rsidP="00470E9B">
            <w:pPr>
              <w:jc w:val="center"/>
              <w:rPr>
                <w:color w:val="000000"/>
                <w:sz w:val="20"/>
                <w:szCs w:val="20"/>
              </w:rPr>
            </w:pPr>
            <w:r>
              <w:rPr>
                <w:color w:val="000000"/>
                <w:sz w:val="20"/>
                <w:szCs w:val="20"/>
              </w:rPr>
              <w:t>IN</w:t>
            </w:r>
          </w:p>
        </w:tc>
        <w:tc>
          <w:tcPr>
            <w:tcW w:w="2269" w:type="dxa"/>
            <w:gridSpan w:val="2"/>
            <w:tcBorders>
              <w:top w:val="single" w:sz="8" w:space="0" w:color="auto"/>
              <w:left w:val="nil"/>
              <w:bottom w:val="single" w:sz="4" w:space="0" w:color="auto"/>
              <w:right w:val="single" w:sz="8" w:space="0" w:color="000000"/>
            </w:tcBorders>
            <w:shd w:val="clear" w:color="000000" w:fill="92D050"/>
            <w:vAlign w:val="center"/>
            <w:hideMark/>
          </w:tcPr>
          <w:p w14:paraId="0A630352" w14:textId="77777777" w:rsidR="004A117C" w:rsidRDefault="004A117C" w:rsidP="00470E9B">
            <w:pPr>
              <w:jc w:val="center"/>
              <w:rPr>
                <w:color w:val="000000"/>
                <w:sz w:val="20"/>
                <w:szCs w:val="20"/>
              </w:rPr>
            </w:pPr>
            <w:r>
              <w:rPr>
                <w:color w:val="000000"/>
                <w:sz w:val="20"/>
                <w:szCs w:val="20"/>
              </w:rPr>
              <w:t>OUT</w:t>
            </w:r>
          </w:p>
        </w:tc>
      </w:tr>
      <w:tr w:rsidR="004A117C" w14:paraId="499F1E6E" w14:textId="77777777" w:rsidTr="00470E9B">
        <w:trPr>
          <w:trHeight w:val="345"/>
        </w:trPr>
        <w:tc>
          <w:tcPr>
            <w:tcW w:w="3676" w:type="dxa"/>
            <w:tcBorders>
              <w:top w:val="nil"/>
              <w:left w:val="single" w:sz="8" w:space="0" w:color="auto"/>
              <w:bottom w:val="single" w:sz="8" w:space="0" w:color="auto"/>
              <w:right w:val="single" w:sz="4" w:space="0" w:color="auto"/>
            </w:tcBorders>
            <w:shd w:val="clear" w:color="auto" w:fill="auto"/>
            <w:vAlign w:val="center"/>
            <w:hideMark/>
          </w:tcPr>
          <w:p w14:paraId="27F4F7A2" w14:textId="77777777" w:rsidR="004A117C" w:rsidRDefault="004A117C" w:rsidP="00470E9B">
            <w:pPr>
              <w:rPr>
                <w:i/>
                <w:iCs/>
                <w:color w:val="000000"/>
                <w:sz w:val="20"/>
                <w:szCs w:val="20"/>
              </w:rPr>
            </w:pPr>
            <w:r>
              <w:rPr>
                <w:i/>
                <w:iCs/>
                <w:color w:val="000000"/>
                <w:sz w:val="20"/>
                <w:szCs w:val="20"/>
              </w:rPr>
              <w:t>G. Náklady okrem výnimiek = B+C+D-F</w:t>
            </w:r>
          </w:p>
        </w:tc>
        <w:tc>
          <w:tcPr>
            <w:tcW w:w="2835" w:type="dxa"/>
            <w:gridSpan w:val="2"/>
            <w:tcBorders>
              <w:top w:val="single" w:sz="4" w:space="0" w:color="auto"/>
              <w:left w:val="nil"/>
              <w:bottom w:val="single" w:sz="8" w:space="0" w:color="auto"/>
              <w:right w:val="single" w:sz="4" w:space="0" w:color="auto"/>
            </w:tcBorders>
            <w:shd w:val="clear" w:color="000000" w:fill="FFC000"/>
            <w:vAlign w:val="center"/>
            <w:hideMark/>
          </w:tcPr>
          <w:p w14:paraId="7BCCD1CC" w14:textId="77777777" w:rsidR="004A117C" w:rsidRDefault="004A117C" w:rsidP="00470E9B">
            <w:pPr>
              <w:jc w:val="center"/>
              <w:rPr>
                <w:b/>
                <w:bCs/>
                <w:color w:val="000000"/>
                <w:sz w:val="20"/>
                <w:szCs w:val="20"/>
              </w:rPr>
            </w:pPr>
            <w:r>
              <w:rPr>
                <w:b/>
                <w:bCs/>
                <w:color w:val="000000"/>
                <w:sz w:val="20"/>
                <w:szCs w:val="20"/>
              </w:rPr>
              <w:t>14 000,03</w:t>
            </w:r>
          </w:p>
        </w:tc>
        <w:tc>
          <w:tcPr>
            <w:tcW w:w="2269" w:type="dxa"/>
            <w:gridSpan w:val="2"/>
            <w:tcBorders>
              <w:top w:val="single" w:sz="4" w:space="0" w:color="auto"/>
              <w:left w:val="nil"/>
              <w:bottom w:val="single" w:sz="8" w:space="0" w:color="auto"/>
              <w:right w:val="single" w:sz="8" w:space="0" w:color="000000"/>
            </w:tcBorders>
            <w:shd w:val="clear" w:color="000000" w:fill="92D050"/>
            <w:vAlign w:val="center"/>
            <w:hideMark/>
          </w:tcPr>
          <w:p w14:paraId="7B99780A" w14:textId="77777777" w:rsidR="004A117C" w:rsidRDefault="004A117C" w:rsidP="00470E9B">
            <w:pPr>
              <w:jc w:val="center"/>
              <w:rPr>
                <w:b/>
                <w:bCs/>
                <w:color w:val="000000"/>
                <w:sz w:val="20"/>
                <w:szCs w:val="20"/>
              </w:rPr>
            </w:pPr>
            <w:r>
              <w:rPr>
                <w:b/>
                <w:bCs/>
                <w:color w:val="000000"/>
                <w:sz w:val="20"/>
                <w:szCs w:val="20"/>
              </w:rPr>
              <w:t>84 000,04</w:t>
            </w:r>
          </w:p>
        </w:tc>
      </w:tr>
    </w:tbl>
    <w:p w14:paraId="785F331B" w14:textId="77777777" w:rsidR="004A117C" w:rsidRPr="00895898" w:rsidRDefault="004A117C" w:rsidP="004A117C">
      <w:pPr>
        <w:rPr>
          <w:rFonts w:eastAsia="Calibri"/>
          <w:i/>
        </w:rPr>
      </w:pPr>
    </w:p>
    <w:p w14:paraId="77388825" w14:textId="77777777" w:rsidR="004A117C" w:rsidRPr="00895898" w:rsidRDefault="004A117C" w:rsidP="004A117C">
      <w:pPr>
        <w:rPr>
          <w:rFonts w:eastAsia="Calibri"/>
          <w:b/>
        </w:rPr>
      </w:pPr>
    </w:p>
    <w:p w14:paraId="4ECBDEAA" w14:textId="77777777" w:rsidR="004A117C" w:rsidRPr="00895898" w:rsidRDefault="004A117C" w:rsidP="004A117C">
      <w:pPr>
        <w:rPr>
          <w:rFonts w:eastAsia="Calibri"/>
          <w:b/>
        </w:rPr>
        <w:sectPr w:rsidR="004A117C" w:rsidRPr="00895898" w:rsidSect="00142154">
          <w:footerReference w:type="default" r:id="rId8"/>
          <w:pgSz w:w="11906" w:h="16838"/>
          <w:pgMar w:top="993" w:right="1417" w:bottom="1417" w:left="1417" w:header="708" w:footer="708" w:gutter="0"/>
          <w:pgNumType w:start="1"/>
          <w:cols w:space="708"/>
          <w:docGrid w:linePitch="360"/>
        </w:sectPr>
      </w:pPr>
    </w:p>
    <w:p w14:paraId="7E29F6E5" w14:textId="77777777" w:rsidR="004A117C" w:rsidRPr="001F1B43" w:rsidRDefault="004A117C" w:rsidP="004A117C">
      <w:pPr>
        <w:rPr>
          <w:rFonts w:eastAsia="Calibri"/>
          <w:b/>
          <w:i/>
          <w:iCs/>
        </w:rPr>
      </w:pPr>
      <w:r w:rsidRPr="001F1B43">
        <w:rPr>
          <w:rFonts w:eastAsia="Calibri"/>
          <w:b/>
          <w:i/>
          <w:iCs/>
        </w:rPr>
        <w:lastRenderedPageBreak/>
        <w:t>3.1.2 Výpočty vplyvov jednotlivých regulácií na zmeny v nákladoch podnikateľov</w:t>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p>
    <w:tbl>
      <w:tblPr>
        <w:tblW w:w="15890" w:type="dxa"/>
        <w:tblInd w:w="-284" w:type="dxa"/>
        <w:tblCellMar>
          <w:left w:w="70" w:type="dxa"/>
          <w:right w:w="70" w:type="dxa"/>
        </w:tblCellMar>
        <w:tblLook w:val="04A0" w:firstRow="1" w:lastRow="0" w:firstColumn="1" w:lastColumn="0" w:noHBand="0" w:noVBand="1"/>
      </w:tblPr>
      <w:tblGrid>
        <w:gridCol w:w="567"/>
        <w:gridCol w:w="1843"/>
        <w:gridCol w:w="1276"/>
        <w:gridCol w:w="1134"/>
        <w:gridCol w:w="1701"/>
        <w:gridCol w:w="1134"/>
        <w:gridCol w:w="1418"/>
        <w:gridCol w:w="992"/>
        <w:gridCol w:w="992"/>
        <w:gridCol w:w="993"/>
        <w:gridCol w:w="992"/>
        <w:gridCol w:w="932"/>
        <w:gridCol w:w="485"/>
        <w:gridCol w:w="1431"/>
      </w:tblGrid>
      <w:tr w:rsidR="004A117C" w:rsidRPr="008C211B" w14:paraId="06641C09" w14:textId="77777777" w:rsidTr="00470E9B">
        <w:trPr>
          <w:trHeight w:val="315"/>
        </w:trPr>
        <w:tc>
          <w:tcPr>
            <w:tcW w:w="13974" w:type="dxa"/>
            <w:gridSpan w:val="12"/>
            <w:tcBorders>
              <w:top w:val="nil"/>
              <w:left w:val="nil"/>
              <w:bottom w:val="nil"/>
              <w:right w:val="nil"/>
            </w:tcBorders>
            <w:shd w:val="clear" w:color="auto" w:fill="auto"/>
            <w:vAlign w:val="center"/>
          </w:tcPr>
          <w:p w14:paraId="2AF1B8E9" w14:textId="77777777" w:rsidR="004A117C" w:rsidRPr="008C211B" w:rsidRDefault="004A117C" w:rsidP="00470E9B">
            <w:pPr>
              <w:rPr>
                <w:b/>
                <w:bCs/>
                <w:color w:val="000000"/>
                <w:lang w:eastAsia="sk-SK"/>
              </w:rPr>
            </w:pPr>
            <w:r w:rsidRPr="00D8247C">
              <w:rPr>
                <w:rFonts w:eastAsia="Calibri"/>
                <w:i/>
              </w:rPr>
              <w:t>Tabuľka č. 2: Výpočet vplyvov jednotlivých regulácií (nahraďte rovnakou tabuľkou po vyplnení Kalkulačky nákladov):</w:t>
            </w:r>
          </w:p>
        </w:tc>
        <w:tc>
          <w:tcPr>
            <w:tcW w:w="1916" w:type="dxa"/>
            <w:gridSpan w:val="2"/>
            <w:tcBorders>
              <w:top w:val="nil"/>
              <w:left w:val="nil"/>
              <w:bottom w:val="nil"/>
              <w:right w:val="nil"/>
            </w:tcBorders>
            <w:shd w:val="clear" w:color="auto" w:fill="auto"/>
            <w:noWrap/>
            <w:vAlign w:val="bottom"/>
          </w:tcPr>
          <w:p w14:paraId="164F9717" w14:textId="77777777" w:rsidR="004A117C" w:rsidRPr="008C211B" w:rsidRDefault="004A117C" w:rsidP="00470E9B">
            <w:pPr>
              <w:rPr>
                <w:b/>
                <w:bCs/>
                <w:color w:val="000000"/>
                <w:lang w:eastAsia="sk-SK"/>
              </w:rPr>
            </w:pPr>
          </w:p>
        </w:tc>
      </w:tr>
      <w:tr w:rsidR="004A117C" w:rsidRPr="008C211B" w14:paraId="2DBE08FC" w14:textId="77777777" w:rsidTr="00470E9B">
        <w:trPr>
          <w:gridAfter w:val="1"/>
          <w:wAfter w:w="1431" w:type="dxa"/>
          <w:trHeight w:val="255"/>
        </w:trPr>
        <w:tc>
          <w:tcPr>
            <w:tcW w:w="56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9942E1B" w14:textId="77777777" w:rsidR="004A117C" w:rsidRPr="008C211B" w:rsidRDefault="004A117C" w:rsidP="00470E9B">
            <w:pPr>
              <w:jc w:val="center"/>
              <w:rPr>
                <w:b/>
                <w:bCs/>
                <w:color w:val="000000"/>
                <w:sz w:val="20"/>
                <w:szCs w:val="20"/>
                <w:lang w:eastAsia="sk-SK"/>
              </w:rPr>
            </w:pPr>
            <w:r w:rsidRPr="008C211B">
              <w:rPr>
                <w:b/>
                <w:bCs/>
                <w:color w:val="000000"/>
                <w:sz w:val="20"/>
                <w:szCs w:val="20"/>
                <w:lang w:eastAsia="sk-SK"/>
              </w:rPr>
              <w:t>P.č.</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4B99B6C" w14:textId="77777777" w:rsidR="004A117C" w:rsidRPr="008C211B" w:rsidRDefault="004A117C" w:rsidP="00470E9B">
            <w:pPr>
              <w:jc w:val="center"/>
              <w:rPr>
                <w:b/>
                <w:bCs/>
                <w:color w:val="000000"/>
                <w:sz w:val="20"/>
                <w:szCs w:val="20"/>
                <w:lang w:eastAsia="sk-SK"/>
              </w:rPr>
            </w:pPr>
            <w:r w:rsidRPr="008C211B">
              <w:rPr>
                <w:b/>
                <w:bCs/>
                <w:color w:val="000000"/>
                <w:sz w:val="20"/>
                <w:szCs w:val="20"/>
                <w:lang w:eastAsia="sk-SK"/>
              </w:rPr>
              <w:t xml:space="preserve">Zrozumiteľný a stručný opis regulácie </w:t>
            </w:r>
            <w:r w:rsidRPr="008C211B">
              <w:rPr>
                <w:b/>
                <w:bCs/>
                <w:color w:val="000000"/>
                <w:sz w:val="20"/>
                <w:szCs w:val="20"/>
                <w:lang w:eastAsia="sk-SK"/>
              </w:rPr>
              <w:br/>
              <w:t>(dôvod zvýšenia/zníženia nákladov na PP)</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6F8C615D" w14:textId="77777777" w:rsidR="004A117C" w:rsidRPr="008C211B" w:rsidRDefault="004A117C" w:rsidP="00470E9B">
            <w:pPr>
              <w:jc w:val="center"/>
              <w:rPr>
                <w:b/>
                <w:bCs/>
                <w:color w:val="000000"/>
                <w:sz w:val="20"/>
                <w:szCs w:val="20"/>
                <w:lang w:eastAsia="sk-SK"/>
              </w:rPr>
            </w:pPr>
            <w:r w:rsidRPr="008C211B">
              <w:rPr>
                <w:b/>
                <w:bCs/>
                <w:color w:val="000000"/>
                <w:sz w:val="20"/>
                <w:szCs w:val="20"/>
                <w:lang w:eastAsia="sk-SK"/>
              </w:rPr>
              <w:t>Číslo normy</w:t>
            </w:r>
            <w:r w:rsidRPr="008C211B">
              <w:rPr>
                <w:b/>
                <w:bCs/>
                <w:color w:val="000000"/>
                <w:sz w:val="20"/>
                <w:szCs w:val="20"/>
                <w:lang w:eastAsia="sk-SK"/>
              </w:rPr>
              <w:br/>
            </w:r>
            <w:r w:rsidRPr="008C211B">
              <w:rPr>
                <w:color w:val="000000"/>
                <w:sz w:val="20"/>
                <w:szCs w:val="20"/>
                <w:lang w:eastAsia="sk-SK"/>
              </w:rPr>
              <w:t>(zákona, vyhlášky a pod.)</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77801289" w14:textId="77777777" w:rsidR="004A117C" w:rsidRPr="008C211B" w:rsidRDefault="004A117C" w:rsidP="00470E9B">
            <w:pPr>
              <w:jc w:val="center"/>
              <w:rPr>
                <w:b/>
                <w:bCs/>
                <w:color w:val="000000"/>
                <w:sz w:val="20"/>
                <w:szCs w:val="20"/>
                <w:lang w:eastAsia="sk-SK"/>
              </w:rPr>
            </w:pPr>
            <w:r w:rsidRPr="008C211B">
              <w:rPr>
                <w:b/>
                <w:bCs/>
                <w:color w:val="000000"/>
                <w:sz w:val="20"/>
                <w:szCs w:val="20"/>
                <w:lang w:eastAsia="sk-SK"/>
              </w:rPr>
              <w:t>Lokalizácia</w:t>
            </w:r>
            <w:r w:rsidRPr="008C211B">
              <w:rPr>
                <w:b/>
                <w:bCs/>
                <w:color w:val="000000"/>
                <w:sz w:val="20"/>
                <w:szCs w:val="20"/>
                <w:lang w:eastAsia="sk-SK"/>
              </w:rPr>
              <w:br/>
              <w:t>(§, ods.)</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7540563" w14:textId="77777777" w:rsidR="004A117C" w:rsidRPr="008C211B" w:rsidRDefault="004A117C" w:rsidP="00470E9B">
            <w:pPr>
              <w:jc w:val="center"/>
              <w:rPr>
                <w:b/>
                <w:bCs/>
                <w:color w:val="000000"/>
                <w:sz w:val="20"/>
                <w:szCs w:val="20"/>
                <w:lang w:eastAsia="sk-SK"/>
              </w:rPr>
            </w:pPr>
            <w:r w:rsidRPr="008C211B">
              <w:rPr>
                <w:b/>
                <w:bCs/>
                <w:color w:val="000000"/>
                <w:sz w:val="20"/>
                <w:szCs w:val="20"/>
                <w:lang w:eastAsia="sk-SK"/>
              </w:rPr>
              <w:t xml:space="preserve">Pôvod regulácie: </w:t>
            </w:r>
            <w:r w:rsidRPr="008C211B">
              <w:rPr>
                <w:b/>
                <w:bCs/>
                <w:color w:val="000000"/>
                <w:sz w:val="20"/>
                <w:szCs w:val="20"/>
                <w:lang w:eastAsia="sk-SK"/>
              </w:rPr>
              <w:br/>
            </w:r>
            <w:r w:rsidRPr="008C211B">
              <w:rPr>
                <w:color w:val="000000"/>
                <w:sz w:val="20"/>
                <w:szCs w:val="20"/>
                <w:lang w:eastAsia="sk-SK"/>
              </w:rPr>
              <w:t>SR/EÚ úplná harm./EÚ harm. s možnosťou voľby</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D5F64EE" w14:textId="77777777" w:rsidR="004A117C" w:rsidRPr="008C211B" w:rsidRDefault="004A117C" w:rsidP="00470E9B">
            <w:pPr>
              <w:jc w:val="center"/>
              <w:rPr>
                <w:b/>
                <w:bCs/>
                <w:color w:val="000000"/>
                <w:sz w:val="20"/>
                <w:szCs w:val="20"/>
                <w:lang w:eastAsia="sk-SK"/>
              </w:rPr>
            </w:pPr>
            <w:r w:rsidRPr="008C211B">
              <w:rPr>
                <w:b/>
                <w:bCs/>
                <w:color w:val="000000"/>
                <w:sz w:val="20"/>
                <w:szCs w:val="20"/>
                <w:lang w:eastAsia="sk-SK"/>
              </w:rPr>
              <w:t>Účinnosť regulácie</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FAFE09F" w14:textId="77777777" w:rsidR="004A117C" w:rsidRPr="008C211B" w:rsidRDefault="004A117C" w:rsidP="00470E9B">
            <w:pPr>
              <w:jc w:val="center"/>
              <w:rPr>
                <w:b/>
                <w:bCs/>
                <w:color w:val="000000"/>
                <w:sz w:val="20"/>
                <w:szCs w:val="20"/>
                <w:lang w:eastAsia="sk-SK"/>
              </w:rPr>
            </w:pPr>
            <w:r w:rsidRPr="008C211B">
              <w:rPr>
                <w:b/>
                <w:bCs/>
                <w:color w:val="000000"/>
                <w:sz w:val="20"/>
                <w:szCs w:val="20"/>
                <w:lang w:eastAsia="sk-SK"/>
              </w:rPr>
              <w:t>Kategória dotk. subjektov</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948E54A" w14:textId="77777777" w:rsidR="004A117C" w:rsidRPr="008C211B" w:rsidRDefault="004A117C" w:rsidP="00470E9B">
            <w:pPr>
              <w:jc w:val="center"/>
              <w:rPr>
                <w:b/>
                <w:bCs/>
                <w:color w:val="000000"/>
                <w:sz w:val="20"/>
                <w:szCs w:val="20"/>
                <w:lang w:eastAsia="sk-SK"/>
              </w:rPr>
            </w:pPr>
            <w:r w:rsidRPr="008C211B">
              <w:rPr>
                <w:b/>
                <w:bCs/>
                <w:color w:val="000000"/>
                <w:sz w:val="20"/>
                <w:szCs w:val="20"/>
                <w:lang w:eastAsia="sk-SK"/>
              </w:rPr>
              <w:t xml:space="preserve">Počet subjektov spolu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C912432" w14:textId="77777777" w:rsidR="004A117C" w:rsidRPr="008C211B" w:rsidRDefault="004A117C" w:rsidP="00470E9B">
            <w:pPr>
              <w:jc w:val="center"/>
              <w:rPr>
                <w:b/>
                <w:bCs/>
                <w:color w:val="000000"/>
                <w:sz w:val="20"/>
                <w:szCs w:val="20"/>
                <w:lang w:eastAsia="sk-SK"/>
              </w:rPr>
            </w:pPr>
            <w:r w:rsidRPr="008C211B">
              <w:rPr>
                <w:b/>
                <w:bCs/>
                <w:color w:val="000000"/>
                <w:sz w:val="20"/>
                <w:szCs w:val="20"/>
                <w:lang w:eastAsia="sk-SK"/>
              </w:rPr>
              <w:t>Počet subjektov MSP</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726639C" w14:textId="77777777" w:rsidR="004A117C" w:rsidRPr="008C211B" w:rsidRDefault="004A117C" w:rsidP="00470E9B">
            <w:pPr>
              <w:jc w:val="center"/>
              <w:rPr>
                <w:b/>
                <w:bCs/>
                <w:color w:val="000000"/>
                <w:sz w:val="20"/>
                <w:szCs w:val="20"/>
                <w:lang w:eastAsia="sk-SK"/>
              </w:rPr>
            </w:pPr>
            <w:r w:rsidRPr="008C211B">
              <w:rPr>
                <w:b/>
                <w:bCs/>
                <w:color w:val="000000"/>
                <w:sz w:val="20"/>
                <w:szCs w:val="20"/>
                <w:lang w:eastAsia="sk-SK"/>
              </w:rPr>
              <w:t>Vplyv na 1 podnik. v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6C84284" w14:textId="77777777" w:rsidR="004A117C" w:rsidRPr="008C211B" w:rsidRDefault="004A117C" w:rsidP="00470E9B">
            <w:pPr>
              <w:jc w:val="center"/>
              <w:rPr>
                <w:b/>
                <w:bCs/>
                <w:color w:val="000000"/>
                <w:sz w:val="20"/>
                <w:szCs w:val="20"/>
                <w:lang w:eastAsia="sk-SK"/>
              </w:rPr>
            </w:pPr>
            <w:r w:rsidRPr="008C211B">
              <w:rPr>
                <w:b/>
                <w:bCs/>
                <w:color w:val="000000"/>
                <w:sz w:val="20"/>
                <w:szCs w:val="20"/>
                <w:lang w:eastAsia="sk-SK"/>
              </w:rPr>
              <w:t>Vplyv na kategóriu dotk. subjektov v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BACC2E7" w14:textId="77777777" w:rsidR="004A117C" w:rsidRPr="008C211B" w:rsidRDefault="004A117C" w:rsidP="00470E9B">
            <w:pPr>
              <w:jc w:val="center"/>
              <w:rPr>
                <w:b/>
                <w:bCs/>
                <w:color w:val="000000"/>
                <w:sz w:val="20"/>
                <w:szCs w:val="20"/>
                <w:lang w:eastAsia="sk-SK"/>
              </w:rPr>
            </w:pPr>
            <w:r w:rsidRPr="008C211B">
              <w:rPr>
                <w:b/>
                <w:bCs/>
                <w:color w:val="000000"/>
                <w:sz w:val="20"/>
                <w:szCs w:val="20"/>
                <w:lang w:eastAsia="sk-SK"/>
              </w:rPr>
              <w:t>Druh vplyvu</w:t>
            </w:r>
            <w:r w:rsidRPr="008C211B">
              <w:rPr>
                <w:b/>
                <w:bCs/>
                <w:color w:val="000000"/>
                <w:sz w:val="20"/>
                <w:szCs w:val="20"/>
                <w:lang w:eastAsia="sk-SK"/>
              </w:rPr>
              <w:br/>
            </w:r>
            <w:r w:rsidRPr="008C211B">
              <w:rPr>
                <w:color w:val="000000"/>
                <w:sz w:val="20"/>
                <w:szCs w:val="20"/>
                <w:lang w:eastAsia="sk-SK"/>
              </w:rPr>
              <w:t xml:space="preserve">In (zvyšuje náklady) / </w:t>
            </w:r>
            <w:r w:rsidRPr="008C211B">
              <w:rPr>
                <w:color w:val="000000"/>
                <w:sz w:val="20"/>
                <w:szCs w:val="20"/>
                <w:lang w:eastAsia="sk-SK"/>
              </w:rPr>
              <w:br/>
              <w:t>Out (znižuje náklady)</w:t>
            </w:r>
          </w:p>
        </w:tc>
      </w:tr>
      <w:tr w:rsidR="004A117C" w:rsidRPr="008C211B" w14:paraId="018E1B16" w14:textId="77777777" w:rsidTr="00470E9B">
        <w:trPr>
          <w:gridAfter w:val="1"/>
          <w:wAfter w:w="1431" w:type="dxa"/>
          <w:trHeight w:val="45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E6B8921" w14:textId="77777777" w:rsidR="004A117C" w:rsidRPr="008C211B" w:rsidRDefault="004A117C" w:rsidP="00470E9B">
            <w:pPr>
              <w:rPr>
                <w:b/>
                <w:bCs/>
                <w:color w:val="000000"/>
                <w:sz w:val="20"/>
                <w:szCs w:val="20"/>
                <w:lang w:eastAsia="sk-SK"/>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E78B22C" w14:textId="77777777" w:rsidR="004A117C" w:rsidRPr="008C211B" w:rsidRDefault="004A117C" w:rsidP="00470E9B">
            <w:pPr>
              <w:rPr>
                <w:b/>
                <w:bCs/>
                <w:color w:val="000000"/>
                <w:sz w:val="20"/>
                <w:szCs w:val="20"/>
                <w:lang w:eastAsia="sk-SK"/>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7580D23" w14:textId="77777777" w:rsidR="004A117C" w:rsidRPr="008C211B" w:rsidRDefault="004A117C" w:rsidP="00470E9B">
            <w:pPr>
              <w:rPr>
                <w:b/>
                <w:bCs/>
                <w:color w:val="000000"/>
                <w:sz w:val="20"/>
                <w:szCs w:val="20"/>
                <w:lang w:eastAsia="sk-S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7FCD8AC" w14:textId="77777777" w:rsidR="004A117C" w:rsidRPr="008C211B" w:rsidRDefault="004A117C" w:rsidP="00470E9B">
            <w:pPr>
              <w:rPr>
                <w:b/>
                <w:bCs/>
                <w:color w:val="000000"/>
                <w:sz w:val="20"/>
                <w:szCs w:val="20"/>
                <w:lang w:eastAsia="sk-SK"/>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A1119F8" w14:textId="77777777" w:rsidR="004A117C" w:rsidRPr="008C211B" w:rsidRDefault="004A117C" w:rsidP="00470E9B">
            <w:pPr>
              <w:rPr>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1E36FA" w14:textId="77777777" w:rsidR="004A117C" w:rsidRPr="008C211B" w:rsidRDefault="004A117C" w:rsidP="00470E9B">
            <w:pPr>
              <w:rPr>
                <w:b/>
                <w:bCs/>
                <w:color w:val="000000"/>
                <w:sz w:val="20"/>
                <w:szCs w:val="20"/>
                <w:lang w:eastAsia="sk-S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B3006A4" w14:textId="77777777" w:rsidR="004A117C" w:rsidRPr="008C211B" w:rsidRDefault="004A117C" w:rsidP="00470E9B">
            <w:pPr>
              <w:rPr>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C7B71C2" w14:textId="77777777" w:rsidR="004A117C" w:rsidRPr="008C211B" w:rsidRDefault="004A117C" w:rsidP="00470E9B">
            <w:pPr>
              <w:rPr>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C7F173" w14:textId="77777777" w:rsidR="004A117C" w:rsidRPr="008C211B" w:rsidRDefault="004A117C" w:rsidP="00470E9B">
            <w:pPr>
              <w:rPr>
                <w:b/>
                <w:bCs/>
                <w:color w:val="000000"/>
                <w:sz w:val="20"/>
                <w:szCs w:val="20"/>
                <w:lang w:eastAsia="sk-SK"/>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F8697AE" w14:textId="77777777" w:rsidR="004A117C" w:rsidRPr="008C211B" w:rsidRDefault="004A117C" w:rsidP="00470E9B">
            <w:pPr>
              <w:rPr>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75ABF3" w14:textId="77777777" w:rsidR="004A117C" w:rsidRPr="008C211B" w:rsidRDefault="004A117C" w:rsidP="00470E9B">
            <w:pPr>
              <w:rPr>
                <w:b/>
                <w:bCs/>
                <w:color w:val="000000"/>
                <w:sz w:val="20"/>
                <w:szCs w:val="20"/>
                <w:lang w:eastAsia="sk-SK"/>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12527CE5" w14:textId="77777777" w:rsidR="004A117C" w:rsidRPr="008C211B" w:rsidRDefault="004A117C" w:rsidP="00470E9B">
            <w:pPr>
              <w:rPr>
                <w:b/>
                <w:bCs/>
                <w:color w:val="000000"/>
                <w:sz w:val="20"/>
                <w:szCs w:val="20"/>
                <w:lang w:eastAsia="sk-SK"/>
              </w:rPr>
            </w:pPr>
          </w:p>
        </w:tc>
      </w:tr>
      <w:tr w:rsidR="004A117C" w:rsidRPr="008C211B" w14:paraId="4EEC79D2" w14:textId="77777777" w:rsidTr="00470E9B">
        <w:trPr>
          <w:gridAfter w:val="1"/>
          <w:wAfter w:w="1431" w:type="dxa"/>
          <w:trHeight w:val="45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3B1CFD1" w14:textId="77777777" w:rsidR="004A117C" w:rsidRPr="008C211B" w:rsidRDefault="004A117C" w:rsidP="00470E9B">
            <w:pPr>
              <w:rPr>
                <w:b/>
                <w:bCs/>
                <w:color w:val="000000"/>
                <w:sz w:val="20"/>
                <w:szCs w:val="20"/>
                <w:lang w:eastAsia="sk-SK"/>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77E60F1" w14:textId="77777777" w:rsidR="004A117C" w:rsidRPr="008C211B" w:rsidRDefault="004A117C" w:rsidP="00470E9B">
            <w:pPr>
              <w:rPr>
                <w:b/>
                <w:bCs/>
                <w:color w:val="000000"/>
                <w:sz w:val="20"/>
                <w:szCs w:val="20"/>
                <w:lang w:eastAsia="sk-SK"/>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659BE96" w14:textId="77777777" w:rsidR="004A117C" w:rsidRPr="008C211B" w:rsidRDefault="004A117C" w:rsidP="00470E9B">
            <w:pPr>
              <w:rPr>
                <w:b/>
                <w:bCs/>
                <w:color w:val="000000"/>
                <w:sz w:val="20"/>
                <w:szCs w:val="20"/>
                <w:lang w:eastAsia="sk-S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BF173CF" w14:textId="77777777" w:rsidR="004A117C" w:rsidRPr="008C211B" w:rsidRDefault="004A117C" w:rsidP="00470E9B">
            <w:pPr>
              <w:rPr>
                <w:b/>
                <w:bCs/>
                <w:color w:val="000000"/>
                <w:sz w:val="20"/>
                <w:szCs w:val="20"/>
                <w:lang w:eastAsia="sk-SK"/>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8F49495" w14:textId="77777777" w:rsidR="004A117C" w:rsidRPr="008C211B" w:rsidRDefault="004A117C" w:rsidP="00470E9B">
            <w:pPr>
              <w:rPr>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F4DD6F" w14:textId="77777777" w:rsidR="004A117C" w:rsidRPr="008C211B" w:rsidRDefault="004A117C" w:rsidP="00470E9B">
            <w:pPr>
              <w:rPr>
                <w:b/>
                <w:bCs/>
                <w:color w:val="000000"/>
                <w:sz w:val="20"/>
                <w:szCs w:val="20"/>
                <w:lang w:eastAsia="sk-S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1DFEC33" w14:textId="77777777" w:rsidR="004A117C" w:rsidRPr="008C211B" w:rsidRDefault="004A117C" w:rsidP="00470E9B">
            <w:pPr>
              <w:rPr>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754A8D" w14:textId="77777777" w:rsidR="004A117C" w:rsidRPr="008C211B" w:rsidRDefault="004A117C" w:rsidP="00470E9B">
            <w:pPr>
              <w:rPr>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B9DDE3" w14:textId="77777777" w:rsidR="004A117C" w:rsidRPr="008C211B" w:rsidRDefault="004A117C" w:rsidP="00470E9B">
            <w:pPr>
              <w:rPr>
                <w:b/>
                <w:bCs/>
                <w:color w:val="000000"/>
                <w:sz w:val="20"/>
                <w:szCs w:val="20"/>
                <w:lang w:eastAsia="sk-SK"/>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1821F10" w14:textId="77777777" w:rsidR="004A117C" w:rsidRPr="008C211B" w:rsidRDefault="004A117C" w:rsidP="00470E9B">
            <w:pPr>
              <w:rPr>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EE7B3D" w14:textId="77777777" w:rsidR="004A117C" w:rsidRPr="008C211B" w:rsidRDefault="004A117C" w:rsidP="00470E9B">
            <w:pPr>
              <w:rPr>
                <w:b/>
                <w:bCs/>
                <w:color w:val="000000"/>
                <w:sz w:val="20"/>
                <w:szCs w:val="20"/>
                <w:lang w:eastAsia="sk-SK"/>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32FA7F25" w14:textId="77777777" w:rsidR="004A117C" w:rsidRPr="008C211B" w:rsidRDefault="004A117C" w:rsidP="00470E9B">
            <w:pPr>
              <w:rPr>
                <w:b/>
                <w:bCs/>
                <w:color w:val="000000"/>
                <w:sz w:val="20"/>
                <w:szCs w:val="20"/>
                <w:lang w:eastAsia="sk-SK"/>
              </w:rPr>
            </w:pPr>
          </w:p>
        </w:tc>
      </w:tr>
      <w:tr w:rsidR="004A117C" w:rsidRPr="008C211B" w14:paraId="09D49421" w14:textId="77777777" w:rsidTr="00470E9B">
        <w:trPr>
          <w:gridAfter w:val="1"/>
          <w:wAfter w:w="1431" w:type="dxa"/>
          <w:trHeight w:val="45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10A3CC9" w14:textId="77777777" w:rsidR="004A117C" w:rsidRPr="008C211B" w:rsidRDefault="004A117C" w:rsidP="00470E9B">
            <w:pPr>
              <w:rPr>
                <w:b/>
                <w:bCs/>
                <w:color w:val="000000"/>
                <w:sz w:val="20"/>
                <w:szCs w:val="20"/>
                <w:lang w:eastAsia="sk-SK"/>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0CAE081" w14:textId="77777777" w:rsidR="004A117C" w:rsidRPr="008C211B" w:rsidRDefault="004A117C" w:rsidP="00470E9B">
            <w:pPr>
              <w:rPr>
                <w:b/>
                <w:bCs/>
                <w:color w:val="000000"/>
                <w:sz w:val="20"/>
                <w:szCs w:val="20"/>
                <w:lang w:eastAsia="sk-SK"/>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213ADDF" w14:textId="77777777" w:rsidR="004A117C" w:rsidRPr="008C211B" w:rsidRDefault="004A117C" w:rsidP="00470E9B">
            <w:pPr>
              <w:rPr>
                <w:b/>
                <w:bCs/>
                <w:color w:val="000000"/>
                <w:sz w:val="20"/>
                <w:szCs w:val="20"/>
                <w:lang w:eastAsia="sk-S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8022B44" w14:textId="77777777" w:rsidR="004A117C" w:rsidRPr="008C211B" w:rsidRDefault="004A117C" w:rsidP="00470E9B">
            <w:pPr>
              <w:rPr>
                <w:b/>
                <w:bCs/>
                <w:color w:val="000000"/>
                <w:sz w:val="20"/>
                <w:szCs w:val="20"/>
                <w:lang w:eastAsia="sk-SK"/>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6428EB7" w14:textId="77777777" w:rsidR="004A117C" w:rsidRPr="008C211B" w:rsidRDefault="004A117C" w:rsidP="00470E9B">
            <w:pPr>
              <w:rPr>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69F977" w14:textId="77777777" w:rsidR="004A117C" w:rsidRPr="008C211B" w:rsidRDefault="004A117C" w:rsidP="00470E9B">
            <w:pPr>
              <w:rPr>
                <w:b/>
                <w:bCs/>
                <w:color w:val="000000"/>
                <w:sz w:val="20"/>
                <w:szCs w:val="20"/>
                <w:lang w:eastAsia="sk-S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6943527" w14:textId="77777777" w:rsidR="004A117C" w:rsidRPr="008C211B" w:rsidRDefault="004A117C" w:rsidP="00470E9B">
            <w:pPr>
              <w:rPr>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C7FACC" w14:textId="77777777" w:rsidR="004A117C" w:rsidRPr="008C211B" w:rsidRDefault="004A117C" w:rsidP="00470E9B">
            <w:pPr>
              <w:rPr>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ED57F3" w14:textId="77777777" w:rsidR="004A117C" w:rsidRPr="008C211B" w:rsidRDefault="004A117C" w:rsidP="00470E9B">
            <w:pPr>
              <w:rPr>
                <w:b/>
                <w:bCs/>
                <w:color w:val="000000"/>
                <w:sz w:val="20"/>
                <w:szCs w:val="20"/>
                <w:lang w:eastAsia="sk-SK"/>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453D814" w14:textId="77777777" w:rsidR="004A117C" w:rsidRPr="008C211B" w:rsidRDefault="004A117C" w:rsidP="00470E9B">
            <w:pPr>
              <w:rPr>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F951FBB" w14:textId="77777777" w:rsidR="004A117C" w:rsidRPr="008C211B" w:rsidRDefault="004A117C" w:rsidP="00470E9B">
            <w:pPr>
              <w:rPr>
                <w:b/>
                <w:bCs/>
                <w:color w:val="000000"/>
                <w:sz w:val="20"/>
                <w:szCs w:val="20"/>
                <w:lang w:eastAsia="sk-SK"/>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36EEFFB5" w14:textId="77777777" w:rsidR="004A117C" w:rsidRPr="008C211B" w:rsidRDefault="004A117C" w:rsidP="00470E9B">
            <w:pPr>
              <w:rPr>
                <w:b/>
                <w:bCs/>
                <w:color w:val="000000"/>
                <w:sz w:val="20"/>
                <w:szCs w:val="20"/>
                <w:lang w:eastAsia="sk-SK"/>
              </w:rPr>
            </w:pPr>
          </w:p>
        </w:tc>
      </w:tr>
      <w:tr w:rsidR="004A117C" w:rsidRPr="008C211B" w14:paraId="2EA357FD" w14:textId="77777777" w:rsidTr="00470E9B">
        <w:trPr>
          <w:gridAfter w:val="1"/>
          <w:wAfter w:w="1431" w:type="dxa"/>
          <w:trHeight w:val="45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B437381" w14:textId="77777777" w:rsidR="004A117C" w:rsidRPr="008C211B" w:rsidRDefault="004A117C" w:rsidP="00470E9B">
            <w:pPr>
              <w:rPr>
                <w:b/>
                <w:bCs/>
                <w:color w:val="000000"/>
                <w:sz w:val="20"/>
                <w:szCs w:val="20"/>
                <w:lang w:eastAsia="sk-SK"/>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5B2FA93" w14:textId="77777777" w:rsidR="004A117C" w:rsidRPr="008C211B" w:rsidRDefault="004A117C" w:rsidP="00470E9B">
            <w:pPr>
              <w:rPr>
                <w:b/>
                <w:bCs/>
                <w:color w:val="000000"/>
                <w:sz w:val="20"/>
                <w:szCs w:val="20"/>
                <w:lang w:eastAsia="sk-SK"/>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E43A3A8" w14:textId="77777777" w:rsidR="004A117C" w:rsidRPr="008C211B" w:rsidRDefault="004A117C" w:rsidP="00470E9B">
            <w:pPr>
              <w:rPr>
                <w:b/>
                <w:bCs/>
                <w:color w:val="000000"/>
                <w:sz w:val="20"/>
                <w:szCs w:val="20"/>
                <w:lang w:eastAsia="sk-S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3EA3E18" w14:textId="77777777" w:rsidR="004A117C" w:rsidRPr="008C211B" w:rsidRDefault="004A117C" w:rsidP="00470E9B">
            <w:pPr>
              <w:rPr>
                <w:b/>
                <w:bCs/>
                <w:color w:val="000000"/>
                <w:sz w:val="20"/>
                <w:szCs w:val="20"/>
                <w:lang w:eastAsia="sk-SK"/>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C5D054C" w14:textId="77777777" w:rsidR="004A117C" w:rsidRPr="008C211B" w:rsidRDefault="004A117C" w:rsidP="00470E9B">
            <w:pPr>
              <w:rPr>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A101A4" w14:textId="77777777" w:rsidR="004A117C" w:rsidRPr="008C211B" w:rsidRDefault="004A117C" w:rsidP="00470E9B">
            <w:pPr>
              <w:rPr>
                <w:b/>
                <w:bCs/>
                <w:color w:val="000000"/>
                <w:sz w:val="20"/>
                <w:szCs w:val="20"/>
                <w:lang w:eastAsia="sk-S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6C89990" w14:textId="77777777" w:rsidR="004A117C" w:rsidRPr="008C211B" w:rsidRDefault="004A117C" w:rsidP="00470E9B">
            <w:pPr>
              <w:rPr>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8B810DE" w14:textId="77777777" w:rsidR="004A117C" w:rsidRPr="008C211B" w:rsidRDefault="004A117C" w:rsidP="00470E9B">
            <w:pPr>
              <w:rPr>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6BC92C" w14:textId="77777777" w:rsidR="004A117C" w:rsidRPr="008C211B" w:rsidRDefault="004A117C" w:rsidP="00470E9B">
            <w:pPr>
              <w:rPr>
                <w:b/>
                <w:bCs/>
                <w:color w:val="000000"/>
                <w:sz w:val="20"/>
                <w:szCs w:val="20"/>
                <w:lang w:eastAsia="sk-SK"/>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A11837D" w14:textId="77777777" w:rsidR="004A117C" w:rsidRPr="008C211B" w:rsidRDefault="004A117C" w:rsidP="00470E9B">
            <w:pPr>
              <w:rPr>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EE1877" w14:textId="77777777" w:rsidR="004A117C" w:rsidRPr="008C211B" w:rsidRDefault="004A117C" w:rsidP="00470E9B">
            <w:pPr>
              <w:rPr>
                <w:b/>
                <w:bCs/>
                <w:color w:val="000000"/>
                <w:sz w:val="20"/>
                <w:szCs w:val="20"/>
                <w:lang w:eastAsia="sk-SK"/>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352D8711" w14:textId="77777777" w:rsidR="004A117C" w:rsidRPr="008C211B" w:rsidRDefault="004A117C" w:rsidP="00470E9B">
            <w:pPr>
              <w:rPr>
                <w:b/>
                <w:bCs/>
                <w:color w:val="000000"/>
                <w:sz w:val="20"/>
                <w:szCs w:val="20"/>
                <w:lang w:eastAsia="sk-SK"/>
              </w:rPr>
            </w:pPr>
          </w:p>
        </w:tc>
      </w:tr>
      <w:tr w:rsidR="004A117C" w:rsidRPr="008C211B" w14:paraId="0790DBD9" w14:textId="77777777" w:rsidTr="00470E9B">
        <w:trPr>
          <w:gridAfter w:val="1"/>
          <w:wAfter w:w="1431" w:type="dxa"/>
          <w:trHeight w:val="45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B736352" w14:textId="77777777" w:rsidR="004A117C" w:rsidRPr="008C211B" w:rsidRDefault="004A117C" w:rsidP="00470E9B">
            <w:pPr>
              <w:rPr>
                <w:b/>
                <w:bCs/>
                <w:color w:val="000000"/>
                <w:sz w:val="20"/>
                <w:szCs w:val="20"/>
                <w:lang w:eastAsia="sk-SK"/>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4B61589" w14:textId="77777777" w:rsidR="004A117C" w:rsidRPr="008C211B" w:rsidRDefault="004A117C" w:rsidP="00470E9B">
            <w:pPr>
              <w:rPr>
                <w:b/>
                <w:bCs/>
                <w:color w:val="000000"/>
                <w:sz w:val="20"/>
                <w:szCs w:val="20"/>
                <w:lang w:eastAsia="sk-SK"/>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864ECF3" w14:textId="77777777" w:rsidR="004A117C" w:rsidRPr="008C211B" w:rsidRDefault="004A117C" w:rsidP="00470E9B">
            <w:pPr>
              <w:rPr>
                <w:b/>
                <w:bCs/>
                <w:color w:val="000000"/>
                <w:sz w:val="20"/>
                <w:szCs w:val="20"/>
                <w:lang w:eastAsia="sk-S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2E331B8" w14:textId="77777777" w:rsidR="004A117C" w:rsidRPr="008C211B" w:rsidRDefault="004A117C" w:rsidP="00470E9B">
            <w:pPr>
              <w:rPr>
                <w:b/>
                <w:bCs/>
                <w:color w:val="000000"/>
                <w:sz w:val="20"/>
                <w:szCs w:val="20"/>
                <w:lang w:eastAsia="sk-SK"/>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0F73B07" w14:textId="77777777" w:rsidR="004A117C" w:rsidRPr="008C211B" w:rsidRDefault="004A117C" w:rsidP="00470E9B">
            <w:pPr>
              <w:rPr>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A07DEB" w14:textId="77777777" w:rsidR="004A117C" w:rsidRPr="008C211B" w:rsidRDefault="004A117C" w:rsidP="00470E9B">
            <w:pPr>
              <w:rPr>
                <w:b/>
                <w:bCs/>
                <w:color w:val="000000"/>
                <w:sz w:val="20"/>
                <w:szCs w:val="20"/>
                <w:lang w:eastAsia="sk-S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30B7C4F" w14:textId="77777777" w:rsidR="004A117C" w:rsidRPr="008C211B" w:rsidRDefault="004A117C" w:rsidP="00470E9B">
            <w:pPr>
              <w:rPr>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ACB7AB" w14:textId="77777777" w:rsidR="004A117C" w:rsidRPr="008C211B" w:rsidRDefault="004A117C" w:rsidP="00470E9B">
            <w:pPr>
              <w:rPr>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0EF436" w14:textId="77777777" w:rsidR="004A117C" w:rsidRPr="008C211B" w:rsidRDefault="004A117C" w:rsidP="00470E9B">
            <w:pPr>
              <w:rPr>
                <w:b/>
                <w:bCs/>
                <w:color w:val="000000"/>
                <w:sz w:val="20"/>
                <w:szCs w:val="20"/>
                <w:lang w:eastAsia="sk-SK"/>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BBB9455" w14:textId="77777777" w:rsidR="004A117C" w:rsidRPr="008C211B" w:rsidRDefault="004A117C" w:rsidP="00470E9B">
            <w:pPr>
              <w:rPr>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365D1E" w14:textId="77777777" w:rsidR="004A117C" w:rsidRPr="008C211B" w:rsidRDefault="004A117C" w:rsidP="00470E9B">
            <w:pPr>
              <w:rPr>
                <w:b/>
                <w:bCs/>
                <w:color w:val="000000"/>
                <w:sz w:val="20"/>
                <w:szCs w:val="20"/>
                <w:lang w:eastAsia="sk-SK"/>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0E9F1261" w14:textId="77777777" w:rsidR="004A117C" w:rsidRPr="008C211B" w:rsidRDefault="004A117C" w:rsidP="00470E9B">
            <w:pPr>
              <w:rPr>
                <w:b/>
                <w:bCs/>
                <w:color w:val="000000"/>
                <w:sz w:val="20"/>
                <w:szCs w:val="20"/>
                <w:lang w:eastAsia="sk-SK"/>
              </w:rPr>
            </w:pPr>
          </w:p>
        </w:tc>
      </w:tr>
      <w:tr w:rsidR="004A117C" w:rsidRPr="008C211B" w14:paraId="61D6D27C" w14:textId="77777777" w:rsidTr="00470E9B">
        <w:trPr>
          <w:gridAfter w:val="1"/>
          <w:wAfter w:w="1431" w:type="dxa"/>
          <w:trHeight w:val="2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4EC7AE" w14:textId="77777777" w:rsidR="004A117C" w:rsidRPr="008C211B" w:rsidRDefault="004A117C" w:rsidP="00470E9B">
            <w:pPr>
              <w:jc w:val="center"/>
              <w:rPr>
                <w:color w:val="000000"/>
                <w:sz w:val="20"/>
                <w:szCs w:val="20"/>
                <w:lang w:eastAsia="sk-SK"/>
              </w:rPr>
            </w:pPr>
            <w:r w:rsidRPr="008C211B">
              <w:rPr>
                <w:color w:val="000000"/>
                <w:sz w:val="20"/>
                <w:szCs w:val="20"/>
                <w:lang w:eastAsia="sk-SK"/>
              </w:rPr>
              <w:t>1</w:t>
            </w:r>
          </w:p>
        </w:tc>
        <w:tc>
          <w:tcPr>
            <w:tcW w:w="1843" w:type="dxa"/>
            <w:tcBorders>
              <w:top w:val="nil"/>
              <w:left w:val="nil"/>
              <w:bottom w:val="single" w:sz="4" w:space="0" w:color="auto"/>
              <w:right w:val="single" w:sz="4" w:space="0" w:color="auto"/>
            </w:tcBorders>
            <w:shd w:val="clear" w:color="auto" w:fill="auto"/>
            <w:vAlign w:val="center"/>
            <w:hideMark/>
          </w:tcPr>
          <w:p w14:paraId="784F52B9" w14:textId="77777777" w:rsidR="004A117C" w:rsidRPr="008C211B" w:rsidRDefault="004A117C" w:rsidP="00470E9B">
            <w:pPr>
              <w:jc w:val="center"/>
              <w:rPr>
                <w:color w:val="000000"/>
                <w:sz w:val="20"/>
                <w:szCs w:val="20"/>
                <w:lang w:eastAsia="sk-SK"/>
              </w:rPr>
            </w:pPr>
            <w:r w:rsidRPr="008C211B">
              <w:rPr>
                <w:color w:val="000000"/>
                <w:sz w:val="20"/>
                <w:szCs w:val="20"/>
                <w:lang w:eastAsia="sk-SK"/>
              </w:rPr>
              <w:t>Zníženie nákladov na získavanie kapitálu umožnením nadobúdať majetkové podiely v tuzemských subjektoch kolektívneho kvalifikovaným a neprofesionálnym investorom</w:t>
            </w:r>
          </w:p>
        </w:tc>
        <w:tc>
          <w:tcPr>
            <w:tcW w:w="1276" w:type="dxa"/>
            <w:tcBorders>
              <w:top w:val="nil"/>
              <w:left w:val="nil"/>
              <w:bottom w:val="single" w:sz="4" w:space="0" w:color="auto"/>
              <w:right w:val="single" w:sz="4" w:space="0" w:color="auto"/>
            </w:tcBorders>
            <w:shd w:val="clear" w:color="auto" w:fill="auto"/>
            <w:vAlign w:val="center"/>
            <w:hideMark/>
          </w:tcPr>
          <w:p w14:paraId="16256E5B" w14:textId="77777777" w:rsidR="004A117C" w:rsidRPr="008C211B" w:rsidRDefault="004A117C" w:rsidP="00470E9B">
            <w:pPr>
              <w:jc w:val="center"/>
              <w:rPr>
                <w:color w:val="000000"/>
                <w:sz w:val="20"/>
                <w:szCs w:val="20"/>
                <w:lang w:eastAsia="sk-SK"/>
              </w:rPr>
            </w:pPr>
            <w:r w:rsidRPr="008C211B">
              <w:rPr>
                <w:color w:val="000000"/>
                <w:sz w:val="20"/>
                <w:szCs w:val="20"/>
                <w:lang w:eastAsia="sk-SK"/>
              </w:rPr>
              <w:t>203/2011 Z.z.</w:t>
            </w:r>
          </w:p>
        </w:tc>
        <w:tc>
          <w:tcPr>
            <w:tcW w:w="1134" w:type="dxa"/>
            <w:tcBorders>
              <w:top w:val="nil"/>
              <w:left w:val="nil"/>
              <w:bottom w:val="single" w:sz="4" w:space="0" w:color="auto"/>
              <w:right w:val="single" w:sz="4" w:space="0" w:color="auto"/>
            </w:tcBorders>
            <w:shd w:val="clear" w:color="auto" w:fill="auto"/>
            <w:vAlign w:val="center"/>
            <w:hideMark/>
          </w:tcPr>
          <w:p w14:paraId="3507694F" w14:textId="77777777" w:rsidR="004A117C" w:rsidRPr="008C211B" w:rsidRDefault="004A117C" w:rsidP="00470E9B">
            <w:pPr>
              <w:jc w:val="center"/>
              <w:rPr>
                <w:color w:val="000000"/>
                <w:sz w:val="20"/>
                <w:szCs w:val="20"/>
                <w:lang w:eastAsia="sk-SK"/>
              </w:rPr>
            </w:pPr>
            <w:r w:rsidRPr="008C211B">
              <w:rPr>
                <w:color w:val="000000"/>
                <w:sz w:val="20"/>
                <w:szCs w:val="20"/>
                <w:lang w:eastAsia="sk-SK"/>
              </w:rPr>
              <w:t>§ 31d ods. 1 a 2</w:t>
            </w:r>
          </w:p>
        </w:tc>
        <w:tc>
          <w:tcPr>
            <w:tcW w:w="1701" w:type="dxa"/>
            <w:tcBorders>
              <w:top w:val="nil"/>
              <w:left w:val="nil"/>
              <w:bottom w:val="single" w:sz="4" w:space="0" w:color="auto"/>
              <w:right w:val="single" w:sz="4" w:space="0" w:color="auto"/>
            </w:tcBorders>
            <w:shd w:val="clear" w:color="auto" w:fill="auto"/>
            <w:vAlign w:val="center"/>
            <w:hideMark/>
          </w:tcPr>
          <w:p w14:paraId="785FC3C7" w14:textId="77777777" w:rsidR="004A117C" w:rsidRPr="008C211B" w:rsidRDefault="004A117C" w:rsidP="00470E9B">
            <w:pPr>
              <w:jc w:val="center"/>
              <w:rPr>
                <w:color w:val="000000"/>
                <w:sz w:val="20"/>
                <w:szCs w:val="20"/>
                <w:lang w:eastAsia="sk-SK"/>
              </w:rPr>
            </w:pPr>
            <w:r w:rsidRPr="008C211B">
              <w:rPr>
                <w:color w:val="000000"/>
                <w:sz w:val="20"/>
                <w:szCs w:val="20"/>
                <w:lang w:eastAsia="sk-SK"/>
              </w:rPr>
              <w:t>EÚ harmonizácia s možnosťou voľby</w:t>
            </w:r>
          </w:p>
        </w:tc>
        <w:tc>
          <w:tcPr>
            <w:tcW w:w="1134" w:type="dxa"/>
            <w:tcBorders>
              <w:top w:val="nil"/>
              <w:left w:val="nil"/>
              <w:bottom w:val="single" w:sz="4" w:space="0" w:color="auto"/>
              <w:right w:val="single" w:sz="4" w:space="0" w:color="auto"/>
            </w:tcBorders>
            <w:shd w:val="clear" w:color="auto" w:fill="auto"/>
            <w:vAlign w:val="center"/>
            <w:hideMark/>
          </w:tcPr>
          <w:p w14:paraId="0CE69F75" w14:textId="77777777" w:rsidR="004A117C" w:rsidRPr="008C211B" w:rsidRDefault="004A117C" w:rsidP="00470E9B">
            <w:pPr>
              <w:jc w:val="center"/>
              <w:rPr>
                <w:color w:val="000000"/>
                <w:sz w:val="20"/>
                <w:szCs w:val="20"/>
                <w:lang w:eastAsia="sk-SK"/>
              </w:rPr>
            </w:pPr>
            <w:r w:rsidRPr="008C211B">
              <w:rPr>
                <w:color w:val="000000"/>
                <w:sz w:val="20"/>
                <w:szCs w:val="20"/>
                <w:lang w:eastAsia="sk-SK"/>
              </w:rPr>
              <w:t>01.01.23</w:t>
            </w:r>
          </w:p>
        </w:tc>
        <w:tc>
          <w:tcPr>
            <w:tcW w:w="1418" w:type="dxa"/>
            <w:tcBorders>
              <w:top w:val="nil"/>
              <w:left w:val="nil"/>
              <w:bottom w:val="single" w:sz="4" w:space="0" w:color="auto"/>
              <w:right w:val="single" w:sz="4" w:space="0" w:color="auto"/>
            </w:tcBorders>
            <w:shd w:val="clear" w:color="auto" w:fill="auto"/>
            <w:vAlign w:val="center"/>
            <w:hideMark/>
          </w:tcPr>
          <w:p w14:paraId="06801038" w14:textId="77777777" w:rsidR="004A117C" w:rsidRPr="008C211B" w:rsidRDefault="004A117C" w:rsidP="00470E9B">
            <w:pPr>
              <w:jc w:val="center"/>
              <w:rPr>
                <w:color w:val="000000"/>
                <w:sz w:val="20"/>
                <w:szCs w:val="20"/>
                <w:lang w:eastAsia="sk-SK"/>
              </w:rPr>
            </w:pPr>
            <w:r w:rsidRPr="008C211B">
              <w:rPr>
                <w:color w:val="000000"/>
                <w:sz w:val="20"/>
                <w:szCs w:val="20"/>
                <w:lang w:eastAsia="sk-SK"/>
              </w:rPr>
              <w:t>Tuzemské subjekty kolektívneho investovania s právnou subjektivitou</w:t>
            </w:r>
          </w:p>
        </w:tc>
        <w:tc>
          <w:tcPr>
            <w:tcW w:w="992" w:type="dxa"/>
            <w:tcBorders>
              <w:top w:val="nil"/>
              <w:left w:val="nil"/>
              <w:bottom w:val="single" w:sz="4" w:space="0" w:color="auto"/>
              <w:right w:val="single" w:sz="4" w:space="0" w:color="auto"/>
            </w:tcBorders>
            <w:shd w:val="clear" w:color="auto" w:fill="auto"/>
            <w:vAlign w:val="center"/>
            <w:hideMark/>
          </w:tcPr>
          <w:p w14:paraId="79FAD71B" w14:textId="77777777" w:rsidR="004A117C" w:rsidRPr="008C211B" w:rsidRDefault="004A117C" w:rsidP="00470E9B">
            <w:pPr>
              <w:jc w:val="center"/>
              <w:rPr>
                <w:color w:val="000000"/>
                <w:sz w:val="20"/>
                <w:szCs w:val="20"/>
                <w:lang w:eastAsia="sk-SK"/>
              </w:rPr>
            </w:pPr>
            <w:r w:rsidRPr="008C211B">
              <w:rPr>
                <w:color w:val="000000"/>
                <w:sz w:val="20"/>
                <w:szCs w:val="20"/>
                <w:lang w:eastAsia="sk-SK"/>
              </w:rPr>
              <w:t>14</w:t>
            </w:r>
          </w:p>
        </w:tc>
        <w:tc>
          <w:tcPr>
            <w:tcW w:w="992" w:type="dxa"/>
            <w:tcBorders>
              <w:top w:val="nil"/>
              <w:left w:val="nil"/>
              <w:bottom w:val="single" w:sz="4" w:space="0" w:color="auto"/>
              <w:right w:val="single" w:sz="4" w:space="0" w:color="auto"/>
            </w:tcBorders>
            <w:shd w:val="clear" w:color="auto" w:fill="auto"/>
            <w:vAlign w:val="center"/>
            <w:hideMark/>
          </w:tcPr>
          <w:p w14:paraId="271B31CD" w14:textId="77777777" w:rsidR="004A117C" w:rsidRPr="008C211B" w:rsidRDefault="004A117C" w:rsidP="00470E9B">
            <w:pPr>
              <w:jc w:val="center"/>
              <w:rPr>
                <w:color w:val="000000"/>
                <w:sz w:val="20"/>
                <w:szCs w:val="20"/>
                <w:lang w:eastAsia="sk-SK"/>
              </w:rPr>
            </w:pPr>
            <w:r w:rsidRPr="008C211B">
              <w:rPr>
                <w:color w:val="000000"/>
                <w:sz w:val="20"/>
                <w:szCs w:val="20"/>
                <w:lang w:eastAsia="sk-SK"/>
              </w:rPr>
              <w:t>N</w:t>
            </w:r>
          </w:p>
        </w:tc>
        <w:tc>
          <w:tcPr>
            <w:tcW w:w="993" w:type="dxa"/>
            <w:tcBorders>
              <w:top w:val="nil"/>
              <w:left w:val="nil"/>
              <w:bottom w:val="single" w:sz="4" w:space="0" w:color="auto"/>
              <w:right w:val="single" w:sz="4" w:space="0" w:color="auto"/>
            </w:tcBorders>
            <w:shd w:val="clear" w:color="auto" w:fill="auto"/>
            <w:vAlign w:val="center"/>
            <w:hideMark/>
          </w:tcPr>
          <w:p w14:paraId="59525D36" w14:textId="77777777" w:rsidR="004A117C" w:rsidRPr="008C211B" w:rsidRDefault="004A117C" w:rsidP="00470E9B">
            <w:pPr>
              <w:jc w:val="center"/>
              <w:rPr>
                <w:color w:val="000000"/>
                <w:sz w:val="20"/>
                <w:szCs w:val="20"/>
                <w:lang w:eastAsia="sk-SK"/>
              </w:rPr>
            </w:pPr>
            <w:r w:rsidRPr="008C211B">
              <w:rPr>
                <w:color w:val="000000"/>
                <w:sz w:val="20"/>
                <w:szCs w:val="20"/>
                <w:lang w:eastAsia="sk-SK"/>
              </w:rPr>
              <w:t>6 000,0</w:t>
            </w:r>
            <w:r>
              <w:rPr>
                <w:color w:val="000000"/>
                <w:sz w:val="20"/>
                <w:szCs w:val="20"/>
                <w:lang w:eastAsia="sk-SK"/>
              </w:rPr>
              <w:t>0</w:t>
            </w:r>
          </w:p>
        </w:tc>
        <w:tc>
          <w:tcPr>
            <w:tcW w:w="992" w:type="dxa"/>
            <w:tcBorders>
              <w:top w:val="nil"/>
              <w:left w:val="nil"/>
              <w:bottom w:val="single" w:sz="4" w:space="0" w:color="auto"/>
              <w:right w:val="single" w:sz="4" w:space="0" w:color="auto"/>
            </w:tcBorders>
            <w:shd w:val="clear" w:color="auto" w:fill="auto"/>
            <w:vAlign w:val="center"/>
            <w:hideMark/>
          </w:tcPr>
          <w:p w14:paraId="47CED55B" w14:textId="77777777" w:rsidR="004A117C" w:rsidRPr="008C211B" w:rsidRDefault="004A117C" w:rsidP="00470E9B">
            <w:pPr>
              <w:jc w:val="center"/>
              <w:rPr>
                <w:color w:val="000000"/>
                <w:sz w:val="20"/>
                <w:szCs w:val="20"/>
                <w:lang w:eastAsia="sk-SK"/>
              </w:rPr>
            </w:pPr>
            <w:r w:rsidRPr="008C211B">
              <w:rPr>
                <w:color w:val="000000"/>
                <w:sz w:val="20"/>
                <w:szCs w:val="20"/>
                <w:lang w:eastAsia="sk-SK"/>
              </w:rPr>
              <w:t>84 000,</w:t>
            </w:r>
            <w:r>
              <w:rPr>
                <w:color w:val="000000"/>
                <w:sz w:val="20"/>
                <w:szCs w:val="20"/>
                <w:lang w:eastAsia="sk-SK"/>
              </w:rPr>
              <w:t>04</w:t>
            </w:r>
          </w:p>
        </w:tc>
        <w:tc>
          <w:tcPr>
            <w:tcW w:w="1417" w:type="dxa"/>
            <w:gridSpan w:val="2"/>
            <w:tcBorders>
              <w:top w:val="nil"/>
              <w:left w:val="nil"/>
              <w:bottom w:val="single" w:sz="4" w:space="0" w:color="auto"/>
              <w:right w:val="single" w:sz="4" w:space="0" w:color="auto"/>
            </w:tcBorders>
            <w:shd w:val="clear" w:color="auto" w:fill="auto"/>
            <w:vAlign w:val="center"/>
            <w:hideMark/>
          </w:tcPr>
          <w:p w14:paraId="64DBDDBF" w14:textId="77777777" w:rsidR="004A117C" w:rsidRPr="008C211B" w:rsidRDefault="004A117C" w:rsidP="00470E9B">
            <w:pPr>
              <w:jc w:val="center"/>
              <w:rPr>
                <w:color w:val="000000"/>
                <w:sz w:val="20"/>
                <w:szCs w:val="20"/>
                <w:lang w:eastAsia="sk-SK"/>
              </w:rPr>
            </w:pPr>
            <w:r w:rsidRPr="008C211B">
              <w:rPr>
                <w:color w:val="000000"/>
                <w:sz w:val="20"/>
                <w:szCs w:val="20"/>
                <w:lang w:eastAsia="sk-SK"/>
              </w:rPr>
              <w:t>Out (znižuje náklady)</w:t>
            </w:r>
          </w:p>
        </w:tc>
      </w:tr>
      <w:tr w:rsidR="004A117C" w:rsidRPr="008C211B" w14:paraId="697753E1" w14:textId="77777777" w:rsidTr="00470E9B">
        <w:trPr>
          <w:gridAfter w:val="1"/>
          <w:wAfter w:w="1431" w:type="dxa"/>
          <w:trHeight w:val="10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55C0AF" w14:textId="77777777" w:rsidR="004A117C" w:rsidRPr="008C211B" w:rsidRDefault="004A117C" w:rsidP="00470E9B">
            <w:pPr>
              <w:jc w:val="center"/>
              <w:rPr>
                <w:color w:val="000000"/>
                <w:sz w:val="20"/>
                <w:szCs w:val="20"/>
                <w:lang w:eastAsia="sk-SK"/>
              </w:rPr>
            </w:pPr>
            <w:r w:rsidRPr="008C211B">
              <w:rPr>
                <w:color w:val="000000"/>
                <w:sz w:val="20"/>
                <w:szCs w:val="20"/>
                <w:lang w:eastAsia="sk-SK"/>
              </w:rPr>
              <w:t>2</w:t>
            </w:r>
          </w:p>
        </w:tc>
        <w:tc>
          <w:tcPr>
            <w:tcW w:w="1843" w:type="dxa"/>
            <w:tcBorders>
              <w:top w:val="nil"/>
              <w:left w:val="nil"/>
              <w:bottom w:val="single" w:sz="4" w:space="0" w:color="auto"/>
              <w:right w:val="single" w:sz="4" w:space="0" w:color="auto"/>
            </w:tcBorders>
            <w:shd w:val="clear" w:color="auto" w:fill="auto"/>
            <w:vAlign w:val="center"/>
            <w:hideMark/>
          </w:tcPr>
          <w:p w14:paraId="39CDA0B0" w14:textId="77777777" w:rsidR="004A117C" w:rsidRPr="008C211B" w:rsidRDefault="004A117C" w:rsidP="00470E9B">
            <w:pPr>
              <w:jc w:val="center"/>
              <w:rPr>
                <w:color w:val="000000"/>
                <w:sz w:val="20"/>
                <w:szCs w:val="20"/>
                <w:lang w:eastAsia="sk-SK"/>
              </w:rPr>
            </w:pPr>
            <w:r w:rsidRPr="008C211B">
              <w:rPr>
                <w:color w:val="000000"/>
                <w:sz w:val="20"/>
                <w:szCs w:val="20"/>
                <w:lang w:eastAsia="sk-SK"/>
              </w:rPr>
              <w:t>Rozšírenie informačných povinností voči kvalifikovaným a neprofesionálnym investorom</w:t>
            </w:r>
          </w:p>
        </w:tc>
        <w:tc>
          <w:tcPr>
            <w:tcW w:w="1276" w:type="dxa"/>
            <w:tcBorders>
              <w:top w:val="nil"/>
              <w:left w:val="nil"/>
              <w:bottom w:val="single" w:sz="4" w:space="0" w:color="auto"/>
              <w:right w:val="single" w:sz="4" w:space="0" w:color="auto"/>
            </w:tcBorders>
            <w:shd w:val="clear" w:color="auto" w:fill="auto"/>
            <w:vAlign w:val="center"/>
            <w:hideMark/>
          </w:tcPr>
          <w:p w14:paraId="209A52BC" w14:textId="77777777" w:rsidR="004A117C" w:rsidRPr="008C211B" w:rsidRDefault="004A117C" w:rsidP="00470E9B">
            <w:pPr>
              <w:jc w:val="center"/>
              <w:rPr>
                <w:color w:val="000000"/>
                <w:sz w:val="20"/>
                <w:szCs w:val="20"/>
                <w:lang w:eastAsia="sk-SK"/>
              </w:rPr>
            </w:pPr>
            <w:r w:rsidRPr="008C211B">
              <w:rPr>
                <w:color w:val="000000"/>
                <w:sz w:val="20"/>
                <w:szCs w:val="20"/>
                <w:lang w:eastAsia="sk-SK"/>
              </w:rPr>
              <w:t>203/2011 Z.z.</w:t>
            </w:r>
          </w:p>
        </w:tc>
        <w:tc>
          <w:tcPr>
            <w:tcW w:w="1134" w:type="dxa"/>
            <w:tcBorders>
              <w:top w:val="nil"/>
              <w:left w:val="nil"/>
              <w:bottom w:val="single" w:sz="4" w:space="0" w:color="auto"/>
              <w:right w:val="single" w:sz="4" w:space="0" w:color="auto"/>
            </w:tcBorders>
            <w:shd w:val="clear" w:color="auto" w:fill="auto"/>
            <w:vAlign w:val="center"/>
            <w:hideMark/>
          </w:tcPr>
          <w:p w14:paraId="5B64C51F" w14:textId="77777777" w:rsidR="004A117C" w:rsidRPr="008C211B" w:rsidRDefault="004A117C" w:rsidP="00470E9B">
            <w:pPr>
              <w:jc w:val="center"/>
              <w:rPr>
                <w:color w:val="000000"/>
                <w:sz w:val="20"/>
                <w:szCs w:val="20"/>
                <w:lang w:eastAsia="sk-SK"/>
              </w:rPr>
            </w:pPr>
            <w:r w:rsidRPr="008C211B">
              <w:rPr>
                <w:color w:val="000000"/>
                <w:sz w:val="20"/>
                <w:szCs w:val="20"/>
                <w:lang w:eastAsia="sk-SK"/>
              </w:rPr>
              <w:t>§ 31d ods. 3</w:t>
            </w:r>
          </w:p>
        </w:tc>
        <w:tc>
          <w:tcPr>
            <w:tcW w:w="1701" w:type="dxa"/>
            <w:tcBorders>
              <w:top w:val="nil"/>
              <w:left w:val="nil"/>
              <w:bottom w:val="single" w:sz="4" w:space="0" w:color="auto"/>
              <w:right w:val="single" w:sz="4" w:space="0" w:color="auto"/>
            </w:tcBorders>
            <w:shd w:val="clear" w:color="auto" w:fill="auto"/>
            <w:vAlign w:val="center"/>
            <w:hideMark/>
          </w:tcPr>
          <w:p w14:paraId="43EB1366" w14:textId="77777777" w:rsidR="004A117C" w:rsidRPr="008C211B" w:rsidRDefault="004A117C" w:rsidP="00470E9B">
            <w:pPr>
              <w:jc w:val="center"/>
              <w:rPr>
                <w:color w:val="000000"/>
                <w:sz w:val="20"/>
                <w:szCs w:val="20"/>
                <w:lang w:eastAsia="sk-SK"/>
              </w:rPr>
            </w:pPr>
            <w:r w:rsidRPr="008C211B">
              <w:rPr>
                <w:color w:val="000000"/>
                <w:sz w:val="20"/>
                <w:szCs w:val="20"/>
                <w:lang w:eastAsia="sk-SK"/>
              </w:rPr>
              <w:t>EÚ harmonizácia s možnosťou voľby</w:t>
            </w:r>
          </w:p>
        </w:tc>
        <w:tc>
          <w:tcPr>
            <w:tcW w:w="1134" w:type="dxa"/>
            <w:tcBorders>
              <w:top w:val="nil"/>
              <w:left w:val="nil"/>
              <w:bottom w:val="single" w:sz="4" w:space="0" w:color="auto"/>
              <w:right w:val="single" w:sz="4" w:space="0" w:color="auto"/>
            </w:tcBorders>
            <w:shd w:val="clear" w:color="auto" w:fill="auto"/>
            <w:vAlign w:val="center"/>
            <w:hideMark/>
          </w:tcPr>
          <w:p w14:paraId="2C54016E" w14:textId="77777777" w:rsidR="004A117C" w:rsidRPr="008C211B" w:rsidRDefault="004A117C" w:rsidP="00470E9B">
            <w:pPr>
              <w:jc w:val="center"/>
              <w:rPr>
                <w:color w:val="000000"/>
                <w:sz w:val="20"/>
                <w:szCs w:val="20"/>
                <w:lang w:eastAsia="sk-SK"/>
              </w:rPr>
            </w:pPr>
            <w:r w:rsidRPr="008C211B">
              <w:rPr>
                <w:color w:val="000000"/>
                <w:sz w:val="20"/>
                <w:szCs w:val="20"/>
                <w:lang w:eastAsia="sk-SK"/>
              </w:rPr>
              <w:t>01.01.23</w:t>
            </w:r>
          </w:p>
        </w:tc>
        <w:tc>
          <w:tcPr>
            <w:tcW w:w="1418" w:type="dxa"/>
            <w:tcBorders>
              <w:top w:val="nil"/>
              <w:left w:val="nil"/>
              <w:bottom w:val="single" w:sz="4" w:space="0" w:color="auto"/>
              <w:right w:val="single" w:sz="4" w:space="0" w:color="auto"/>
            </w:tcBorders>
            <w:shd w:val="clear" w:color="auto" w:fill="auto"/>
            <w:vAlign w:val="center"/>
            <w:hideMark/>
          </w:tcPr>
          <w:p w14:paraId="2DC7967A" w14:textId="77777777" w:rsidR="004A117C" w:rsidRPr="008C211B" w:rsidRDefault="004A117C" w:rsidP="00470E9B">
            <w:pPr>
              <w:jc w:val="center"/>
              <w:rPr>
                <w:color w:val="000000"/>
                <w:sz w:val="20"/>
                <w:szCs w:val="20"/>
                <w:lang w:eastAsia="sk-SK"/>
              </w:rPr>
            </w:pPr>
            <w:r w:rsidRPr="008C211B">
              <w:rPr>
                <w:color w:val="000000"/>
                <w:sz w:val="20"/>
                <w:szCs w:val="20"/>
                <w:lang w:eastAsia="sk-SK"/>
              </w:rPr>
              <w:t>Tuzemské subjekty kolektívneho investovania s právnou subjektivitou</w:t>
            </w:r>
          </w:p>
        </w:tc>
        <w:tc>
          <w:tcPr>
            <w:tcW w:w="992" w:type="dxa"/>
            <w:tcBorders>
              <w:top w:val="nil"/>
              <w:left w:val="nil"/>
              <w:bottom w:val="single" w:sz="4" w:space="0" w:color="auto"/>
              <w:right w:val="single" w:sz="4" w:space="0" w:color="auto"/>
            </w:tcBorders>
            <w:shd w:val="clear" w:color="auto" w:fill="auto"/>
            <w:vAlign w:val="center"/>
            <w:hideMark/>
          </w:tcPr>
          <w:p w14:paraId="5CE4A507" w14:textId="77777777" w:rsidR="004A117C" w:rsidRPr="008C211B" w:rsidRDefault="004A117C" w:rsidP="00470E9B">
            <w:pPr>
              <w:jc w:val="center"/>
              <w:rPr>
                <w:color w:val="000000"/>
                <w:sz w:val="20"/>
                <w:szCs w:val="20"/>
                <w:lang w:eastAsia="sk-SK"/>
              </w:rPr>
            </w:pPr>
            <w:r w:rsidRPr="008C211B">
              <w:rPr>
                <w:color w:val="000000"/>
                <w:sz w:val="20"/>
                <w:szCs w:val="20"/>
                <w:lang w:eastAsia="sk-SK"/>
              </w:rPr>
              <w:t>14</w:t>
            </w:r>
          </w:p>
        </w:tc>
        <w:tc>
          <w:tcPr>
            <w:tcW w:w="992" w:type="dxa"/>
            <w:tcBorders>
              <w:top w:val="nil"/>
              <w:left w:val="nil"/>
              <w:bottom w:val="single" w:sz="4" w:space="0" w:color="auto"/>
              <w:right w:val="single" w:sz="4" w:space="0" w:color="auto"/>
            </w:tcBorders>
            <w:shd w:val="clear" w:color="auto" w:fill="auto"/>
            <w:vAlign w:val="center"/>
            <w:hideMark/>
          </w:tcPr>
          <w:p w14:paraId="4A9BEE29" w14:textId="77777777" w:rsidR="004A117C" w:rsidRPr="008C211B" w:rsidRDefault="004A117C" w:rsidP="00470E9B">
            <w:pPr>
              <w:jc w:val="center"/>
              <w:rPr>
                <w:color w:val="000000"/>
                <w:sz w:val="20"/>
                <w:szCs w:val="20"/>
                <w:lang w:eastAsia="sk-SK"/>
              </w:rPr>
            </w:pPr>
            <w:r w:rsidRPr="008C211B">
              <w:rPr>
                <w:color w:val="000000"/>
                <w:sz w:val="20"/>
                <w:szCs w:val="20"/>
                <w:lang w:eastAsia="sk-SK"/>
              </w:rPr>
              <w:t>N</w:t>
            </w:r>
          </w:p>
        </w:tc>
        <w:tc>
          <w:tcPr>
            <w:tcW w:w="993" w:type="dxa"/>
            <w:tcBorders>
              <w:top w:val="nil"/>
              <w:left w:val="nil"/>
              <w:bottom w:val="single" w:sz="4" w:space="0" w:color="auto"/>
              <w:right w:val="single" w:sz="4" w:space="0" w:color="auto"/>
            </w:tcBorders>
            <w:shd w:val="clear" w:color="auto" w:fill="auto"/>
            <w:vAlign w:val="center"/>
            <w:hideMark/>
          </w:tcPr>
          <w:p w14:paraId="5B0C74F5" w14:textId="77777777" w:rsidR="004A117C" w:rsidRPr="008C211B" w:rsidRDefault="004A117C" w:rsidP="00470E9B">
            <w:pPr>
              <w:jc w:val="center"/>
              <w:rPr>
                <w:color w:val="000000"/>
                <w:sz w:val="20"/>
                <w:szCs w:val="20"/>
                <w:lang w:eastAsia="sk-SK"/>
              </w:rPr>
            </w:pPr>
            <w:r w:rsidRPr="008C211B">
              <w:rPr>
                <w:color w:val="000000"/>
                <w:sz w:val="20"/>
                <w:szCs w:val="20"/>
                <w:lang w:eastAsia="sk-SK"/>
              </w:rPr>
              <w:t>1 000,00</w:t>
            </w:r>
          </w:p>
        </w:tc>
        <w:tc>
          <w:tcPr>
            <w:tcW w:w="992" w:type="dxa"/>
            <w:tcBorders>
              <w:top w:val="nil"/>
              <w:left w:val="nil"/>
              <w:bottom w:val="single" w:sz="4" w:space="0" w:color="auto"/>
              <w:right w:val="single" w:sz="4" w:space="0" w:color="auto"/>
            </w:tcBorders>
            <w:shd w:val="clear" w:color="auto" w:fill="auto"/>
            <w:vAlign w:val="center"/>
            <w:hideMark/>
          </w:tcPr>
          <w:p w14:paraId="07EFC196" w14:textId="77777777" w:rsidR="004A117C" w:rsidRPr="008C211B" w:rsidRDefault="004A117C" w:rsidP="00470E9B">
            <w:pPr>
              <w:jc w:val="center"/>
              <w:rPr>
                <w:color w:val="000000"/>
                <w:sz w:val="20"/>
                <w:szCs w:val="20"/>
                <w:lang w:eastAsia="sk-SK"/>
              </w:rPr>
            </w:pPr>
            <w:r w:rsidRPr="008C211B">
              <w:rPr>
                <w:color w:val="000000"/>
                <w:sz w:val="20"/>
                <w:szCs w:val="20"/>
                <w:lang w:eastAsia="sk-SK"/>
              </w:rPr>
              <w:t>14 000,03</w:t>
            </w:r>
          </w:p>
        </w:tc>
        <w:tc>
          <w:tcPr>
            <w:tcW w:w="1417" w:type="dxa"/>
            <w:gridSpan w:val="2"/>
            <w:tcBorders>
              <w:top w:val="nil"/>
              <w:left w:val="nil"/>
              <w:bottom w:val="single" w:sz="4" w:space="0" w:color="auto"/>
              <w:right w:val="single" w:sz="4" w:space="0" w:color="auto"/>
            </w:tcBorders>
            <w:shd w:val="clear" w:color="auto" w:fill="auto"/>
            <w:vAlign w:val="center"/>
            <w:hideMark/>
          </w:tcPr>
          <w:p w14:paraId="13E23E29" w14:textId="77777777" w:rsidR="004A117C" w:rsidRPr="008C211B" w:rsidRDefault="004A117C" w:rsidP="00470E9B">
            <w:pPr>
              <w:jc w:val="center"/>
              <w:rPr>
                <w:color w:val="000000"/>
                <w:sz w:val="20"/>
                <w:szCs w:val="20"/>
                <w:lang w:eastAsia="sk-SK"/>
              </w:rPr>
            </w:pPr>
            <w:r w:rsidRPr="008C211B">
              <w:rPr>
                <w:color w:val="000000"/>
                <w:sz w:val="20"/>
                <w:szCs w:val="20"/>
                <w:lang w:eastAsia="sk-SK"/>
              </w:rPr>
              <w:t>In (zvyšuje náklady)</w:t>
            </w:r>
          </w:p>
        </w:tc>
      </w:tr>
      <w:tr w:rsidR="004A117C" w:rsidRPr="008C211B" w14:paraId="5DD10BB2" w14:textId="77777777" w:rsidTr="00470E9B">
        <w:trPr>
          <w:gridAfter w:val="1"/>
          <w:wAfter w:w="1431"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D9C64B" w14:textId="77777777" w:rsidR="004A117C" w:rsidRPr="008C211B" w:rsidRDefault="004A117C" w:rsidP="00470E9B">
            <w:pPr>
              <w:jc w:val="center"/>
              <w:rPr>
                <w:color w:val="000000"/>
                <w:sz w:val="20"/>
                <w:szCs w:val="20"/>
                <w:lang w:eastAsia="sk-SK"/>
              </w:rPr>
            </w:pPr>
            <w:r w:rsidRPr="008C211B">
              <w:rPr>
                <w:color w:val="000000"/>
                <w:sz w:val="20"/>
                <w:szCs w:val="20"/>
                <w:lang w:eastAsia="sk-SK"/>
              </w:rPr>
              <w:t>3</w:t>
            </w:r>
          </w:p>
        </w:tc>
        <w:tc>
          <w:tcPr>
            <w:tcW w:w="1843" w:type="dxa"/>
            <w:tcBorders>
              <w:top w:val="nil"/>
              <w:left w:val="nil"/>
              <w:bottom w:val="single" w:sz="4" w:space="0" w:color="auto"/>
              <w:right w:val="single" w:sz="4" w:space="0" w:color="auto"/>
            </w:tcBorders>
            <w:shd w:val="clear" w:color="auto" w:fill="auto"/>
            <w:vAlign w:val="center"/>
            <w:hideMark/>
          </w:tcPr>
          <w:p w14:paraId="3A98DFC6" w14:textId="77777777" w:rsidR="004A117C" w:rsidRPr="008C211B" w:rsidRDefault="004A117C" w:rsidP="00470E9B">
            <w:pPr>
              <w:jc w:val="center"/>
              <w:rPr>
                <w:color w:val="000000"/>
                <w:sz w:val="20"/>
                <w:szCs w:val="20"/>
                <w:lang w:eastAsia="sk-SK"/>
              </w:rPr>
            </w:pPr>
            <w:r w:rsidRPr="008C211B">
              <w:rPr>
                <w:color w:val="000000"/>
                <w:sz w:val="20"/>
                <w:szCs w:val="20"/>
                <w:lang w:eastAsia="sk-SK"/>
              </w:rPr>
              <w:t>0</w:t>
            </w:r>
          </w:p>
        </w:tc>
        <w:tc>
          <w:tcPr>
            <w:tcW w:w="1276" w:type="dxa"/>
            <w:tcBorders>
              <w:top w:val="nil"/>
              <w:left w:val="nil"/>
              <w:bottom w:val="single" w:sz="4" w:space="0" w:color="auto"/>
              <w:right w:val="single" w:sz="4" w:space="0" w:color="auto"/>
            </w:tcBorders>
            <w:shd w:val="clear" w:color="auto" w:fill="auto"/>
            <w:vAlign w:val="center"/>
            <w:hideMark/>
          </w:tcPr>
          <w:p w14:paraId="15CD6F12" w14:textId="77777777" w:rsidR="004A117C" w:rsidRPr="008C211B" w:rsidRDefault="004A117C" w:rsidP="00470E9B">
            <w:pPr>
              <w:jc w:val="center"/>
              <w:rPr>
                <w:color w:val="000000"/>
                <w:sz w:val="20"/>
                <w:szCs w:val="20"/>
                <w:lang w:eastAsia="sk-SK"/>
              </w:rPr>
            </w:pPr>
            <w:r w:rsidRPr="008C211B">
              <w:rPr>
                <w:color w:val="000000"/>
                <w:sz w:val="20"/>
                <w:szCs w:val="20"/>
                <w:lang w:eastAsia="sk-SK"/>
              </w:rPr>
              <w:t>0</w:t>
            </w:r>
          </w:p>
        </w:tc>
        <w:tc>
          <w:tcPr>
            <w:tcW w:w="1134" w:type="dxa"/>
            <w:tcBorders>
              <w:top w:val="nil"/>
              <w:left w:val="nil"/>
              <w:bottom w:val="single" w:sz="4" w:space="0" w:color="auto"/>
              <w:right w:val="single" w:sz="4" w:space="0" w:color="auto"/>
            </w:tcBorders>
            <w:shd w:val="clear" w:color="auto" w:fill="auto"/>
            <w:vAlign w:val="center"/>
            <w:hideMark/>
          </w:tcPr>
          <w:p w14:paraId="052ACB9A" w14:textId="77777777" w:rsidR="004A117C" w:rsidRPr="008C211B" w:rsidRDefault="004A117C" w:rsidP="00470E9B">
            <w:pPr>
              <w:jc w:val="center"/>
              <w:rPr>
                <w:color w:val="000000"/>
                <w:sz w:val="20"/>
                <w:szCs w:val="20"/>
                <w:lang w:eastAsia="sk-SK"/>
              </w:rPr>
            </w:pPr>
            <w:r w:rsidRPr="008C211B">
              <w:rPr>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vAlign w:val="center"/>
            <w:hideMark/>
          </w:tcPr>
          <w:p w14:paraId="55D1800D" w14:textId="77777777" w:rsidR="004A117C" w:rsidRPr="008C211B" w:rsidRDefault="004A117C" w:rsidP="00470E9B">
            <w:pPr>
              <w:jc w:val="center"/>
              <w:rPr>
                <w:color w:val="000000"/>
                <w:sz w:val="20"/>
                <w:szCs w:val="20"/>
                <w:lang w:eastAsia="sk-SK"/>
              </w:rPr>
            </w:pPr>
            <w:r w:rsidRPr="008C211B">
              <w:rPr>
                <w:color w:val="000000"/>
                <w:sz w:val="20"/>
                <w:szCs w:val="20"/>
                <w:lang w:eastAsia="sk-SK"/>
              </w:rPr>
              <w:t xml:space="preserve">vyberte  </w:t>
            </w:r>
          </w:p>
        </w:tc>
        <w:tc>
          <w:tcPr>
            <w:tcW w:w="1134" w:type="dxa"/>
            <w:tcBorders>
              <w:top w:val="nil"/>
              <w:left w:val="nil"/>
              <w:bottom w:val="single" w:sz="4" w:space="0" w:color="auto"/>
              <w:right w:val="single" w:sz="4" w:space="0" w:color="auto"/>
            </w:tcBorders>
            <w:shd w:val="clear" w:color="auto" w:fill="auto"/>
            <w:vAlign w:val="center"/>
            <w:hideMark/>
          </w:tcPr>
          <w:p w14:paraId="612A59E6" w14:textId="77777777" w:rsidR="004A117C" w:rsidRPr="008C211B" w:rsidRDefault="004A117C" w:rsidP="00470E9B">
            <w:pPr>
              <w:jc w:val="center"/>
              <w:rPr>
                <w:color w:val="000000"/>
                <w:sz w:val="20"/>
                <w:szCs w:val="20"/>
                <w:lang w:eastAsia="sk-SK"/>
              </w:rPr>
            </w:pPr>
            <w:r w:rsidRPr="008C211B">
              <w:rPr>
                <w:color w:val="000000"/>
                <w:sz w:val="20"/>
                <w:szCs w:val="20"/>
                <w:lang w:eastAsia="sk-SK"/>
              </w:rPr>
              <w:t>-</w:t>
            </w:r>
          </w:p>
        </w:tc>
        <w:tc>
          <w:tcPr>
            <w:tcW w:w="1418" w:type="dxa"/>
            <w:tcBorders>
              <w:top w:val="nil"/>
              <w:left w:val="nil"/>
              <w:bottom w:val="single" w:sz="4" w:space="0" w:color="auto"/>
              <w:right w:val="single" w:sz="4" w:space="0" w:color="auto"/>
            </w:tcBorders>
            <w:shd w:val="clear" w:color="auto" w:fill="auto"/>
            <w:vAlign w:val="center"/>
            <w:hideMark/>
          </w:tcPr>
          <w:p w14:paraId="30C7AAF7" w14:textId="77777777" w:rsidR="004A117C" w:rsidRPr="008C211B" w:rsidRDefault="004A117C" w:rsidP="00470E9B">
            <w:pPr>
              <w:jc w:val="center"/>
              <w:rPr>
                <w:color w:val="000000"/>
                <w:sz w:val="20"/>
                <w:szCs w:val="20"/>
                <w:lang w:eastAsia="sk-SK"/>
              </w:rPr>
            </w:pPr>
            <w:r w:rsidRPr="008C211B">
              <w:rPr>
                <w:color w:val="000000"/>
                <w:sz w:val="20"/>
                <w:szCs w:val="20"/>
                <w:lang w:eastAsia="sk-SK"/>
              </w:rPr>
              <w:t>0</w:t>
            </w:r>
          </w:p>
        </w:tc>
        <w:tc>
          <w:tcPr>
            <w:tcW w:w="992" w:type="dxa"/>
            <w:tcBorders>
              <w:top w:val="nil"/>
              <w:left w:val="nil"/>
              <w:bottom w:val="single" w:sz="4" w:space="0" w:color="auto"/>
              <w:right w:val="single" w:sz="4" w:space="0" w:color="auto"/>
            </w:tcBorders>
            <w:shd w:val="clear" w:color="auto" w:fill="auto"/>
            <w:vAlign w:val="center"/>
            <w:hideMark/>
          </w:tcPr>
          <w:p w14:paraId="76F69A79" w14:textId="77777777" w:rsidR="004A117C" w:rsidRPr="008C211B" w:rsidRDefault="004A117C" w:rsidP="00470E9B">
            <w:pPr>
              <w:rPr>
                <w:color w:val="000000"/>
                <w:sz w:val="20"/>
                <w:szCs w:val="20"/>
                <w:lang w:eastAsia="sk-SK"/>
              </w:rPr>
            </w:pPr>
            <w:r w:rsidRPr="008C211B">
              <w:rPr>
                <w:color w:val="000000"/>
                <w:sz w:val="20"/>
                <w:szCs w:val="20"/>
                <w:lang w:eastAsia="sk-SK"/>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6D90FE81" w14:textId="77777777" w:rsidR="004A117C" w:rsidRPr="008C211B" w:rsidRDefault="004A117C" w:rsidP="00470E9B">
            <w:pPr>
              <w:rPr>
                <w:color w:val="000000"/>
                <w:sz w:val="20"/>
                <w:szCs w:val="20"/>
                <w:lang w:eastAsia="sk-SK"/>
              </w:rPr>
            </w:pPr>
            <w:r w:rsidRPr="008C211B">
              <w:rPr>
                <w:color w:val="000000"/>
                <w:sz w:val="20"/>
                <w:szCs w:val="20"/>
                <w:lang w:eastAsia="sk-SK"/>
              </w:rPr>
              <w:t xml:space="preserve">                        -   </w:t>
            </w:r>
          </w:p>
        </w:tc>
        <w:tc>
          <w:tcPr>
            <w:tcW w:w="993" w:type="dxa"/>
            <w:tcBorders>
              <w:top w:val="nil"/>
              <w:left w:val="nil"/>
              <w:bottom w:val="single" w:sz="4" w:space="0" w:color="auto"/>
              <w:right w:val="single" w:sz="4" w:space="0" w:color="auto"/>
            </w:tcBorders>
            <w:shd w:val="clear" w:color="auto" w:fill="auto"/>
            <w:vAlign w:val="center"/>
            <w:hideMark/>
          </w:tcPr>
          <w:p w14:paraId="6E808017" w14:textId="77777777" w:rsidR="004A117C" w:rsidRPr="008C211B" w:rsidRDefault="004A117C" w:rsidP="00470E9B">
            <w:pPr>
              <w:jc w:val="center"/>
              <w:rPr>
                <w:color w:val="000000"/>
                <w:sz w:val="20"/>
                <w:szCs w:val="20"/>
                <w:lang w:eastAsia="sk-SK"/>
              </w:rPr>
            </w:pPr>
            <w:r w:rsidRPr="008C211B">
              <w:rPr>
                <w:color w:val="000000"/>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52BEDB7B" w14:textId="77777777" w:rsidR="004A117C" w:rsidRPr="008C211B" w:rsidRDefault="004A117C" w:rsidP="00470E9B">
            <w:pPr>
              <w:jc w:val="center"/>
              <w:rPr>
                <w:color w:val="000000"/>
                <w:sz w:val="20"/>
                <w:szCs w:val="20"/>
                <w:lang w:eastAsia="sk-SK"/>
              </w:rPr>
            </w:pPr>
            <w:r w:rsidRPr="008C211B">
              <w:rPr>
                <w:color w:val="000000"/>
                <w:sz w:val="20"/>
                <w:szCs w:val="20"/>
                <w:lang w:eastAsia="sk-SK"/>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7EF6D186" w14:textId="77777777" w:rsidR="004A117C" w:rsidRPr="008C211B" w:rsidRDefault="004A117C" w:rsidP="00470E9B">
            <w:pPr>
              <w:jc w:val="center"/>
              <w:rPr>
                <w:color w:val="000000"/>
                <w:sz w:val="20"/>
                <w:szCs w:val="20"/>
                <w:lang w:eastAsia="sk-SK"/>
              </w:rPr>
            </w:pPr>
            <w:r w:rsidRPr="008C211B">
              <w:rPr>
                <w:color w:val="000000"/>
                <w:sz w:val="20"/>
                <w:szCs w:val="20"/>
                <w:lang w:eastAsia="sk-SK"/>
              </w:rPr>
              <w:t xml:space="preserve">vyberte  </w:t>
            </w:r>
          </w:p>
        </w:tc>
      </w:tr>
      <w:tr w:rsidR="004A117C" w:rsidRPr="008C211B" w14:paraId="46B930E5" w14:textId="77777777" w:rsidTr="00470E9B">
        <w:trPr>
          <w:gridAfter w:val="1"/>
          <w:wAfter w:w="1431"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BA9BFB" w14:textId="77777777" w:rsidR="004A117C" w:rsidRPr="008C211B" w:rsidRDefault="004A117C" w:rsidP="00470E9B">
            <w:pPr>
              <w:jc w:val="center"/>
              <w:rPr>
                <w:color w:val="000000"/>
                <w:sz w:val="20"/>
                <w:szCs w:val="20"/>
                <w:lang w:eastAsia="sk-SK"/>
              </w:rPr>
            </w:pPr>
            <w:r w:rsidRPr="008C211B">
              <w:rPr>
                <w:color w:val="000000"/>
                <w:sz w:val="20"/>
                <w:szCs w:val="20"/>
                <w:lang w:eastAsia="sk-SK"/>
              </w:rPr>
              <w:t>4</w:t>
            </w:r>
          </w:p>
        </w:tc>
        <w:tc>
          <w:tcPr>
            <w:tcW w:w="1843" w:type="dxa"/>
            <w:tcBorders>
              <w:top w:val="nil"/>
              <w:left w:val="nil"/>
              <w:bottom w:val="single" w:sz="4" w:space="0" w:color="auto"/>
              <w:right w:val="single" w:sz="4" w:space="0" w:color="auto"/>
            </w:tcBorders>
            <w:shd w:val="clear" w:color="auto" w:fill="auto"/>
            <w:vAlign w:val="center"/>
            <w:hideMark/>
          </w:tcPr>
          <w:p w14:paraId="0CFED0BE" w14:textId="77777777" w:rsidR="004A117C" w:rsidRPr="008C211B" w:rsidRDefault="004A117C" w:rsidP="00470E9B">
            <w:pPr>
              <w:jc w:val="center"/>
              <w:rPr>
                <w:color w:val="000000"/>
                <w:sz w:val="20"/>
                <w:szCs w:val="20"/>
                <w:lang w:eastAsia="sk-SK"/>
              </w:rPr>
            </w:pPr>
            <w:r w:rsidRPr="008C211B">
              <w:rPr>
                <w:color w:val="000000"/>
                <w:sz w:val="20"/>
                <w:szCs w:val="20"/>
                <w:lang w:eastAsia="sk-SK"/>
              </w:rPr>
              <w:t>0</w:t>
            </w:r>
          </w:p>
        </w:tc>
        <w:tc>
          <w:tcPr>
            <w:tcW w:w="1276" w:type="dxa"/>
            <w:tcBorders>
              <w:top w:val="nil"/>
              <w:left w:val="nil"/>
              <w:bottom w:val="single" w:sz="4" w:space="0" w:color="auto"/>
              <w:right w:val="single" w:sz="4" w:space="0" w:color="auto"/>
            </w:tcBorders>
            <w:shd w:val="clear" w:color="auto" w:fill="auto"/>
            <w:vAlign w:val="center"/>
            <w:hideMark/>
          </w:tcPr>
          <w:p w14:paraId="269AB35C" w14:textId="77777777" w:rsidR="004A117C" w:rsidRPr="008C211B" w:rsidRDefault="004A117C" w:rsidP="00470E9B">
            <w:pPr>
              <w:jc w:val="center"/>
              <w:rPr>
                <w:color w:val="000000"/>
                <w:sz w:val="20"/>
                <w:szCs w:val="20"/>
                <w:lang w:eastAsia="sk-SK"/>
              </w:rPr>
            </w:pPr>
            <w:r w:rsidRPr="008C211B">
              <w:rPr>
                <w:color w:val="000000"/>
                <w:sz w:val="20"/>
                <w:szCs w:val="20"/>
                <w:lang w:eastAsia="sk-SK"/>
              </w:rPr>
              <w:t>0</w:t>
            </w:r>
          </w:p>
        </w:tc>
        <w:tc>
          <w:tcPr>
            <w:tcW w:w="1134" w:type="dxa"/>
            <w:tcBorders>
              <w:top w:val="nil"/>
              <w:left w:val="nil"/>
              <w:bottom w:val="single" w:sz="4" w:space="0" w:color="auto"/>
              <w:right w:val="single" w:sz="4" w:space="0" w:color="auto"/>
            </w:tcBorders>
            <w:shd w:val="clear" w:color="auto" w:fill="auto"/>
            <w:vAlign w:val="center"/>
            <w:hideMark/>
          </w:tcPr>
          <w:p w14:paraId="17DF9BF4" w14:textId="77777777" w:rsidR="004A117C" w:rsidRPr="008C211B" w:rsidRDefault="004A117C" w:rsidP="00470E9B">
            <w:pPr>
              <w:jc w:val="center"/>
              <w:rPr>
                <w:color w:val="000000"/>
                <w:sz w:val="20"/>
                <w:szCs w:val="20"/>
                <w:lang w:eastAsia="sk-SK"/>
              </w:rPr>
            </w:pPr>
            <w:r w:rsidRPr="008C211B">
              <w:rPr>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vAlign w:val="center"/>
            <w:hideMark/>
          </w:tcPr>
          <w:p w14:paraId="786E96B6" w14:textId="77777777" w:rsidR="004A117C" w:rsidRPr="008C211B" w:rsidRDefault="004A117C" w:rsidP="00470E9B">
            <w:pPr>
              <w:jc w:val="center"/>
              <w:rPr>
                <w:color w:val="000000"/>
                <w:sz w:val="20"/>
                <w:szCs w:val="20"/>
                <w:lang w:eastAsia="sk-SK"/>
              </w:rPr>
            </w:pPr>
            <w:r w:rsidRPr="008C211B">
              <w:rPr>
                <w:color w:val="000000"/>
                <w:sz w:val="20"/>
                <w:szCs w:val="20"/>
                <w:lang w:eastAsia="sk-SK"/>
              </w:rPr>
              <w:t xml:space="preserve">vyberte  </w:t>
            </w:r>
          </w:p>
        </w:tc>
        <w:tc>
          <w:tcPr>
            <w:tcW w:w="1134" w:type="dxa"/>
            <w:tcBorders>
              <w:top w:val="nil"/>
              <w:left w:val="nil"/>
              <w:bottom w:val="single" w:sz="4" w:space="0" w:color="auto"/>
              <w:right w:val="single" w:sz="4" w:space="0" w:color="auto"/>
            </w:tcBorders>
            <w:shd w:val="clear" w:color="auto" w:fill="auto"/>
            <w:vAlign w:val="center"/>
            <w:hideMark/>
          </w:tcPr>
          <w:p w14:paraId="4598B15D" w14:textId="77777777" w:rsidR="004A117C" w:rsidRPr="008C211B" w:rsidRDefault="004A117C" w:rsidP="00470E9B">
            <w:pPr>
              <w:jc w:val="center"/>
              <w:rPr>
                <w:color w:val="000000"/>
                <w:sz w:val="20"/>
                <w:szCs w:val="20"/>
                <w:lang w:eastAsia="sk-SK"/>
              </w:rPr>
            </w:pPr>
            <w:r w:rsidRPr="008C211B">
              <w:rPr>
                <w:color w:val="000000"/>
                <w:sz w:val="20"/>
                <w:szCs w:val="20"/>
                <w:lang w:eastAsia="sk-SK"/>
              </w:rPr>
              <w:t>-</w:t>
            </w:r>
          </w:p>
        </w:tc>
        <w:tc>
          <w:tcPr>
            <w:tcW w:w="1418" w:type="dxa"/>
            <w:tcBorders>
              <w:top w:val="nil"/>
              <w:left w:val="nil"/>
              <w:bottom w:val="single" w:sz="4" w:space="0" w:color="auto"/>
              <w:right w:val="single" w:sz="4" w:space="0" w:color="auto"/>
            </w:tcBorders>
            <w:shd w:val="clear" w:color="auto" w:fill="auto"/>
            <w:vAlign w:val="center"/>
            <w:hideMark/>
          </w:tcPr>
          <w:p w14:paraId="0DD91055" w14:textId="77777777" w:rsidR="004A117C" w:rsidRPr="008C211B" w:rsidRDefault="004A117C" w:rsidP="00470E9B">
            <w:pPr>
              <w:jc w:val="center"/>
              <w:rPr>
                <w:color w:val="000000"/>
                <w:sz w:val="20"/>
                <w:szCs w:val="20"/>
                <w:lang w:eastAsia="sk-SK"/>
              </w:rPr>
            </w:pPr>
            <w:r w:rsidRPr="008C211B">
              <w:rPr>
                <w:color w:val="000000"/>
                <w:sz w:val="20"/>
                <w:szCs w:val="20"/>
                <w:lang w:eastAsia="sk-SK"/>
              </w:rPr>
              <w:t>0</w:t>
            </w:r>
          </w:p>
        </w:tc>
        <w:tc>
          <w:tcPr>
            <w:tcW w:w="992" w:type="dxa"/>
            <w:tcBorders>
              <w:top w:val="nil"/>
              <w:left w:val="nil"/>
              <w:bottom w:val="single" w:sz="4" w:space="0" w:color="auto"/>
              <w:right w:val="single" w:sz="4" w:space="0" w:color="auto"/>
            </w:tcBorders>
            <w:shd w:val="clear" w:color="auto" w:fill="auto"/>
            <w:vAlign w:val="center"/>
            <w:hideMark/>
          </w:tcPr>
          <w:p w14:paraId="5B5454A9" w14:textId="77777777" w:rsidR="004A117C" w:rsidRPr="008C211B" w:rsidRDefault="004A117C" w:rsidP="00470E9B">
            <w:pPr>
              <w:rPr>
                <w:color w:val="000000"/>
                <w:sz w:val="20"/>
                <w:szCs w:val="20"/>
                <w:lang w:eastAsia="sk-SK"/>
              </w:rPr>
            </w:pPr>
            <w:r w:rsidRPr="008C211B">
              <w:rPr>
                <w:color w:val="000000"/>
                <w:sz w:val="20"/>
                <w:szCs w:val="20"/>
                <w:lang w:eastAsia="sk-SK"/>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4D40B1AF" w14:textId="77777777" w:rsidR="004A117C" w:rsidRPr="008C211B" w:rsidRDefault="004A117C" w:rsidP="00470E9B">
            <w:pPr>
              <w:rPr>
                <w:color w:val="000000"/>
                <w:sz w:val="20"/>
                <w:szCs w:val="20"/>
                <w:lang w:eastAsia="sk-SK"/>
              </w:rPr>
            </w:pPr>
            <w:r w:rsidRPr="008C211B">
              <w:rPr>
                <w:color w:val="000000"/>
                <w:sz w:val="20"/>
                <w:szCs w:val="20"/>
                <w:lang w:eastAsia="sk-SK"/>
              </w:rPr>
              <w:t xml:space="preserve">                        -   </w:t>
            </w:r>
          </w:p>
        </w:tc>
        <w:tc>
          <w:tcPr>
            <w:tcW w:w="993" w:type="dxa"/>
            <w:tcBorders>
              <w:top w:val="nil"/>
              <w:left w:val="nil"/>
              <w:bottom w:val="single" w:sz="4" w:space="0" w:color="auto"/>
              <w:right w:val="single" w:sz="4" w:space="0" w:color="auto"/>
            </w:tcBorders>
            <w:shd w:val="clear" w:color="auto" w:fill="auto"/>
            <w:vAlign w:val="center"/>
            <w:hideMark/>
          </w:tcPr>
          <w:p w14:paraId="45ED5BB1" w14:textId="77777777" w:rsidR="004A117C" w:rsidRPr="008C211B" w:rsidRDefault="004A117C" w:rsidP="00470E9B">
            <w:pPr>
              <w:jc w:val="center"/>
              <w:rPr>
                <w:color w:val="000000"/>
                <w:sz w:val="20"/>
                <w:szCs w:val="20"/>
                <w:lang w:eastAsia="sk-SK"/>
              </w:rPr>
            </w:pPr>
            <w:r w:rsidRPr="008C211B">
              <w:rPr>
                <w:color w:val="000000"/>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3DE37C54" w14:textId="77777777" w:rsidR="004A117C" w:rsidRPr="008C211B" w:rsidRDefault="004A117C" w:rsidP="00470E9B">
            <w:pPr>
              <w:jc w:val="center"/>
              <w:rPr>
                <w:color w:val="000000"/>
                <w:sz w:val="20"/>
                <w:szCs w:val="20"/>
                <w:lang w:eastAsia="sk-SK"/>
              </w:rPr>
            </w:pPr>
            <w:r w:rsidRPr="008C211B">
              <w:rPr>
                <w:color w:val="000000"/>
                <w:sz w:val="20"/>
                <w:szCs w:val="20"/>
                <w:lang w:eastAsia="sk-SK"/>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5B2572FD" w14:textId="77777777" w:rsidR="004A117C" w:rsidRPr="008C211B" w:rsidRDefault="004A117C" w:rsidP="00470E9B">
            <w:pPr>
              <w:jc w:val="center"/>
              <w:rPr>
                <w:color w:val="000000"/>
                <w:sz w:val="20"/>
                <w:szCs w:val="20"/>
                <w:lang w:eastAsia="sk-SK"/>
              </w:rPr>
            </w:pPr>
            <w:r w:rsidRPr="008C211B">
              <w:rPr>
                <w:color w:val="000000"/>
                <w:sz w:val="20"/>
                <w:szCs w:val="20"/>
                <w:lang w:eastAsia="sk-SK"/>
              </w:rPr>
              <w:t xml:space="preserve">vyberte  </w:t>
            </w:r>
          </w:p>
        </w:tc>
      </w:tr>
      <w:tr w:rsidR="004A117C" w:rsidRPr="008C211B" w14:paraId="7A3B6F66" w14:textId="77777777" w:rsidTr="00470E9B">
        <w:trPr>
          <w:gridAfter w:val="1"/>
          <w:wAfter w:w="1431"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995AAFD" w14:textId="77777777" w:rsidR="004A117C" w:rsidRPr="008C211B" w:rsidRDefault="004A117C" w:rsidP="00470E9B">
            <w:pPr>
              <w:jc w:val="center"/>
              <w:rPr>
                <w:color w:val="000000"/>
                <w:sz w:val="20"/>
                <w:szCs w:val="20"/>
                <w:lang w:eastAsia="sk-SK"/>
              </w:rPr>
            </w:pPr>
            <w:r w:rsidRPr="008C211B">
              <w:rPr>
                <w:color w:val="000000"/>
                <w:sz w:val="20"/>
                <w:szCs w:val="20"/>
                <w:lang w:eastAsia="sk-SK"/>
              </w:rPr>
              <w:t>5</w:t>
            </w:r>
          </w:p>
        </w:tc>
        <w:tc>
          <w:tcPr>
            <w:tcW w:w="1843" w:type="dxa"/>
            <w:tcBorders>
              <w:top w:val="nil"/>
              <w:left w:val="nil"/>
              <w:bottom w:val="single" w:sz="4" w:space="0" w:color="auto"/>
              <w:right w:val="single" w:sz="4" w:space="0" w:color="auto"/>
            </w:tcBorders>
            <w:shd w:val="clear" w:color="auto" w:fill="auto"/>
            <w:vAlign w:val="center"/>
            <w:hideMark/>
          </w:tcPr>
          <w:p w14:paraId="0DCD9809" w14:textId="77777777" w:rsidR="004A117C" w:rsidRPr="008C211B" w:rsidRDefault="004A117C" w:rsidP="00470E9B">
            <w:pPr>
              <w:jc w:val="center"/>
              <w:rPr>
                <w:color w:val="000000"/>
                <w:sz w:val="20"/>
                <w:szCs w:val="20"/>
                <w:lang w:eastAsia="sk-SK"/>
              </w:rPr>
            </w:pPr>
            <w:r w:rsidRPr="008C211B">
              <w:rPr>
                <w:color w:val="000000"/>
                <w:sz w:val="20"/>
                <w:szCs w:val="20"/>
                <w:lang w:eastAsia="sk-SK"/>
              </w:rPr>
              <w:t>0</w:t>
            </w:r>
          </w:p>
        </w:tc>
        <w:tc>
          <w:tcPr>
            <w:tcW w:w="1276" w:type="dxa"/>
            <w:tcBorders>
              <w:top w:val="nil"/>
              <w:left w:val="nil"/>
              <w:bottom w:val="single" w:sz="4" w:space="0" w:color="auto"/>
              <w:right w:val="single" w:sz="4" w:space="0" w:color="auto"/>
            </w:tcBorders>
            <w:shd w:val="clear" w:color="auto" w:fill="auto"/>
            <w:vAlign w:val="center"/>
            <w:hideMark/>
          </w:tcPr>
          <w:p w14:paraId="234E48DE" w14:textId="77777777" w:rsidR="004A117C" w:rsidRPr="008C211B" w:rsidRDefault="004A117C" w:rsidP="00470E9B">
            <w:pPr>
              <w:jc w:val="center"/>
              <w:rPr>
                <w:color w:val="000000"/>
                <w:sz w:val="20"/>
                <w:szCs w:val="20"/>
                <w:lang w:eastAsia="sk-SK"/>
              </w:rPr>
            </w:pPr>
            <w:r w:rsidRPr="008C211B">
              <w:rPr>
                <w:color w:val="000000"/>
                <w:sz w:val="20"/>
                <w:szCs w:val="20"/>
                <w:lang w:eastAsia="sk-SK"/>
              </w:rPr>
              <w:t>0</w:t>
            </w:r>
          </w:p>
        </w:tc>
        <w:tc>
          <w:tcPr>
            <w:tcW w:w="1134" w:type="dxa"/>
            <w:tcBorders>
              <w:top w:val="nil"/>
              <w:left w:val="nil"/>
              <w:bottom w:val="single" w:sz="4" w:space="0" w:color="auto"/>
              <w:right w:val="single" w:sz="4" w:space="0" w:color="auto"/>
            </w:tcBorders>
            <w:shd w:val="clear" w:color="auto" w:fill="auto"/>
            <w:vAlign w:val="center"/>
            <w:hideMark/>
          </w:tcPr>
          <w:p w14:paraId="0D4E3DF3" w14:textId="77777777" w:rsidR="004A117C" w:rsidRPr="008C211B" w:rsidRDefault="004A117C" w:rsidP="00470E9B">
            <w:pPr>
              <w:jc w:val="center"/>
              <w:rPr>
                <w:color w:val="000000"/>
                <w:sz w:val="20"/>
                <w:szCs w:val="20"/>
                <w:lang w:eastAsia="sk-SK"/>
              </w:rPr>
            </w:pPr>
            <w:r w:rsidRPr="008C211B">
              <w:rPr>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vAlign w:val="center"/>
            <w:hideMark/>
          </w:tcPr>
          <w:p w14:paraId="0DAB49D4" w14:textId="77777777" w:rsidR="004A117C" w:rsidRPr="008C211B" w:rsidRDefault="004A117C" w:rsidP="00470E9B">
            <w:pPr>
              <w:jc w:val="center"/>
              <w:rPr>
                <w:color w:val="000000"/>
                <w:sz w:val="20"/>
                <w:szCs w:val="20"/>
                <w:lang w:eastAsia="sk-SK"/>
              </w:rPr>
            </w:pPr>
            <w:r w:rsidRPr="008C211B">
              <w:rPr>
                <w:color w:val="000000"/>
                <w:sz w:val="20"/>
                <w:szCs w:val="20"/>
                <w:lang w:eastAsia="sk-SK"/>
              </w:rPr>
              <w:t xml:space="preserve">vyberte  </w:t>
            </w:r>
          </w:p>
        </w:tc>
        <w:tc>
          <w:tcPr>
            <w:tcW w:w="1134" w:type="dxa"/>
            <w:tcBorders>
              <w:top w:val="nil"/>
              <w:left w:val="nil"/>
              <w:bottom w:val="single" w:sz="4" w:space="0" w:color="auto"/>
              <w:right w:val="single" w:sz="4" w:space="0" w:color="auto"/>
            </w:tcBorders>
            <w:shd w:val="clear" w:color="auto" w:fill="auto"/>
            <w:vAlign w:val="center"/>
            <w:hideMark/>
          </w:tcPr>
          <w:p w14:paraId="7F3C067B" w14:textId="77777777" w:rsidR="004A117C" w:rsidRPr="008C211B" w:rsidRDefault="004A117C" w:rsidP="00470E9B">
            <w:pPr>
              <w:jc w:val="center"/>
              <w:rPr>
                <w:color w:val="000000"/>
                <w:sz w:val="20"/>
                <w:szCs w:val="20"/>
                <w:lang w:eastAsia="sk-SK"/>
              </w:rPr>
            </w:pPr>
            <w:r w:rsidRPr="008C211B">
              <w:rPr>
                <w:color w:val="000000"/>
                <w:sz w:val="20"/>
                <w:szCs w:val="20"/>
                <w:lang w:eastAsia="sk-SK"/>
              </w:rPr>
              <w:t>-</w:t>
            </w:r>
          </w:p>
        </w:tc>
        <w:tc>
          <w:tcPr>
            <w:tcW w:w="1418" w:type="dxa"/>
            <w:tcBorders>
              <w:top w:val="nil"/>
              <w:left w:val="nil"/>
              <w:bottom w:val="single" w:sz="4" w:space="0" w:color="auto"/>
              <w:right w:val="single" w:sz="4" w:space="0" w:color="auto"/>
            </w:tcBorders>
            <w:shd w:val="clear" w:color="auto" w:fill="auto"/>
            <w:vAlign w:val="center"/>
            <w:hideMark/>
          </w:tcPr>
          <w:p w14:paraId="3CD18CED" w14:textId="77777777" w:rsidR="004A117C" w:rsidRPr="008C211B" w:rsidRDefault="004A117C" w:rsidP="00470E9B">
            <w:pPr>
              <w:jc w:val="center"/>
              <w:rPr>
                <w:color w:val="000000"/>
                <w:sz w:val="20"/>
                <w:szCs w:val="20"/>
                <w:lang w:eastAsia="sk-SK"/>
              </w:rPr>
            </w:pPr>
            <w:r w:rsidRPr="008C211B">
              <w:rPr>
                <w:color w:val="000000"/>
                <w:sz w:val="20"/>
                <w:szCs w:val="20"/>
                <w:lang w:eastAsia="sk-SK"/>
              </w:rPr>
              <w:t>0</w:t>
            </w:r>
          </w:p>
        </w:tc>
        <w:tc>
          <w:tcPr>
            <w:tcW w:w="992" w:type="dxa"/>
            <w:tcBorders>
              <w:top w:val="nil"/>
              <w:left w:val="nil"/>
              <w:bottom w:val="single" w:sz="4" w:space="0" w:color="auto"/>
              <w:right w:val="single" w:sz="4" w:space="0" w:color="auto"/>
            </w:tcBorders>
            <w:shd w:val="clear" w:color="auto" w:fill="auto"/>
            <w:vAlign w:val="center"/>
            <w:hideMark/>
          </w:tcPr>
          <w:p w14:paraId="4E183DD5" w14:textId="77777777" w:rsidR="004A117C" w:rsidRPr="008C211B" w:rsidRDefault="004A117C" w:rsidP="00470E9B">
            <w:pPr>
              <w:rPr>
                <w:color w:val="000000"/>
                <w:sz w:val="20"/>
                <w:szCs w:val="20"/>
                <w:lang w:eastAsia="sk-SK"/>
              </w:rPr>
            </w:pPr>
            <w:r w:rsidRPr="008C211B">
              <w:rPr>
                <w:color w:val="000000"/>
                <w:sz w:val="20"/>
                <w:szCs w:val="20"/>
                <w:lang w:eastAsia="sk-SK"/>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1308F723" w14:textId="77777777" w:rsidR="004A117C" w:rsidRPr="008C211B" w:rsidRDefault="004A117C" w:rsidP="00470E9B">
            <w:pPr>
              <w:rPr>
                <w:color w:val="000000"/>
                <w:sz w:val="20"/>
                <w:szCs w:val="20"/>
                <w:lang w:eastAsia="sk-SK"/>
              </w:rPr>
            </w:pPr>
            <w:r w:rsidRPr="008C211B">
              <w:rPr>
                <w:color w:val="000000"/>
                <w:sz w:val="20"/>
                <w:szCs w:val="20"/>
                <w:lang w:eastAsia="sk-SK"/>
              </w:rPr>
              <w:t xml:space="preserve">                        -   </w:t>
            </w:r>
          </w:p>
        </w:tc>
        <w:tc>
          <w:tcPr>
            <w:tcW w:w="993" w:type="dxa"/>
            <w:tcBorders>
              <w:top w:val="nil"/>
              <w:left w:val="nil"/>
              <w:bottom w:val="single" w:sz="4" w:space="0" w:color="auto"/>
              <w:right w:val="single" w:sz="4" w:space="0" w:color="auto"/>
            </w:tcBorders>
            <w:shd w:val="clear" w:color="auto" w:fill="auto"/>
            <w:vAlign w:val="center"/>
            <w:hideMark/>
          </w:tcPr>
          <w:p w14:paraId="59FDBCA0" w14:textId="77777777" w:rsidR="004A117C" w:rsidRPr="008C211B" w:rsidRDefault="004A117C" w:rsidP="00470E9B">
            <w:pPr>
              <w:jc w:val="center"/>
              <w:rPr>
                <w:color w:val="000000"/>
                <w:sz w:val="20"/>
                <w:szCs w:val="20"/>
                <w:lang w:eastAsia="sk-SK"/>
              </w:rPr>
            </w:pPr>
            <w:r w:rsidRPr="008C211B">
              <w:rPr>
                <w:color w:val="000000"/>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763A27D4" w14:textId="77777777" w:rsidR="004A117C" w:rsidRPr="008C211B" w:rsidRDefault="004A117C" w:rsidP="00470E9B">
            <w:pPr>
              <w:jc w:val="center"/>
              <w:rPr>
                <w:color w:val="000000"/>
                <w:sz w:val="20"/>
                <w:szCs w:val="20"/>
                <w:lang w:eastAsia="sk-SK"/>
              </w:rPr>
            </w:pPr>
            <w:r w:rsidRPr="008C211B">
              <w:rPr>
                <w:color w:val="000000"/>
                <w:sz w:val="20"/>
                <w:szCs w:val="20"/>
                <w:lang w:eastAsia="sk-SK"/>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3016EAD3" w14:textId="77777777" w:rsidR="004A117C" w:rsidRPr="008C211B" w:rsidRDefault="004A117C" w:rsidP="00470E9B">
            <w:pPr>
              <w:jc w:val="center"/>
              <w:rPr>
                <w:color w:val="000000"/>
                <w:sz w:val="20"/>
                <w:szCs w:val="20"/>
                <w:lang w:eastAsia="sk-SK"/>
              </w:rPr>
            </w:pPr>
            <w:r w:rsidRPr="008C211B">
              <w:rPr>
                <w:color w:val="000000"/>
                <w:sz w:val="20"/>
                <w:szCs w:val="20"/>
                <w:lang w:eastAsia="sk-SK"/>
              </w:rPr>
              <w:t xml:space="preserve">vyberte  </w:t>
            </w:r>
          </w:p>
        </w:tc>
      </w:tr>
    </w:tbl>
    <w:p w14:paraId="552D9896" w14:textId="77777777" w:rsidR="004A117C" w:rsidRPr="00895898" w:rsidRDefault="004A117C" w:rsidP="004A117C">
      <w:pPr>
        <w:jc w:val="both"/>
        <w:rPr>
          <w:rFonts w:eastAsia="Calibri"/>
          <w:b/>
          <w:bCs/>
          <w:i/>
        </w:rPr>
        <w:sectPr w:rsidR="004A117C" w:rsidRPr="00895898" w:rsidSect="00142154">
          <w:pgSz w:w="16838" w:h="11906" w:orient="landscape"/>
          <w:pgMar w:top="1417" w:right="1417" w:bottom="1417" w:left="1417" w:header="708" w:footer="708" w:gutter="0"/>
          <w:cols w:space="708"/>
          <w:docGrid w:linePitch="360"/>
        </w:sectPr>
      </w:pPr>
    </w:p>
    <w:p w14:paraId="51438822" w14:textId="77777777" w:rsidR="004A117C" w:rsidRPr="001F1B43" w:rsidRDefault="004A117C" w:rsidP="004A117C">
      <w:pPr>
        <w:jc w:val="both"/>
        <w:rPr>
          <w:rFonts w:eastAsia="Calibri"/>
          <w:b/>
          <w:bCs/>
          <w:i/>
          <w:u w:val="single"/>
        </w:rPr>
      </w:pPr>
      <w:r w:rsidRPr="001F1B43">
        <w:rPr>
          <w:rFonts w:eastAsia="Calibri"/>
          <w:b/>
          <w:bCs/>
          <w:i/>
          <w:u w:val="single"/>
        </w:rPr>
        <w:lastRenderedPageBreak/>
        <w:t xml:space="preserve">Doplňujúce informácie k spôsobu výpočtu vplyvov jednotlivých regulácií na zmenu nákladov </w:t>
      </w:r>
    </w:p>
    <w:p w14:paraId="26CA71CB" w14:textId="77777777" w:rsidR="004A117C" w:rsidRPr="00D8247C" w:rsidRDefault="004A117C" w:rsidP="004A117C">
      <w:pPr>
        <w:jc w:val="both"/>
        <w:rPr>
          <w:rFonts w:eastAsia="Calibri"/>
          <w:bCs/>
          <w:i/>
          <w:iCs/>
          <w:color w:val="000000"/>
        </w:rPr>
      </w:pPr>
      <w:r w:rsidRPr="00D8247C">
        <w:rPr>
          <w:rFonts w:eastAsia="Calibri"/>
          <w:bCs/>
          <w:i/>
          <w:iCs/>
          <w:color w:val="000000"/>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Pr>
          <w:rFonts w:eastAsia="Calibri"/>
          <w:bCs/>
          <w:i/>
          <w:iCs/>
          <w:color w:val="000000"/>
        </w:rPr>
        <w:t xml:space="preserve"> </w:t>
      </w:r>
      <w:r w:rsidRPr="00A000DA">
        <w:rPr>
          <w:rFonts w:eastAsia="Calibri"/>
          <w:bCs/>
          <w:i/>
          <w:iCs/>
          <w:color w:val="000000"/>
        </w:rPr>
        <w:t>a poplatky, ktorých cieľom je znižovať negatívne externality</w:t>
      </w:r>
      <w:r w:rsidRPr="00D8247C">
        <w:rPr>
          <w:rFonts w:eastAsia="Calibri"/>
          <w:bCs/>
          <w:i/>
          <w:iCs/>
          <w:color w:val="000000"/>
        </w:rPr>
        <w:t xml:space="preserve">, B. </w:t>
      </w:r>
      <w:r>
        <w:rPr>
          <w:rFonts w:eastAsia="Calibri"/>
          <w:bCs/>
          <w:i/>
          <w:iCs/>
          <w:color w:val="000000"/>
        </w:rPr>
        <w:t>Iné p</w:t>
      </w:r>
      <w:r w:rsidRPr="00D8247C">
        <w:rPr>
          <w:rFonts w:eastAsia="Calibri"/>
          <w:bCs/>
          <w:i/>
          <w:iCs/>
          <w:color w:val="000000"/>
        </w:rPr>
        <w:t xml:space="preserve">oplatky, C. Nepriame finančné náklady, D. Administratívne náklady). Rozčleňte ich a vypočítajte v súlade s metodickým postupom. </w:t>
      </w:r>
    </w:p>
    <w:p w14:paraId="3F7C52BC" w14:textId="77777777" w:rsidR="004A117C" w:rsidRPr="00FC04ED" w:rsidRDefault="004A117C" w:rsidP="004A117C">
      <w:pPr>
        <w:jc w:val="both"/>
        <w:rPr>
          <w:rFonts w:eastAsia="Calibri"/>
          <w:u w:val="single"/>
        </w:rPr>
      </w:pPr>
      <w:r w:rsidRPr="00FC04ED">
        <w:rPr>
          <w:rFonts w:eastAsia="Calibri"/>
          <w:u w:val="single"/>
        </w:rPr>
        <w:t xml:space="preserve">Východiskom pre výpočet nákladov regulácie sú aktuálne  údaje o počte subjektov kolektívneho investovania, ktoré sú zahrnuté do § 4 ods. 2 písm. b) zákona o kolektívnom investovaní – ide o 19 registrovaných správcov alternatívnych investičných fondov a 9 samosprávnych alternatívnych investičných fondov, celkom 28 subjektov. U polovice z nich (14 subjektov) predpokladáme, že ich majetkové podiely a cenné papiere budú nadobúdať kvalifikovaní a neprofesionálni investori. Nakoľko sa subjektom kolektívneho investovania umožnením nadobúdania ich majetkových podielov a cenných papierov ďalšími kategóriami investorov popri profesionálnych investoroch rozširujú možnosti získavania kapitálu, dané opatrenie zároveň vedie k zníženiu nákladov na získavanie kapitálu skrátením obdobia nutného na získanie investorov, keďže kapitál bude možné naakumulovať rýchlejšie a vo väčšom objeme, teda subjekt kolektívneho investovania ušetrí administratívne náklady na pracovníkov, ktorých úlohou je propagácia a distribúcia majetkových účastí a cenných papierov dotknutého subjektu kolektívneho investovania. </w:t>
      </w:r>
    </w:p>
    <w:p w14:paraId="1F7ED5E8" w14:textId="77777777" w:rsidR="004A117C" w:rsidRPr="00FC04ED" w:rsidRDefault="004A117C" w:rsidP="004A117C">
      <w:pPr>
        <w:jc w:val="both"/>
        <w:rPr>
          <w:rFonts w:eastAsia="Calibri"/>
          <w:u w:val="single"/>
        </w:rPr>
      </w:pPr>
      <w:r w:rsidRPr="00FC04ED">
        <w:rPr>
          <w:rFonts w:eastAsia="Calibri"/>
          <w:u w:val="single"/>
        </w:rPr>
        <w:t>Zároveň rozšírením investorskej základne o kvalifikovaných a neprofesionálnych investorov vznikajú z dôvodu ochrany investorov povinnosti daným subjektom kolektívneho investovania informovať investorov o činnosti týc</w:t>
      </w:r>
      <w:r>
        <w:rPr>
          <w:rFonts w:eastAsia="Calibri"/>
          <w:u w:val="single"/>
        </w:rPr>
        <w:t>hto subjektov v širšom rozsahu.</w:t>
      </w:r>
    </w:p>
    <w:p w14:paraId="5FE0F66D" w14:textId="77777777" w:rsidR="004A117C" w:rsidRPr="00FC04ED" w:rsidRDefault="004A117C" w:rsidP="004A117C">
      <w:pPr>
        <w:jc w:val="both"/>
        <w:rPr>
          <w:rFonts w:eastAsia="Calibri"/>
          <w:u w:val="single"/>
        </w:rPr>
      </w:pPr>
      <w:r w:rsidRPr="00FC04ED">
        <w:rPr>
          <w:rFonts w:eastAsia="Calibri"/>
          <w:u w:val="single"/>
        </w:rPr>
        <w:t xml:space="preserve">Nižšie uvádzame odhad úspory nákladov z dôvodu rozšírenia investorskej základne (v bode A)  a odhad vzniknutých dodatočných nákladov z dôvodu rozšírených informačných povinností (v bode B).     </w:t>
      </w:r>
    </w:p>
    <w:p w14:paraId="545AA8EF" w14:textId="77777777" w:rsidR="004A117C" w:rsidRPr="00FC04ED" w:rsidRDefault="004A117C" w:rsidP="004A117C">
      <w:pPr>
        <w:jc w:val="both"/>
        <w:rPr>
          <w:rFonts w:eastAsia="Calibri"/>
          <w:u w:val="single"/>
        </w:rPr>
      </w:pPr>
      <w:r w:rsidRPr="00FC04ED">
        <w:rPr>
          <w:rFonts w:eastAsia="Calibri"/>
          <w:u w:val="single"/>
        </w:rPr>
        <w:t>A) odhad úspory nákladov</w:t>
      </w:r>
      <w:r>
        <w:rPr>
          <w:rFonts w:eastAsia="Calibri"/>
          <w:u w:val="single"/>
        </w:rPr>
        <w:t xml:space="preserve"> (zaokrúhlené číselné hodnoty)</w:t>
      </w:r>
    </w:p>
    <w:p w14:paraId="350FC3E6" w14:textId="77777777" w:rsidR="004A117C" w:rsidRPr="00FC04ED" w:rsidRDefault="004A117C" w:rsidP="004A117C">
      <w:pPr>
        <w:jc w:val="both"/>
        <w:rPr>
          <w:rFonts w:eastAsia="Calibri"/>
          <w:u w:val="single"/>
        </w:rPr>
      </w:pPr>
      <w:r w:rsidRPr="00FC04ED">
        <w:rPr>
          <w:rFonts w:eastAsia="Calibri"/>
          <w:u w:val="single"/>
        </w:rPr>
        <w:t xml:space="preserve">U 14 subjektov kolektívneho investovania predpokladáme úsporu na nákladoch na pracovníkoch vo výške 6000 Eur ročne, čo predstavuje 2000 Eur mesačne po dobu 3 mesiacov (približná doba potrebná na dostatočnú propagáciu daného subjektu s pozitívnou odozvou od potenciálneho investora, uvažujeme len s jednou propagáciou počas ľubovoľných 3 mesiacov v priebehu kalendárneho roka).                </w:t>
      </w:r>
    </w:p>
    <w:p w14:paraId="38DB17AF" w14:textId="77777777" w:rsidR="004A117C" w:rsidRPr="00FC04ED" w:rsidRDefault="004A117C" w:rsidP="004A117C">
      <w:pPr>
        <w:jc w:val="both"/>
        <w:rPr>
          <w:rFonts w:eastAsia="Calibri"/>
          <w:u w:val="single"/>
        </w:rPr>
      </w:pPr>
      <w:r w:rsidRPr="00FC04ED">
        <w:rPr>
          <w:rFonts w:eastAsia="Calibri"/>
          <w:u w:val="single"/>
        </w:rPr>
        <w:t xml:space="preserve"> Úsporu administratívnych nákladov vypočítame podľa vzorca:</w:t>
      </w:r>
    </w:p>
    <w:p w14:paraId="48287934" w14:textId="77777777" w:rsidR="004A117C" w:rsidRPr="00FC04ED" w:rsidRDefault="004A117C" w:rsidP="004A117C">
      <w:pPr>
        <w:jc w:val="both"/>
        <w:rPr>
          <w:rFonts w:eastAsia="Calibri"/>
          <w:u w:val="single"/>
        </w:rPr>
      </w:pPr>
      <w:r w:rsidRPr="00FC04ED">
        <w:rPr>
          <w:rFonts w:eastAsia="Calibri"/>
          <w:u w:val="single"/>
        </w:rPr>
        <w:t xml:space="preserve">Mesačný náklad na pracovníka (MN) * počet mesiacov potrebných na propagáciu fondu s pozitívnou odozvou od potenciálneho investora (M) = úspora administratívnych nákladov na jeden subjekt kolektívneho investovania (ÚAN)              </w:t>
      </w:r>
    </w:p>
    <w:p w14:paraId="53BE978E" w14:textId="77777777" w:rsidR="004A117C" w:rsidRPr="00FC04ED" w:rsidRDefault="004A117C" w:rsidP="004A117C">
      <w:pPr>
        <w:jc w:val="center"/>
        <w:rPr>
          <w:rFonts w:eastAsia="Calibri"/>
          <w:u w:val="single"/>
        </w:rPr>
      </w:pPr>
      <w:r w:rsidRPr="00FC04ED">
        <w:rPr>
          <w:rFonts w:eastAsia="Calibri"/>
          <w:u w:val="single"/>
        </w:rPr>
        <w:t xml:space="preserve">2000 * 3 = 6 000 Eur/na jeden subjekt ročne </w:t>
      </w:r>
    </w:p>
    <w:p w14:paraId="51C9105B" w14:textId="77777777" w:rsidR="004A117C" w:rsidRPr="00FC04ED" w:rsidRDefault="004A117C" w:rsidP="004A117C">
      <w:pPr>
        <w:jc w:val="both"/>
        <w:rPr>
          <w:rFonts w:eastAsia="Calibri"/>
          <w:u w:val="single"/>
        </w:rPr>
      </w:pPr>
      <w:r w:rsidRPr="00FC04ED">
        <w:rPr>
          <w:rFonts w:eastAsia="Calibri"/>
          <w:u w:val="single"/>
        </w:rPr>
        <w:t>Následne dostaneme celkovú úsporu administratívnych nákladov za všetky uvažované subjekty:</w:t>
      </w:r>
    </w:p>
    <w:p w14:paraId="298550DF" w14:textId="77777777" w:rsidR="004A117C" w:rsidRPr="00FC04ED" w:rsidRDefault="004A117C" w:rsidP="004A117C">
      <w:pPr>
        <w:jc w:val="both"/>
        <w:rPr>
          <w:rFonts w:eastAsia="Calibri"/>
          <w:u w:val="single"/>
        </w:rPr>
      </w:pPr>
      <w:r w:rsidRPr="00FC04ED">
        <w:rPr>
          <w:rFonts w:eastAsia="Calibri"/>
          <w:u w:val="single"/>
        </w:rPr>
        <w:t>Úspora administratívnych nákladov na jeden subjekt kolektívneho investovania * počet uvažovaných subjektov = celková úspora administratívnych nákladov spôsobená rozšírením investorskej základne</w:t>
      </w:r>
    </w:p>
    <w:p w14:paraId="7A7C3E5E" w14:textId="77777777" w:rsidR="004A117C" w:rsidRPr="00FC04ED" w:rsidRDefault="004A117C" w:rsidP="004A117C">
      <w:pPr>
        <w:jc w:val="center"/>
        <w:rPr>
          <w:rFonts w:eastAsia="Calibri"/>
          <w:u w:val="single"/>
        </w:rPr>
      </w:pPr>
      <w:r w:rsidRPr="00FC04ED">
        <w:rPr>
          <w:rFonts w:eastAsia="Calibri"/>
          <w:u w:val="single"/>
        </w:rPr>
        <w:t xml:space="preserve">UAN * 14 = 84 000 Eur/ročne </w:t>
      </w:r>
    </w:p>
    <w:p w14:paraId="0B71A7AB" w14:textId="77777777" w:rsidR="004A117C" w:rsidRPr="00FC04ED" w:rsidRDefault="004A117C" w:rsidP="004A117C">
      <w:pPr>
        <w:rPr>
          <w:rFonts w:eastAsia="Calibri"/>
          <w:u w:val="single"/>
        </w:rPr>
      </w:pPr>
    </w:p>
    <w:p w14:paraId="223A06FE" w14:textId="77777777" w:rsidR="004A117C" w:rsidRPr="00FC04ED" w:rsidRDefault="004A117C" w:rsidP="004A117C">
      <w:pPr>
        <w:ind w:left="567" w:hanging="567"/>
        <w:jc w:val="both"/>
        <w:rPr>
          <w:rFonts w:eastAsia="Calibri"/>
          <w:u w:val="single"/>
        </w:rPr>
      </w:pPr>
      <w:r w:rsidRPr="00FC04ED">
        <w:rPr>
          <w:rFonts w:eastAsia="Calibri"/>
          <w:u w:val="single"/>
        </w:rPr>
        <w:t>B) Odhad celkových dodatočných administratívnych nákladov</w:t>
      </w:r>
      <w:r>
        <w:rPr>
          <w:rFonts w:eastAsia="Calibri"/>
          <w:u w:val="single"/>
        </w:rPr>
        <w:t xml:space="preserve"> (zaokrúhlené číselné hodnoty)</w:t>
      </w:r>
    </w:p>
    <w:p w14:paraId="272AF6C5" w14:textId="77777777" w:rsidR="004A117C" w:rsidRPr="00FC04ED" w:rsidRDefault="004A117C" w:rsidP="004A117C">
      <w:pPr>
        <w:jc w:val="both"/>
        <w:rPr>
          <w:rFonts w:eastAsia="Calibri"/>
          <w:u w:val="single"/>
        </w:rPr>
      </w:pPr>
      <w:r w:rsidRPr="00FC04ED">
        <w:rPr>
          <w:rFonts w:eastAsia="Calibri"/>
          <w:u w:val="single"/>
        </w:rPr>
        <w:t xml:space="preserve">U dotknutých 14 subjektov kolektívneho investovania odhadujeme zvýšenie administratívnych nákladov z dôvodu poskytovania podrobnejších informácií investorom vo výške 1 000 Eur/ročne/na každý subjekt. Celkovo tak ročne pre daných 14 subjektov odhadujeme dodatočné náklady spojené s rozšírením informačných povinností vo výške 14000 Eur. </w:t>
      </w:r>
    </w:p>
    <w:p w14:paraId="3649BBC2" w14:textId="77777777" w:rsidR="004A117C" w:rsidRPr="00FC04ED" w:rsidRDefault="004A117C" w:rsidP="004A117C">
      <w:pPr>
        <w:rPr>
          <w:rFonts w:eastAsia="Calibri"/>
          <w:u w:val="single"/>
        </w:rPr>
      </w:pPr>
      <w:r w:rsidRPr="00FC04ED">
        <w:rPr>
          <w:rFonts w:eastAsia="Calibri"/>
          <w:u w:val="single"/>
        </w:rPr>
        <w:lastRenderedPageBreak/>
        <w:t>Dodatočné administratívne náklady vypočítame podľa vzorca:</w:t>
      </w:r>
    </w:p>
    <w:p w14:paraId="45B4D34C" w14:textId="77777777" w:rsidR="004A117C" w:rsidRPr="00FC04ED" w:rsidRDefault="004A117C" w:rsidP="004A117C">
      <w:pPr>
        <w:ind w:left="708"/>
        <w:rPr>
          <w:rFonts w:eastAsia="Calibri"/>
          <w:u w:val="single"/>
        </w:rPr>
      </w:pPr>
      <w:r w:rsidRPr="00FC04ED">
        <w:rPr>
          <w:rFonts w:eastAsia="Calibri"/>
          <w:u w:val="single"/>
        </w:rPr>
        <w:t xml:space="preserve">Odhadovaná výška dodatočných ročných administratívnych nákladov </w:t>
      </w:r>
    </w:p>
    <w:p w14:paraId="451AF1EF" w14:textId="77777777" w:rsidR="004A117C" w:rsidRPr="00FC04ED" w:rsidRDefault="004A117C" w:rsidP="004A117C">
      <w:pPr>
        <w:ind w:left="708"/>
        <w:rPr>
          <w:rFonts w:eastAsia="Calibri"/>
          <w:u w:val="single"/>
        </w:rPr>
      </w:pPr>
      <w:r w:rsidRPr="00FC04ED">
        <w:rPr>
          <w:rFonts w:eastAsia="Calibri"/>
          <w:u w:val="single"/>
        </w:rPr>
        <w:t xml:space="preserve">na jeden subjekt * počet subjektov = celkové dodatočné  administratívne náklady        </w:t>
      </w:r>
    </w:p>
    <w:p w14:paraId="35C04A2C" w14:textId="77777777" w:rsidR="004A117C" w:rsidRPr="00FC04ED" w:rsidRDefault="004A117C" w:rsidP="004A117C">
      <w:pPr>
        <w:rPr>
          <w:rFonts w:eastAsia="Calibri"/>
          <w:u w:val="single"/>
        </w:rPr>
      </w:pPr>
      <w:r w:rsidRPr="00FC04ED">
        <w:rPr>
          <w:rFonts w:eastAsia="Calibri"/>
          <w:u w:val="single"/>
        </w:rPr>
        <w:t xml:space="preserve">a teda:    1000 Eur * 14 subjektov = 14000 Eur/ročne za všetkých 14 subjektov </w:t>
      </w:r>
    </w:p>
    <w:p w14:paraId="2CEA467D" w14:textId="77777777" w:rsidR="004A117C" w:rsidRDefault="004A117C" w:rsidP="004A117C">
      <w:pPr>
        <w:rPr>
          <w:rFonts w:eastAsia="Calibri"/>
          <w:i/>
        </w:rPr>
      </w:pPr>
    </w:p>
    <w:p w14:paraId="329EEE58" w14:textId="77777777" w:rsidR="004A117C" w:rsidRPr="00D8247C" w:rsidRDefault="004A117C" w:rsidP="004A117C">
      <w:pPr>
        <w:rPr>
          <w:rFonts w:eastAsia="Calibri"/>
          <w:i/>
        </w:rPr>
      </w:pPr>
    </w:p>
    <w:p w14:paraId="162A8402" w14:textId="77777777" w:rsidR="004A117C" w:rsidRPr="001F1B43" w:rsidRDefault="004A117C" w:rsidP="004A117C">
      <w:pPr>
        <w:jc w:val="both"/>
        <w:rPr>
          <w:rFonts w:eastAsia="Calibri"/>
          <w:b/>
        </w:rPr>
      </w:pPr>
      <w:r w:rsidRPr="001F1B43">
        <w:rPr>
          <w:rFonts w:eastAsia="Calibri"/>
          <w:b/>
        </w:rPr>
        <w:t>3.2 Vyhodnotenie konzultácií s podnikateľskými subjektmi pred predbežným pripomienkovým konaním</w:t>
      </w:r>
    </w:p>
    <w:p w14:paraId="7816F2A0" w14:textId="77777777" w:rsidR="004A117C" w:rsidRPr="00FC04ED" w:rsidRDefault="004A117C" w:rsidP="004A117C">
      <w:pPr>
        <w:jc w:val="both"/>
        <w:rPr>
          <w:rFonts w:eastAsia="Calibri"/>
          <w:u w:val="single"/>
        </w:rPr>
      </w:pPr>
      <w:r w:rsidRPr="00FC04ED">
        <w:rPr>
          <w:rFonts w:eastAsia="Calibri"/>
          <w:u w:val="single"/>
        </w:rPr>
        <w:t xml:space="preserve">Konzultácie sa uskutočnili s Národnou bankou Slovenska v priebehu mesiacov august a september 2021 na základe iniciatívy Ministerstva hospodárstva Slovenskej republiky vyplývajúcej z balíka opatrení na podporu podnikania, tzv. kilečko 2.0. Predmetom konzultácií bolo prediskutovanie možnosti nadobúdania majetkových podielov v tuzemských subjektoch kolektívneho investovania s právnou subjektivitou kvalifikovaným a neprofesionálnym investorom. </w:t>
      </w:r>
    </w:p>
    <w:p w14:paraId="2366E348" w14:textId="77777777" w:rsidR="004A117C" w:rsidRPr="00FC04ED" w:rsidRDefault="004A117C" w:rsidP="004A117C">
      <w:pPr>
        <w:jc w:val="both"/>
        <w:rPr>
          <w:rFonts w:eastAsia="Calibri"/>
          <w:u w:val="single"/>
        </w:rPr>
      </w:pPr>
    </w:p>
    <w:p w14:paraId="3D29FE13" w14:textId="77777777" w:rsidR="004A117C" w:rsidRPr="00FC04ED" w:rsidRDefault="004A117C" w:rsidP="004A117C">
      <w:pPr>
        <w:jc w:val="both"/>
        <w:rPr>
          <w:rFonts w:eastAsia="Calibri"/>
          <w:u w:val="single"/>
        </w:rPr>
      </w:pPr>
      <w:r w:rsidRPr="00FC04ED">
        <w:rPr>
          <w:rFonts w:eastAsia="Calibri"/>
          <w:u w:val="single"/>
        </w:rPr>
        <w:t xml:space="preserve">Ku kľúčovým bodom patrilo vymedzenie kvalifikovaných a neprofesionálnych investorov, výška ich minimálnej investície, ich celkový počet a ochrana investorov z hľadiska zabezpečenia dostatočného rozsahu informácií o činnosti daných fondov. Záverom je, že majetkové účasti a cenné papiere v dotknutých subjektoch kolektívneho investovania môže nadobúdať maximálne 50 kvalifikovaných a neprofesionálnych investorov pri minimálnej investícii 100 000 Eur u kvalifikovaného investora a neprofesionálny investor musí prejsť testom vhodnosti, ktorý vykoná obchodník s cennými papiermi na nezávislom základe. </w:t>
      </w:r>
    </w:p>
    <w:p w14:paraId="0F04EC3B" w14:textId="77777777" w:rsidR="004A117C" w:rsidRPr="00FC04ED" w:rsidRDefault="004A117C" w:rsidP="004A117C">
      <w:pPr>
        <w:jc w:val="both"/>
        <w:rPr>
          <w:rFonts w:eastAsia="Calibri"/>
          <w:u w:val="single"/>
        </w:rPr>
      </w:pPr>
    </w:p>
    <w:p w14:paraId="4AE7584B" w14:textId="77777777" w:rsidR="004A117C" w:rsidRPr="00FC04ED" w:rsidRDefault="004A117C" w:rsidP="004A117C">
      <w:pPr>
        <w:jc w:val="both"/>
        <w:rPr>
          <w:rFonts w:eastAsia="Calibri"/>
          <w:u w:val="single"/>
        </w:rPr>
      </w:pPr>
      <w:r w:rsidRPr="00FC04ED">
        <w:rPr>
          <w:rFonts w:eastAsia="Calibri"/>
          <w:u w:val="single"/>
        </w:rPr>
        <w:t xml:space="preserve">Alternatívne sa diskutovalo o požiadavke predložiť písomné vyhlásenie zo strany investora, že si je vedomý všetkých rizík súvisiacich s investíciou. Tento návrh nebol akceptovaný z dôvodu, že výrazne znižuje ochranu investora v prípade významných strát investície z dôvodu neodborného prístupu pri spravovaní subjektu kolektívneho investovania.                                          </w:t>
      </w:r>
    </w:p>
    <w:p w14:paraId="28330C51" w14:textId="77777777" w:rsidR="004A117C" w:rsidRPr="00FC04ED" w:rsidRDefault="004A117C" w:rsidP="004A117C">
      <w:pPr>
        <w:jc w:val="both"/>
        <w:rPr>
          <w:rFonts w:eastAsia="Calibri"/>
          <w:u w:val="single"/>
        </w:rPr>
      </w:pPr>
    </w:p>
    <w:p w14:paraId="496C3573" w14:textId="77777777" w:rsidR="004A117C" w:rsidRPr="00D8247C" w:rsidRDefault="004A117C" w:rsidP="004A117C">
      <w:pPr>
        <w:jc w:val="both"/>
        <w:rPr>
          <w:rFonts w:eastAsia="Calibri"/>
          <w:i/>
        </w:rPr>
      </w:pPr>
      <w:r w:rsidRPr="00D8247C">
        <w:rPr>
          <w:rFonts w:eastAsia="Calibri"/>
          <w:i/>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74B5531" w14:textId="77777777" w:rsidR="004A117C" w:rsidRPr="00D8247C" w:rsidRDefault="004A117C" w:rsidP="004A117C">
      <w:pPr>
        <w:jc w:val="both"/>
        <w:rPr>
          <w:rFonts w:eastAsia="Calibri"/>
          <w:i/>
        </w:rPr>
      </w:pPr>
      <w:r w:rsidRPr="00D8247C">
        <w:rPr>
          <w:rFonts w:eastAsia="Calibri"/>
          <w:i/>
        </w:rPr>
        <w:t xml:space="preserve">Uveďte hlavné body konzultácií a ich závery. </w:t>
      </w:r>
    </w:p>
    <w:p w14:paraId="00101F88" w14:textId="77777777" w:rsidR="004A117C" w:rsidRPr="00D8247C" w:rsidRDefault="004A117C" w:rsidP="004A117C">
      <w:pPr>
        <w:jc w:val="both"/>
        <w:rPr>
          <w:rFonts w:eastAsia="Calibri"/>
          <w:i/>
        </w:rPr>
      </w:pPr>
      <w:r w:rsidRPr="00D8247C">
        <w:rPr>
          <w:rFonts w:eastAsia="Calibri"/>
          <w:i/>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5965903" w14:textId="77777777" w:rsidR="004A117C" w:rsidRPr="00D8247C" w:rsidRDefault="004A117C" w:rsidP="004A117C">
      <w:pPr>
        <w:jc w:val="both"/>
        <w:rPr>
          <w:rFonts w:eastAsia="Calibri"/>
          <w:i/>
        </w:rPr>
      </w:pPr>
      <w:r w:rsidRPr="00D8247C">
        <w:rPr>
          <w:rFonts w:eastAsia="Calibri"/>
          <w:i/>
        </w:rPr>
        <w:t xml:space="preserve">Alternatívne namiesto vypĺňania bodu 3.2 môžete uviesť ako samostatnú prílohu tejto analýzy Záznam z konzultácií obsahujúci požadované informácie. </w:t>
      </w:r>
    </w:p>
    <w:p w14:paraId="73E168D5" w14:textId="77777777" w:rsidR="004A117C" w:rsidRPr="00D8247C" w:rsidRDefault="004A117C" w:rsidP="004A117C">
      <w:pPr>
        <w:jc w:val="both"/>
        <w:rPr>
          <w:rFonts w:eastAsia="Calibri"/>
          <w:i/>
        </w:rPr>
      </w:pPr>
    </w:p>
    <w:p w14:paraId="297FA956" w14:textId="77777777" w:rsidR="004A117C" w:rsidRPr="00D8247C" w:rsidRDefault="004A117C" w:rsidP="004A117C">
      <w:pPr>
        <w:jc w:val="both"/>
        <w:rPr>
          <w:rFonts w:eastAsia="Calibri"/>
          <w:i/>
        </w:rPr>
      </w:pPr>
    </w:p>
    <w:p w14:paraId="2190168B" w14:textId="77777777" w:rsidR="004A117C" w:rsidRPr="001F1B43" w:rsidRDefault="004A117C" w:rsidP="004A117C">
      <w:pPr>
        <w:jc w:val="both"/>
        <w:rPr>
          <w:rFonts w:eastAsia="Calibri"/>
          <w:b/>
        </w:rPr>
      </w:pPr>
      <w:bookmarkStart w:id="0" w:name="_Hlk47698091"/>
      <w:r w:rsidRPr="001F1B43">
        <w:rPr>
          <w:rFonts w:eastAsia="Calibri"/>
          <w:b/>
        </w:rPr>
        <w:t>3.3 Vplyvy na konkurencieschopnosť a produktivitu</w:t>
      </w:r>
    </w:p>
    <w:bookmarkEnd w:id="0"/>
    <w:p w14:paraId="2FBDA538" w14:textId="77777777" w:rsidR="004A117C" w:rsidRPr="00FC04ED" w:rsidRDefault="004A117C" w:rsidP="004A117C">
      <w:pPr>
        <w:jc w:val="both"/>
        <w:rPr>
          <w:rFonts w:eastAsia="Calibri"/>
          <w:u w:val="single"/>
        </w:rPr>
      </w:pPr>
      <w:r w:rsidRPr="00FC04ED">
        <w:rPr>
          <w:rFonts w:eastAsia="Calibri"/>
          <w:u w:val="single"/>
        </w:rPr>
        <w:t xml:space="preserve">Daný návrh má potenciál prispieť k uľahčeniu získavania kapitálu tuzemskými fondami kolektívneho investovania s právnou subjektivitou od kvalifikovaných a neprofesionálnych investorov, čo následne prispeje k nárastu investícií do reálnej ekonomiky. </w:t>
      </w:r>
    </w:p>
    <w:p w14:paraId="19781D34" w14:textId="77777777" w:rsidR="004A117C" w:rsidRPr="00FC04ED" w:rsidRDefault="004A117C" w:rsidP="004A117C">
      <w:pPr>
        <w:jc w:val="both"/>
        <w:rPr>
          <w:rFonts w:eastAsia="Calibri"/>
          <w:u w:val="single"/>
        </w:rPr>
      </w:pPr>
    </w:p>
    <w:p w14:paraId="30050EC9" w14:textId="77777777" w:rsidR="004A117C" w:rsidRPr="00FC04ED" w:rsidRDefault="004A117C" w:rsidP="004A117C">
      <w:pPr>
        <w:jc w:val="both"/>
        <w:rPr>
          <w:rFonts w:eastAsia="Calibri"/>
          <w:u w:val="single"/>
        </w:rPr>
      </w:pPr>
      <w:r w:rsidRPr="00FC04ED">
        <w:rPr>
          <w:rFonts w:eastAsia="Calibri"/>
          <w:u w:val="single"/>
        </w:rPr>
        <w:t xml:space="preserve">Návrhom sa nevytvárajú žiadne prekážky či už na strane subjektov kolektívneho investovania alebo na strane investorov. Rozsah práv a povinností pre každú kategóriu investorov určuje zákon o kolektívnom investovaní rovnako, taktiež súčasné znenie zákona o kolektívnom investovaní priamo zakazuje nerovnaký prístup k investorom.     </w:t>
      </w:r>
    </w:p>
    <w:p w14:paraId="4D150604" w14:textId="77777777" w:rsidR="004A117C" w:rsidRPr="00FC04ED" w:rsidRDefault="004A117C" w:rsidP="004A117C">
      <w:pPr>
        <w:jc w:val="both"/>
        <w:rPr>
          <w:rFonts w:eastAsia="Calibri"/>
          <w:u w:val="single"/>
        </w:rPr>
      </w:pPr>
    </w:p>
    <w:p w14:paraId="3A94AEDB" w14:textId="77777777" w:rsidR="004A117C" w:rsidRPr="00FC04ED" w:rsidRDefault="004A117C" w:rsidP="004A117C">
      <w:pPr>
        <w:jc w:val="both"/>
        <w:rPr>
          <w:rFonts w:eastAsia="Calibri"/>
          <w:u w:val="single"/>
        </w:rPr>
      </w:pPr>
      <w:r w:rsidRPr="00FC04ED">
        <w:rPr>
          <w:rFonts w:eastAsia="Calibri"/>
          <w:u w:val="single"/>
        </w:rPr>
        <w:lastRenderedPageBreak/>
        <w:t>Predmetným návrhom sa vytvárajú vhodnejšie podmienky na zabezpečenie dostupnosti kapitálu, ktorý následne subjekty kolektívneho investovania alokujú do reálnej ekonomiky. Investori sa tak podieľajú na dosiahnutých výsledkoch daného subjektu kolektívneho investovania.</w:t>
      </w:r>
    </w:p>
    <w:p w14:paraId="7504D482" w14:textId="77777777" w:rsidR="004A117C" w:rsidRPr="00FC04ED" w:rsidRDefault="004A117C" w:rsidP="004A117C">
      <w:pPr>
        <w:jc w:val="both"/>
        <w:rPr>
          <w:rFonts w:eastAsia="Calibri"/>
          <w:u w:val="single"/>
        </w:rPr>
      </w:pPr>
      <w:r w:rsidRPr="00FC04ED">
        <w:rPr>
          <w:rFonts w:eastAsia="Calibri"/>
          <w:u w:val="single"/>
        </w:rPr>
        <w:t xml:space="preserve">Inovácie, veda a výskum daným návrhom nie sú priamo ovplyvnené, avšak dané subjekty kolektívneho investovania môžu investovať aj do oblasti inovácií, vedy a výskumu, pokiaľ to bude v súlade s ich investičnou politikou. </w:t>
      </w:r>
    </w:p>
    <w:p w14:paraId="55596DF8" w14:textId="77777777" w:rsidR="004A117C" w:rsidRPr="00FC04ED" w:rsidRDefault="004A117C" w:rsidP="004A117C">
      <w:pPr>
        <w:jc w:val="both"/>
        <w:rPr>
          <w:rFonts w:eastAsia="Calibri"/>
          <w:color w:val="0070C0"/>
        </w:rPr>
      </w:pPr>
      <w:r w:rsidRPr="00FC04ED">
        <w:rPr>
          <w:rFonts w:eastAsia="Calibri"/>
          <w:u w:val="single"/>
        </w:rPr>
        <w:t>Dôležitosť tohto návrhu je najmä v rozšírení investorskej základne a rýchlejšiemu prístupu ku kapitálu. Tým daný návrh prispieva k zlepšeniu podnikateľského prostredia, avšak vzhľadom na počet týchto subjektov kolektívneho investovania nie je možné očakávať zásadné zmeny v podnikateľskom prostredí výlučne vďaka tomuto návrhu.</w:t>
      </w:r>
      <w:r w:rsidRPr="00FC04ED">
        <w:rPr>
          <w:rFonts w:eastAsia="Calibri"/>
        </w:rPr>
        <w:t xml:space="preserve">     </w:t>
      </w:r>
    </w:p>
    <w:p w14:paraId="62DCAEEA" w14:textId="77777777" w:rsidR="004A117C" w:rsidRPr="008F0AD7" w:rsidRDefault="004A117C" w:rsidP="004A117C">
      <w:pPr>
        <w:jc w:val="both"/>
        <w:rPr>
          <w:rFonts w:eastAsia="Calibri"/>
          <w:i/>
          <w:color w:val="0070C0"/>
        </w:rPr>
      </w:pPr>
    </w:p>
    <w:p w14:paraId="472F2F75" w14:textId="77777777" w:rsidR="004A117C" w:rsidRPr="00D8247C" w:rsidRDefault="004A117C" w:rsidP="004A117C">
      <w:pPr>
        <w:jc w:val="both"/>
        <w:rPr>
          <w:rFonts w:eastAsia="Calibri"/>
          <w:i/>
        </w:rPr>
      </w:pPr>
      <w:r w:rsidRPr="00D8247C">
        <w:rPr>
          <w:rFonts w:eastAsia="Calibri"/>
          <w:i/>
        </w:rPr>
        <w:t xml:space="preserve">Dochádza k vytvoreniu resp. k zmene bariér na trhu? </w:t>
      </w:r>
    </w:p>
    <w:p w14:paraId="783C7D48" w14:textId="77777777" w:rsidR="004A117C" w:rsidRPr="00D8247C" w:rsidRDefault="004A117C" w:rsidP="004A117C">
      <w:pPr>
        <w:jc w:val="both"/>
        <w:rPr>
          <w:rFonts w:eastAsia="Calibri"/>
          <w:i/>
        </w:rPr>
      </w:pPr>
      <w:r w:rsidRPr="00D8247C">
        <w:rPr>
          <w:rFonts w:eastAsia="Calibri"/>
          <w:i/>
        </w:rPr>
        <w:t xml:space="preserve">Bude sa s niektorými podnikmi alebo produktmi zaobchádzať v porovnateľnej situácii rôzne (napr. špeciálne režimy pre mikro, malé a stredné podniky tzv. MSP)? </w:t>
      </w:r>
    </w:p>
    <w:p w14:paraId="439F34EF" w14:textId="77777777" w:rsidR="004A117C" w:rsidRPr="00D8247C" w:rsidRDefault="004A117C" w:rsidP="004A117C">
      <w:pPr>
        <w:jc w:val="both"/>
        <w:rPr>
          <w:rFonts w:eastAsia="Calibri"/>
          <w:i/>
        </w:rPr>
      </w:pPr>
      <w:r w:rsidRPr="00D8247C">
        <w:rPr>
          <w:rFonts w:eastAsia="Calibri"/>
          <w:i/>
        </w:rPr>
        <w:t xml:space="preserve">Ovplyvňuje zmena regulácie cezhraničné investície (príliv/odliv zahraničných investícií resp. uplatnenie slovenských podnikov na zahraničných trhoch)? </w:t>
      </w:r>
    </w:p>
    <w:p w14:paraId="4DBE7F61" w14:textId="77777777" w:rsidR="004A117C" w:rsidRDefault="004A117C" w:rsidP="004A117C">
      <w:pPr>
        <w:jc w:val="both"/>
        <w:rPr>
          <w:rFonts w:eastAsia="Calibri"/>
          <w:i/>
        </w:rPr>
      </w:pPr>
      <w:r w:rsidRPr="00D8247C">
        <w:rPr>
          <w:rFonts w:eastAsia="Calibri"/>
          <w:i/>
        </w:rPr>
        <w:t xml:space="preserve">Ovplyvní dostupnosť základných zdrojov (financie, pracovná sila, suroviny, mechanizmy, energie atď.)? </w:t>
      </w:r>
    </w:p>
    <w:p w14:paraId="20297BD0" w14:textId="77777777" w:rsidR="004A117C" w:rsidRPr="00D8247C" w:rsidRDefault="004A117C" w:rsidP="004A117C">
      <w:pPr>
        <w:jc w:val="both"/>
        <w:rPr>
          <w:rFonts w:eastAsia="Calibri"/>
          <w:i/>
        </w:rPr>
      </w:pPr>
      <w:r>
        <w:rPr>
          <w:rFonts w:eastAsia="Calibri"/>
          <w:i/>
        </w:rPr>
        <w:t>Ovplyvňuje zmena regulácie inovácie, vedu a výskum?</w:t>
      </w:r>
    </w:p>
    <w:p w14:paraId="727FB0A7" w14:textId="77777777" w:rsidR="004A117C" w:rsidRPr="00D8247C" w:rsidRDefault="004A117C" w:rsidP="004A117C">
      <w:pPr>
        <w:jc w:val="both"/>
        <w:rPr>
          <w:rFonts w:eastAsia="Calibri"/>
          <w:i/>
        </w:rPr>
      </w:pPr>
      <w:r w:rsidRPr="00D8247C">
        <w:rPr>
          <w:rFonts w:eastAsia="Calibri"/>
          <w:i/>
          <w:iCs/>
        </w:rPr>
        <w:t>Ako prispieva zmena regulácie k cieľu Slovenska mať najlepšie podnikateľské prostredie spomedzi susediacich krajín EÚ?</w:t>
      </w:r>
    </w:p>
    <w:p w14:paraId="27A8EB8F" w14:textId="77777777" w:rsidR="004A117C" w:rsidRPr="00D8247C" w:rsidRDefault="004A117C" w:rsidP="004A117C">
      <w:pPr>
        <w:jc w:val="both"/>
        <w:rPr>
          <w:rFonts w:eastAsia="Calibri"/>
          <w:i/>
        </w:rPr>
      </w:pPr>
    </w:p>
    <w:p w14:paraId="16618E37" w14:textId="77777777" w:rsidR="004A117C" w:rsidRPr="00D8247C" w:rsidRDefault="004A117C" w:rsidP="004A117C">
      <w:pPr>
        <w:jc w:val="both"/>
        <w:rPr>
          <w:rFonts w:eastAsia="Calibri"/>
          <w:b/>
          <w:i/>
        </w:rPr>
      </w:pPr>
      <w:r w:rsidRPr="00D8247C">
        <w:rPr>
          <w:rFonts w:eastAsia="Calibri"/>
          <w:b/>
          <w:i/>
        </w:rPr>
        <w:t>Konkurencieschopnosť:</w:t>
      </w:r>
    </w:p>
    <w:p w14:paraId="37998F79" w14:textId="77777777" w:rsidR="004A117C" w:rsidRPr="00D8247C" w:rsidRDefault="004A117C" w:rsidP="004A117C">
      <w:pPr>
        <w:jc w:val="both"/>
        <w:rPr>
          <w:rFonts w:eastAsia="Calibri"/>
          <w:i/>
        </w:rPr>
      </w:pPr>
      <w:r w:rsidRPr="00D8247C">
        <w:rPr>
          <w:rFonts w:eastAsia="Calibri"/>
          <w:i/>
        </w:rPr>
        <w:t>Na základe uvedených odpovedí zaškrtnite a popíšte, či materiál konkurencieschopnosť:</w:t>
      </w:r>
    </w:p>
    <w:p w14:paraId="1921F757" w14:textId="77777777" w:rsidR="004A117C" w:rsidRPr="00D8247C" w:rsidRDefault="00081867" w:rsidP="004A117C">
      <w:pPr>
        <w:jc w:val="both"/>
        <w:rPr>
          <w:rFonts w:eastAsia="Calibri"/>
          <w:i/>
        </w:rPr>
      </w:pPr>
      <w:sdt>
        <w:sdtPr>
          <w:rPr>
            <w:rFonts w:eastAsia="Calibri"/>
            <w:i/>
          </w:rPr>
          <w:id w:val="798576880"/>
        </w:sdtPr>
        <w:sdtEndPr/>
        <w:sdtContent>
          <w:sdt>
            <w:sdtPr>
              <w:rPr>
                <w:rFonts w:eastAsia="Calibri"/>
                <w:i/>
              </w:rPr>
              <w:id w:val="1729873660"/>
            </w:sdtPr>
            <w:sdtEndPr/>
            <w:sdtContent>
              <w:r w:rsidR="004A117C" w:rsidRPr="00FC04ED">
                <w:rPr>
                  <w:rFonts w:ascii="Segoe UI Symbol" w:eastAsia="Calibri" w:hAnsi="Segoe UI Symbol" w:cs="Segoe UI Symbol"/>
                  <w:i/>
                </w:rPr>
                <w:t>x</w:t>
              </w:r>
            </w:sdtContent>
          </w:sdt>
        </w:sdtContent>
      </w:sdt>
      <w:r w:rsidR="004A117C" w:rsidRPr="00D8247C">
        <w:rPr>
          <w:rFonts w:eastAsia="Calibri"/>
          <w:i/>
        </w:rPr>
        <w:t xml:space="preserve"> zvyšuje  </w:t>
      </w:r>
      <w:r w:rsidR="004A117C" w:rsidRPr="00D8247C">
        <w:rPr>
          <w:rFonts w:eastAsia="Calibri"/>
          <w:i/>
        </w:rPr>
        <w:tab/>
      </w:r>
      <w:sdt>
        <w:sdtPr>
          <w:rPr>
            <w:rFonts w:eastAsia="Calibri"/>
            <w:i/>
          </w:rPr>
          <w:id w:val="410579887"/>
        </w:sdtPr>
        <w:sdtEndPr/>
        <w:sdtContent>
          <w:sdt>
            <w:sdtPr>
              <w:rPr>
                <w:rFonts w:eastAsia="Calibri"/>
                <w:i/>
              </w:rPr>
              <w:id w:val="-80300261"/>
            </w:sdtPr>
            <w:sdtEndPr/>
            <w:sdtContent>
              <w:r w:rsidR="004A117C" w:rsidRPr="00D8247C">
                <w:rPr>
                  <w:rFonts w:ascii="Segoe UI Symbol" w:eastAsia="Calibri" w:hAnsi="Segoe UI Symbol" w:cs="Segoe UI Symbol"/>
                  <w:i/>
                </w:rPr>
                <w:t>☐</w:t>
              </w:r>
            </w:sdtContent>
          </w:sdt>
        </w:sdtContent>
      </w:sdt>
      <w:r w:rsidR="004A117C" w:rsidRPr="00D8247C">
        <w:rPr>
          <w:rFonts w:eastAsia="Calibri"/>
          <w:i/>
        </w:rPr>
        <w:t xml:space="preserve"> nemení</w:t>
      </w:r>
      <w:r w:rsidR="004A117C" w:rsidRPr="00D8247C">
        <w:rPr>
          <w:rFonts w:eastAsia="Calibri"/>
          <w:i/>
        </w:rPr>
        <w:tab/>
      </w:r>
      <w:sdt>
        <w:sdtPr>
          <w:rPr>
            <w:rFonts w:eastAsia="Calibri"/>
            <w:i/>
          </w:rPr>
          <w:id w:val="-474604883"/>
        </w:sdtPr>
        <w:sdtEndPr/>
        <w:sdtContent>
          <w:sdt>
            <w:sdtPr>
              <w:rPr>
                <w:rFonts w:eastAsia="Calibri"/>
                <w:i/>
              </w:rPr>
              <w:id w:val="-1706551548"/>
            </w:sdtPr>
            <w:sdtEndPr/>
            <w:sdtContent>
              <w:r w:rsidR="004A117C" w:rsidRPr="00D8247C">
                <w:rPr>
                  <w:rFonts w:ascii="Segoe UI Symbol" w:eastAsia="Calibri" w:hAnsi="Segoe UI Symbol" w:cs="Segoe UI Symbol"/>
                  <w:i/>
                </w:rPr>
                <w:t>☐</w:t>
              </w:r>
            </w:sdtContent>
          </w:sdt>
        </w:sdtContent>
      </w:sdt>
      <w:r w:rsidR="004A117C" w:rsidRPr="00D8247C">
        <w:rPr>
          <w:rFonts w:eastAsia="Calibri"/>
          <w:i/>
        </w:rPr>
        <w:t xml:space="preserve"> znižuje</w:t>
      </w:r>
    </w:p>
    <w:p w14:paraId="471A8B0A" w14:textId="77777777" w:rsidR="004A117C" w:rsidRPr="00D8247C" w:rsidRDefault="004A117C" w:rsidP="004A117C">
      <w:pPr>
        <w:jc w:val="both"/>
        <w:rPr>
          <w:rFonts w:eastAsia="Calibri"/>
          <w:i/>
        </w:rPr>
      </w:pPr>
    </w:p>
    <w:p w14:paraId="6054CE94" w14:textId="77777777" w:rsidR="004A117C" w:rsidRPr="00FC04ED" w:rsidRDefault="004A117C" w:rsidP="004A117C">
      <w:pPr>
        <w:jc w:val="both"/>
        <w:rPr>
          <w:rFonts w:eastAsia="Calibri"/>
          <w:u w:val="single"/>
        </w:rPr>
      </w:pPr>
      <w:r w:rsidRPr="00FC04ED">
        <w:rPr>
          <w:rFonts w:eastAsia="Calibri"/>
          <w:u w:val="single"/>
        </w:rPr>
        <w:t xml:space="preserve">Rozšírením investorskej základne vznikne prostredie, kde sa o investorov budú môcť uchádzať všetky dotknuté subjekty kolektívneho investovania. Konkurencia sa teda prejaví nielen pri prvotnom oslovovaní investorov, ale následne aj pri zameraní investícií dotknutých subjektov kolektívneho investovania.    </w:t>
      </w:r>
    </w:p>
    <w:p w14:paraId="3085FCB3" w14:textId="77777777" w:rsidR="004A117C" w:rsidRDefault="004A117C" w:rsidP="004A117C">
      <w:pPr>
        <w:jc w:val="both"/>
        <w:rPr>
          <w:rFonts w:eastAsia="Calibri"/>
          <w:b/>
          <w:i/>
        </w:rPr>
      </w:pPr>
    </w:p>
    <w:p w14:paraId="1F3C3F50" w14:textId="77777777" w:rsidR="004A117C" w:rsidRDefault="004A117C" w:rsidP="004A117C">
      <w:pPr>
        <w:jc w:val="both"/>
        <w:rPr>
          <w:rFonts w:eastAsia="Calibri"/>
          <w:b/>
          <w:i/>
        </w:rPr>
      </w:pPr>
    </w:p>
    <w:p w14:paraId="6555A332" w14:textId="77777777" w:rsidR="004A117C" w:rsidRPr="00D8247C" w:rsidRDefault="004A117C" w:rsidP="004A117C">
      <w:pPr>
        <w:jc w:val="both"/>
        <w:rPr>
          <w:rFonts w:eastAsia="Calibri"/>
          <w:b/>
          <w:i/>
        </w:rPr>
      </w:pPr>
      <w:r w:rsidRPr="00D8247C">
        <w:rPr>
          <w:rFonts w:eastAsia="Calibri"/>
          <w:b/>
          <w:i/>
        </w:rPr>
        <w:t>Produktivita:</w:t>
      </w:r>
    </w:p>
    <w:p w14:paraId="2162ABC7" w14:textId="77777777" w:rsidR="004A117C" w:rsidRPr="00D8247C" w:rsidRDefault="004A117C" w:rsidP="004A117C">
      <w:pPr>
        <w:jc w:val="both"/>
        <w:rPr>
          <w:rFonts w:eastAsia="Calibri"/>
          <w:i/>
        </w:rPr>
      </w:pPr>
      <w:r w:rsidRPr="00D8247C">
        <w:rPr>
          <w:rFonts w:eastAsia="Calibri"/>
          <w:i/>
        </w:rPr>
        <w:t xml:space="preserve">Aký má materiál vplyv na zmenu pomeru medzi produkciou podnikov a ich nákladmi? </w:t>
      </w:r>
    </w:p>
    <w:p w14:paraId="6164B95F" w14:textId="77777777" w:rsidR="004A117C" w:rsidRPr="00D8247C" w:rsidRDefault="004A117C" w:rsidP="004A117C">
      <w:pPr>
        <w:jc w:val="both"/>
        <w:rPr>
          <w:rFonts w:eastAsia="Calibri"/>
          <w:i/>
        </w:rPr>
      </w:pPr>
    </w:p>
    <w:p w14:paraId="702867AC" w14:textId="77777777" w:rsidR="004A117C" w:rsidRPr="00D8247C" w:rsidRDefault="004A117C" w:rsidP="004A117C">
      <w:pPr>
        <w:jc w:val="both"/>
        <w:rPr>
          <w:rFonts w:eastAsia="Calibri"/>
          <w:i/>
        </w:rPr>
      </w:pPr>
      <w:r w:rsidRPr="00D8247C">
        <w:rPr>
          <w:rFonts w:eastAsia="Calibri"/>
          <w:i/>
        </w:rPr>
        <w:t>Na základe uvedenej odpovede zaškrtnite a popíšte, či materiál produktivitu:</w:t>
      </w:r>
    </w:p>
    <w:p w14:paraId="591E1C7B" w14:textId="77777777" w:rsidR="004A117C" w:rsidRPr="00D8247C" w:rsidRDefault="00081867" w:rsidP="004A117C">
      <w:pPr>
        <w:jc w:val="both"/>
        <w:rPr>
          <w:rFonts w:eastAsia="Calibri"/>
          <w:i/>
        </w:rPr>
      </w:pPr>
      <w:sdt>
        <w:sdtPr>
          <w:rPr>
            <w:rFonts w:eastAsia="Calibri"/>
            <w:i/>
          </w:rPr>
          <w:id w:val="-1545903528"/>
        </w:sdtPr>
        <w:sdtEndPr/>
        <w:sdtContent>
          <w:sdt>
            <w:sdtPr>
              <w:rPr>
                <w:rFonts w:eastAsia="Calibri"/>
                <w:i/>
              </w:rPr>
              <w:id w:val="825715010"/>
            </w:sdtPr>
            <w:sdtEndPr/>
            <w:sdtContent>
              <w:r w:rsidR="004A117C" w:rsidRPr="00FC04ED">
                <w:rPr>
                  <w:rFonts w:ascii="Segoe UI Symbol" w:eastAsia="Calibri" w:hAnsi="Segoe UI Symbol" w:cs="Segoe UI Symbol"/>
                  <w:i/>
                </w:rPr>
                <w:t>x</w:t>
              </w:r>
            </w:sdtContent>
          </w:sdt>
        </w:sdtContent>
      </w:sdt>
      <w:r w:rsidR="004A117C" w:rsidRPr="00D8247C">
        <w:rPr>
          <w:rFonts w:eastAsia="Calibri"/>
          <w:i/>
        </w:rPr>
        <w:t xml:space="preserve"> zvyšuje  </w:t>
      </w:r>
      <w:r w:rsidR="004A117C" w:rsidRPr="00D8247C">
        <w:rPr>
          <w:rFonts w:eastAsia="Calibri"/>
          <w:i/>
        </w:rPr>
        <w:tab/>
      </w:r>
      <w:sdt>
        <w:sdtPr>
          <w:rPr>
            <w:rFonts w:eastAsia="Calibri"/>
            <w:i/>
          </w:rPr>
          <w:id w:val="-353966921"/>
        </w:sdtPr>
        <w:sdtEndPr/>
        <w:sdtContent>
          <w:sdt>
            <w:sdtPr>
              <w:rPr>
                <w:rFonts w:eastAsia="Calibri"/>
                <w:i/>
              </w:rPr>
              <w:id w:val="-1222205104"/>
            </w:sdtPr>
            <w:sdtEndPr/>
            <w:sdtContent>
              <w:r w:rsidR="004A117C" w:rsidRPr="00D8247C">
                <w:rPr>
                  <w:rFonts w:ascii="Segoe UI Symbol" w:eastAsia="Calibri" w:hAnsi="Segoe UI Symbol" w:cs="Segoe UI Symbol"/>
                  <w:i/>
                </w:rPr>
                <w:t>☐</w:t>
              </w:r>
            </w:sdtContent>
          </w:sdt>
        </w:sdtContent>
      </w:sdt>
      <w:r w:rsidR="004A117C" w:rsidRPr="00D8247C">
        <w:rPr>
          <w:rFonts w:eastAsia="Calibri"/>
          <w:i/>
        </w:rPr>
        <w:t xml:space="preserve"> nemení</w:t>
      </w:r>
      <w:r w:rsidR="004A117C" w:rsidRPr="00D8247C">
        <w:rPr>
          <w:rFonts w:eastAsia="Calibri"/>
          <w:i/>
        </w:rPr>
        <w:tab/>
      </w:r>
      <w:sdt>
        <w:sdtPr>
          <w:rPr>
            <w:rFonts w:eastAsia="Calibri"/>
            <w:i/>
            <w:highlight w:val="cyan"/>
          </w:rPr>
          <w:id w:val="-1457723544"/>
        </w:sdtPr>
        <w:sdtEndPr/>
        <w:sdtContent>
          <w:sdt>
            <w:sdtPr>
              <w:rPr>
                <w:rFonts w:eastAsia="Calibri"/>
                <w:i/>
                <w:highlight w:val="cyan"/>
              </w:rPr>
              <w:id w:val="-623767955"/>
            </w:sdtPr>
            <w:sdtEndPr/>
            <w:sdtContent>
              <w:r w:rsidR="004A117C" w:rsidRPr="00FD4EC3">
                <w:rPr>
                  <w:rFonts w:ascii="Segoe UI Symbol" w:eastAsia="Calibri" w:hAnsi="Segoe UI Symbol" w:cs="Segoe UI Symbol"/>
                  <w:i/>
                </w:rPr>
                <w:t>☐</w:t>
              </w:r>
            </w:sdtContent>
          </w:sdt>
        </w:sdtContent>
      </w:sdt>
      <w:r w:rsidR="004A117C" w:rsidRPr="00D8247C">
        <w:rPr>
          <w:rFonts w:eastAsia="Calibri"/>
          <w:i/>
        </w:rPr>
        <w:t xml:space="preserve"> znižuje</w:t>
      </w:r>
    </w:p>
    <w:p w14:paraId="73378335" w14:textId="77777777" w:rsidR="004A117C" w:rsidRPr="00D8247C" w:rsidRDefault="004A117C" w:rsidP="004A117C">
      <w:pPr>
        <w:jc w:val="both"/>
        <w:rPr>
          <w:rFonts w:eastAsia="Calibri"/>
          <w:i/>
        </w:rPr>
      </w:pPr>
    </w:p>
    <w:p w14:paraId="33B17101" w14:textId="77777777" w:rsidR="004A117C" w:rsidRPr="00FC04ED" w:rsidRDefault="004A117C" w:rsidP="004A117C">
      <w:pPr>
        <w:jc w:val="both"/>
        <w:rPr>
          <w:rFonts w:eastAsia="Calibri"/>
          <w:u w:val="single"/>
        </w:rPr>
      </w:pPr>
      <w:r w:rsidRPr="00FC04ED">
        <w:rPr>
          <w:rFonts w:eastAsia="Calibri"/>
          <w:u w:val="single"/>
        </w:rPr>
        <w:t xml:space="preserve">V oblasti kolektívneho investovania je otázka objemu kapitálu  a jeho dostupnosti kľúčovou otázkou. Daný návrh má potenciál výrazne prispieť k zníženiu nákladov na obstaranie kapitálu, a to aj v dlhodobom horizonte. Tieto subjekty kolektívneho investovania tak budú môcť získať veľký objem kapitálu v krátkom čase, pri súčasnom znížení administratívnych nákladov na ich obstaranie, teda tento návrh prispeje k zvýšeniu pomeru medzi celkovým objemom kapitálu a nákladmi na ich obstaranie. </w:t>
      </w:r>
    </w:p>
    <w:p w14:paraId="39490ACE" w14:textId="77777777" w:rsidR="004A117C" w:rsidRDefault="004A117C" w:rsidP="004A117C">
      <w:pPr>
        <w:jc w:val="both"/>
        <w:rPr>
          <w:rFonts w:eastAsia="Calibri"/>
          <w:i/>
        </w:rPr>
      </w:pPr>
    </w:p>
    <w:p w14:paraId="423059B3" w14:textId="77777777" w:rsidR="004A117C" w:rsidRPr="00D8247C" w:rsidRDefault="004A117C" w:rsidP="004A117C">
      <w:pPr>
        <w:jc w:val="both"/>
        <w:rPr>
          <w:rFonts w:eastAsia="Calibri"/>
          <w:i/>
        </w:rPr>
      </w:pPr>
    </w:p>
    <w:p w14:paraId="53EE1233" w14:textId="77777777" w:rsidR="004A117C" w:rsidRPr="001F1B43" w:rsidRDefault="004A117C" w:rsidP="004A117C">
      <w:pPr>
        <w:jc w:val="both"/>
        <w:rPr>
          <w:rFonts w:eastAsia="Calibri"/>
          <w:b/>
        </w:rPr>
      </w:pPr>
      <w:r w:rsidRPr="001F1B43">
        <w:rPr>
          <w:rFonts w:eastAsia="Calibri"/>
          <w:b/>
        </w:rPr>
        <w:t xml:space="preserve">3.4  Iné vplyvy na podnikateľské prostredie </w:t>
      </w:r>
    </w:p>
    <w:p w14:paraId="6F3D1720" w14:textId="77777777" w:rsidR="004A117C" w:rsidRDefault="004A117C" w:rsidP="004A117C">
      <w:pPr>
        <w:jc w:val="both"/>
        <w:rPr>
          <w:rFonts w:eastAsia="Calibri"/>
          <w:i/>
        </w:rPr>
      </w:pPr>
      <w:r>
        <w:rPr>
          <w:rFonts w:eastAsia="Calibri"/>
          <w:i/>
        </w:rPr>
        <w:lastRenderedPageBreak/>
        <w:t xml:space="preserve">Ak má materiál vplyvy na PP, ktoré nemožno zaradiť do predchádzajúcich častí, či už pozitívne alebo negatívne, tu ich uveďte.  Patria sem: </w:t>
      </w:r>
    </w:p>
    <w:p w14:paraId="15AD1659" w14:textId="77777777" w:rsidR="004A117C" w:rsidRDefault="004A117C" w:rsidP="004A117C">
      <w:pPr>
        <w:pStyle w:val="Odsekzoznamu"/>
        <w:numPr>
          <w:ilvl w:val="0"/>
          <w:numId w:val="5"/>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2C3F0137" w14:textId="77777777" w:rsidR="004A117C" w:rsidRDefault="004A117C" w:rsidP="004A117C">
      <w:pPr>
        <w:pStyle w:val="Odsekzoznamu"/>
        <w:numPr>
          <w:ilvl w:val="0"/>
          <w:numId w:val="5"/>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081E6D41" w14:textId="77777777" w:rsidR="004A117C" w:rsidRDefault="004A117C" w:rsidP="004A117C">
      <w:pPr>
        <w:pStyle w:val="Odsekzoznamu"/>
        <w:numPr>
          <w:ilvl w:val="0"/>
          <w:numId w:val="5"/>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12521B07" w14:textId="77777777" w:rsidR="004A117C" w:rsidRDefault="004A117C" w:rsidP="004A117C">
      <w:pPr>
        <w:pStyle w:val="Odsekzoznamu"/>
        <w:numPr>
          <w:ilvl w:val="0"/>
          <w:numId w:val="5"/>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72E388CC" w14:textId="77777777" w:rsidR="004A117C" w:rsidRDefault="004A117C" w:rsidP="004A117C">
      <w:pPr>
        <w:jc w:val="both"/>
        <w:rPr>
          <w:rFonts w:eastAsia="Calibri"/>
          <w:i/>
          <w:color w:val="0070C0"/>
        </w:rPr>
      </w:pPr>
    </w:p>
    <w:p w14:paraId="1E03EF3A" w14:textId="77777777" w:rsidR="004A117C" w:rsidRPr="00106A6B" w:rsidRDefault="004A117C" w:rsidP="004A117C">
      <w:pPr>
        <w:jc w:val="both"/>
        <w:rPr>
          <w:rFonts w:eastAsia="Calibri"/>
          <w:u w:val="single"/>
        </w:rPr>
      </w:pPr>
      <w:r w:rsidRPr="00106A6B">
        <w:rPr>
          <w:rFonts w:eastAsia="Calibri"/>
          <w:u w:val="single"/>
        </w:rPr>
        <w:t xml:space="preserve">Neboli identifikované iné vplyvy na podnikateľské prostredie v dôsledku tohto návrhu. </w:t>
      </w:r>
    </w:p>
    <w:p w14:paraId="17FD33F4" w14:textId="77777777" w:rsidR="004A117C" w:rsidRPr="00106A6B" w:rsidRDefault="004A117C" w:rsidP="004A117C">
      <w:pPr>
        <w:jc w:val="both"/>
        <w:rPr>
          <w:rFonts w:eastAsia="Calibri"/>
          <w:u w:val="single"/>
        </w:rPr>
      </w:pPr>
      <w:r w:rsidRPr="00106A6B">
        <w:rPr>
          <w:rFonts w:eastAsia="Calibri"/>
          <w:u w:val="single"/>
        </w:rPr>
        <w:t>V súvislosti s delegovanou smernicou 2021/1269 neboli identifikované vplyvy na podnikateľské prostredie v dôsledku, že ide iba o</w:t>
      </w:r>
      <w:r>
        <w:rPr>
          <w:rFonts w:eastAsia="Calibri"/>
          <w:u w:val="single"/>
        </w:rPr>
        <w:t xml:space="preserve"> presnejšie </w:t>
      </w:r>
      <w:r w:rsidRPr="00106A6B">
        <w:rPr>
          <w:rFonts w:eastAsia="Calibri"/>
          <w:u w:val="single"/>
        </w:rPr>
        <w:t xml:space="preserve">objasnenie, že faktory udržateľnosti a ciele súvisiace s udržateľnosťou by sa mali zohľadňovať v rámci požiadaviek na riadenie produktov. </w:t>
      </w:r>
    </w:p>
    <w:p w14:paraId="67BECDBD" w14:textId="77777777" w:rsidR="004A117C" w:rsidRPr="00106A6B" w:rsidRDefault="004A117C" w:rsidP="004A117C">
      <w:pPr>
        <w:jc w:val="both"/>
        <w:rPr>
          <w:rFonts w:eastAsia="Calibri"/>
          <w:u w:val="single"/>
        </w:rPr>
      </w:pPr>
      <w:r w:rsidRPr="00106A6B">
        <w:rPr>
          <w:rFonts w:eastAsia="Calibri"/>
          <w:u w:val="single"/>
        </w:rPr>
        <w:t>V súvislosti s delegovanou smernicou 2021/1270 neboli identifikované vplyvy na podnikateľské prostredie v dôsledku vyprecizovania textu z dôvodu zachovania právnej istoty, aby sa zabránilo roztrieštenosti, nekonzistentnosti a nepredvídateľnosti vo fungovaní vnútorného trhu.</w:t>
      </w:r>
    </w:p>
    <w:p w14:paraId="1DE7AB0C" w14:textId="77777777" w:rsidR="004A117C" w:rsidRPr="00895898" w:rsidRDefault="004A117C" w:rsidP="004A117C">
      <w:pPr>
        <w:jc w:val="both"/>
        <w:rPr>
          <w:rFonts w:eastAsia="Calibri"/>
          <w:i/>
          <w:color w:val="0070C0"/>
        </w:rPr>
      </w:pPr>
    </w:p>
    <w:p w14:paraId="5B99A79A" w14:textId="77777777" w:rsidR="004A117C" w:rsidRPr="00895898" w:rsidRDefault="004A117C" w:rsidP="004A117C">
      <w:pPr>
        <w:jc w:val="center"/>
        <w:rPr>
          <w:b/>
          <w:sz w:val="28"/>
          <w:szCs w:val="28"/>
          <w:lang w:eastAsia="sk-SK"/>
        </w:rPr>
      </w:pPr>
      <w:r w:rsidRPr="00895898">
        <w:rPr>
          <w:b/>
          <w:sz w:val="28"/>
          <w:szCs w:val="28"/>
          <w:lang w:eastAsia="sk-SK"/>
        </w:rPr>
        <w:t>Metodický postup pre analýzu vplyvov na podnikateľské prostredie</w:t>
      </w:r>
    </w:p>
    <w:p w14:paraId="30BF9A49" w14:textId="77777777" w:rsidR="004A117C" w:rsidRPr="00895898" w:rsidRDefault="004A117C" w:rsidP="004A117C">
      <w:pPr>
        <w:ind w:firstLine="720"/>
        <w:jc w:val="center"/>
        <w:rPr>
          <w:lang w:eastAsia="sk-SK"/>
        </w:rPr>
      </w:pPr>
    </w:p>
    <w:p w14:paraId="418EA61B" w14:textId="77777777" w:rsidR="004A117C" w:rsidRPr="00895898" w:rsidRDefault="004A117C" w:rsidP="004A117C">
      <w:pPr>
        <w:rPr>
          <w:bCs/>
          <w:lang w:eastAsia="sk-SK"/>
        </w:rPr>
      </w:pPr>
    </w:p>
    <w:p w14:paraId="18872D82" w14:textId="77777777" w:rsidR="004A117C" w:rsidRPr="00D8247C" w:rsidRDefault="004A117C" w:rsidP="004A117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b/>
        </w:rPr>
      </w:pPr>
      <w:r w:rsidRPr="00D8247C">
        <w:rPr>
          <w:rFonts w:eastAsia="Calibri"/>
          <w:b/>
        </w:rPr>
        <w:t>3.1 Náklady regulácie</w:t>
      </w:r>
    </w:p>
    <w:p w14:paraId="14E98396" w14:textId="77777777" w:rsidR="004A117C" w:rsidRPr="00D8247C" w:rsidRDefault="004A117C" w:rsidP="004A117C">
      <w:pPr>
        <w:rPr>
          <w:rFonts w:eastAsia="Calibri"/>
          <w:b/>
          <w:i/>
          <w:iCs/>
        </w:rPr>
      </w:pPr>
    </w:p>
    <w:p w14:paraId="5D69BD2D" w14:textId="77777777" w:rsidR="004A117C" w:rsidRPr="00D8247C" w:rsidRDefault="004A117C" w:rsidP="004A117C">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bCs/>
        </w:rPr>
      </w:pPr>
      <w:r w:rsidRPr="00D8247C">
        <w:rPr>
          <w:rFonts w:eastAsia="Calibri"/>
          <w:b/>
        </w:rPr>
        <w:t xml:space="preserve">3.1.1 Súhrnná tabuľka nákladov regulácie </w:t>
      </w:r>
    </w:p>
    <w:p w14:paraId="3C8B3D37" w14:textId="77777777" w:rsidR="004A117C" w:rsidRPr="00D8247C" w:rsidRDefault="004A117C" w:rsidP="004A117C">
      <w:pPr>
        <w:rPr>
          <w:bCs/>
          <w:lang w:eastAsia="sk-SK"/>
        </w:rPr>
      </w:pPr>
    </w:p>
    <w:p w14:paraId="44B846F7" w14:textId="77777777" w:rsidR="004A117C" w:rsidRPr="00D8247C" w:rsidRDefault="004A117C" w:rsidP="004A117C">
      <w:pPr>
        <w:jc w:val="both"/>
        <w:rPr>
          <w:b/>
          <w:bCs/>
          <w:iCs/>
          <w:lang w:eastAsia="sk-SK"/>
        </w:rPr>
      </w:pPr>
      <w:r w:rsidRPr="00D8247C">
        <w:rPr>
          <w:b/>
          <w:bCs/>
          <w:iCs/>
          <w:lang w:eastAsia="sk-SK"/>
        </w:rPr>
        <w:t>Tabuľka č. 1: Zmeny ročných nákladov v prepočte na podnikateľské prostredie, Vyhodnotenie mechanizmu znižovania byrokracie a nákladov:</w:t>
      </w:r>
    </w:p>
    <w:p w14:paraId="6C873F5B" w14:textId="77777777" w:rsidR="004A117C" w:rsidRPr="00D8247C" w:rsidRDefault="004A117C" w:rsidP="004A117C">
      <w:pPr>
        <w:jc w:val="both"/>
        <w:rPr>
          <w:bCs/>
          <w:iCs/>
          <w:lang w:eastAsia="sk-SK"/>
        </w:rPr>
      </w:pPr>
    </w:p>
    <w:p w14:paraId="1B9666CB" w14:textId="77777777" w:rsidR="004A117C" w:rsidRPr="00D8247C" w:rsidRDefault="004A117C" w:rsidP="004A117C">
      <w:pPr>
        <w:jc w:val="both"/>
        <w:rPr>
          <w:lang w:eastAsia="sk-SK"/>
        </w:rPr>
      </w:pPr>
      <w:r w:rsidRPr="00D8247C">
        <w:rPr>
          <w:bCs/>
          <w:iCs/>
          <w:lang w:eastAsia="sk-SK"/>
        </w:rPr>
        <w:t xml:space="preserve">Predkladateľ: </w:t>
      </w:r>
      <w:r w:rsidRPr="00D8247C">
        <w:rPr>
          <w:b/>
          <w:lang w:eastAsia="sk-SK"/>
        </w:rPr>
        <w:t>tabuľka č. 1</w:t>
      </w:r>
      <w:r w:rsidRPr="00D8247C">
        <w:rPr>
          <w:lang w:eastAsia="sk-SK"/>
        </w:rPr>
        <w:t xml:space="preserve"> sa vypĺňa na základe detailných informácií uvedených v tabuľke č. 2 a v doplňujúcich informáciách k nej. </w:t>
      </w:r>
    </w:p>
    <w:p w14:paraId="73F24067" w14:textId="77777777" w:rsidR="004A117C" w:rsidRPr="00D8247C" w:rsidRDefault="004A117C" w:rsidP="004A117C">
      <w:pPr>
        <w:jc w:val="both"/>
        <w:rPr>
          <w:lang w:eastAsia="sk-SK"/>
        </w:rPr>
      </w:pPr>
    </w:p>
    <w:p w14:paraId="2F9D9446" w14:textId="77777777" w:rsidR="004A117C" w:rsidRPr="00D8247C" w:rsidRDefault="004A117C" w:rsidP="004A117C">
      <w:pPr>
        <w:jc w:val="both"/>
        <w:rPr>
          <w:lang w:eastAsia="sk-SK"/>
        </w:rPr>
      </w:pPr>
      <w:r w:rsidRPr="00D8247C">
        <w:rPr>
          <w:i/>
          <w:lang w:eastAsia="sk-SK"/>
        </w:rPr>
        <w:t xml:space="preserve">Na vypĺňanie použite </w:t>
      </w:r>
      <w:r w:rsidRPr="00D8247C">
        <w:rPr>
          <w:b/>
          <w:i/>
          <w:lang w:eastAsia="sk-SK"/>
        </w:rPr>
        <w:t>Kalkulačku nákladov</w:t>
      </w:r>
      <w:r w:rsidRPr="00D8247C">
        <w:rPr>
          <w:i/>
          <w:lang w:eastAsia="sk-SK"/>
        </w:rPr>
        <w:t xml:space="preserve">, ktorá vyplnenie tejto tabuľky automatizuje. Samotná kalkulačka obsahuje vysvetlivky aj návod na vypĺňanie. Identickou tabuľkou z kalkulačky následne nahraďte tabuľku č. 1. </w:t>
      </w:r>
    </w:p>
    <w:p w14:paraId="4B4E07C9" w14:textId="77777777" w:rsidR="004A117C" w:rsidRPr="00D8247C" w:rsidRDefault="004A117C" w:rsidP="004A117C">
      <w:pPr>
        <w:jc w:val="both"/>
        <w:rPr>
          <w:lang w:eastAsia="sk-SK"/>
        </w:rPr>
      </w:pPr>
    </w:p>
    <w:p w14:paraId="0B8D995E" w14:textId="77777777" w:rsidR="004A117C" w:rsidRPr="00D8247C" w:rsidRDefault="004A117C" w:rsidP="004A117C">
      <w:pPr>
        <w:jc w:val="both"/>
        <w:rPr>
          <w:b/>
          <w:i/>
          <w:lang w:eastAsia="sk-SK"/>
        </w:rPr>
      </w:pPr>
      <w:r w:rsidRPr="00D8247C">
        <w:rPr>
          <w:b/>
          <w:i/>
          <w:lang w:eastAsia="sk-SK"/>
        </w:rPr>
        <w:t>Pokyny k jednotlivým stĺpcom tabuľky č. 1:</w:t>
      </w:r>
    </w:p>
    <w:p w14:paraId="52415B7A" w14:textId="77777777" w:rsidR="004A117C" w:rsidRPr="00D8247C" w:rsidRDefault="004A117C" w:rsidP="004A117C">
      <w:pPr>
        <w:jc w:val="both"/>
        <w:rPr>
          <w:b/>
          <w:i/>
          <w:lang w:eastAsia="sk-SK"/>
        </w:rPr>
      </w:pPr>
    </w:p>
    <w:p w14:paraId="305F373B" w14:textId="77777777" w:rsidR="004A117C" w:rsidRPr="00D8247C" w:rsidRDefault="004A117C" w:rsidP="004A117C">
      <w:pPr>
        <w:jc w:val="both"/>
        <w:rPr>
          <w:iCs/>
          <w:lang w:eastAsia="sk-SK"/>
        </w:rPr>
      </w:pPr>
      <w:r w:rsidRPr="00D8247C">
        <w:rPr>
          <w:b/>
          <w:iCs/>
          <w:lang w:eastAsia="sk-SK"/>
        </w:rPr>
        <w:t>Priame finančné náklady</w:t>
      </w:r>
      <w:r w:rsidRPr="00D8247C">
        <w:rPr>
          <w:iCs/>
          <w:lang w:eastAsia="sk-SK"/>
        </w:rPr>
        <w:t xml:space="preserve"> sa rozdeľujú na A. a B. z dôvodu, že na zmeny v regulácii výšky daní, odvodov</w:t>
      </w:r>
      <w:r>
        <w:rPr>
          <w:iCs/>
          <w:lang w:eastAsia="sk-SK"/>
        </w:rPr>
        <w:t>, </w:t>
      </w:r>
      <w:r w:rsidRPr="00D8247C">
        <w:rPr>
          <w:iCs/>
          <w:lang w:eastAsia="sk-SK"/>
        </w:rPr>
        <w:t>ciel</w:t>
      </w:r>
      <w:r>
        <w:rPr>
          <w:iCs/>
          <w:lang w:eastAsia="sk-SK"/>
        </w:rPr>
        <w:t xml:space="preserve"> a </w:t>
      </w:r>
      <w:r w:rsidRPr="001D3FA0">
        <w:rPr>
          <w:iCs/>
          <w:lang w:eastAsia="sk-SK"/>
        </w:rPr>
        <w:t>poplatkov, ktorých cieľom je znižovať negatívne externality</w:t>
      </w:r>
      <w:r w:rsidRPr="00D8247C">
        <w:rPr>
          <w:iCs/>
          <w:lang w:eastAsia="sk-SK"/>
        </w:rPr>
        <w:t xml:space="preserve"> sa neuplatňuje mechanizmus znižovania byrokracie a nákladov. Na</w:t>
      </w:r>
      <w:r>
        <w:rPr>
          <w:iCs/>
          <w:lang w:eastAsia="sk-SK"/>
        </w:rPr>
        <w:t xml:space="preserve"> iné </w:t>
      </w:r>
      <w:r w:rsidRPr="00D8247C">
        <w:rPr>
          <w:iCs/>
          <w:lang w:eastAsia="sk-SK"/>
        </w:rPr>
        <w:t xml:space="preserve">poplatky sa pravidlo uplatňuje, preto sú uvedené osobitne. </w:t>
      </w:r>
    </w:p>
    <w:p w14:paraId="4FD69917" w14:textId="77777777" w:rsidR="004A117C" w:rsidRPr="00D8247C" w:rsidRDefault="004A117C" w:rsidP="004A117C">
      <w:pPr>
        <w:jc w:val="both"/>
        <w:rPr>
          <w:lang w:eastAsia="sk-SK"/>
        </w:rPr>
      </w:pPr>
    </w:p>
    <w:p w14:paraId="76BBEC35" w14:textId="77777777" w:rsidR="004A117C" w:rsidRPr="00391648" w:rsidRDefault="004A117C" w:rsidP="004A117C">
      <w:pPr>
        <w:jc w:val="both"/>
        <w:rPr>
          <w:lang w:eastAsia="sk-SK"/>
        </w:rPr>
      </w:pPr>
      <w:r w:rsidRPr="00D8247C">
        <w:rPr>
          <w:b/>
          <w:lang w:eastAsia="sk-SK"/>
        </w:rPr>
        <w:t>A</w:t>
      </w:r>
      <w:r w:rsidRPr="00D8247C">
        <w:rPr>
          <w:lang w:eastAsia="sk-SK"/>
        </w:rPr>
        <w:t xml:space="preserve">: </w:t>
      </w:r>
      <w:r w:rsidRPr="00D8247C">
        <w:rPr>
          <w:b/>
          <w:lang w:eastAsia="sk-SK"/>
        </w:rPr>
        <w:t xml:space="preserve">Dane, odvody, clá </w:t>
      </w:r>
      <w:r>
        <w:rPr>
          <w:b/>
          <w:lang w:eastAsia="sk-SK"/>
        </w:rPr>
        <w:t xml:space="preserve">a </w:t>
      </w:r>
      <w:r w:rsidRPr="00391648">
        <w:rPr>
          <w:b/>
          <w:lang w:eastAsia="sk-SK"/>
        </w:rPr>
        <w:t>poplatky, ktorých cieľom je znižovať negatívne externality</w:t>
      </w:r>
      <w:r w:rsidRPr="00D8247C">
        <w:rPr>
          <w:rFonts w:eastAsia="Calibri"/>
          <w:color w:val="000000"/>
        </w:rPr>
        <w:t xml:space="preserve"> (patria medzi priame finančné náklady)</w:t>
      </w:r>
      <w:r w:rsidRPr="00D8247C">
        <w:rPr>
          <w:lang w:eastAsia="sk-SK"/>
        </w:rPr>
        <w:t xml:space="preserve">: vypĺňa sa, ak ustanovenia právneho predpisu zakladajú, rušia či menia </w:t>
      </w:r>
      <w:r>
        <w:rPr>
          <w:lang w:eastAsia="sk-SK"/>
        </w:rPr>
        <w:t xml:space="preserve">ich </w:t>
      </w:r>
      <w:r w:rsidRPr="00D8247C">
        <w:rPr>
          <w:lang w:eastAsia="sk-SK"/>
        </w:rPr>
        <w:t xml:space="preserve">výšku. </w:t>
      </w:r>
      <w:r>
        <w:rPr>
          <w:lang w:eastAsia="sk-SK"/>
        </w:rPr>
        <w:t xml:space="preserve">Pod negatívnymi externalitami sa myslí prenos nákladov produkcie či spotreby na iné subjekty, napríklad poškodenia, zníženia hodnoty, znehodnotenia či znečistenia. Medzi takéto poplatky patria napríklad tie, ktorých cieľom je znižovať </w:t>
      </w:r>
      <w:r w:rsidRPr="00391648">
        <w:rPr>
          <w:lang w:eastAsia="sk-SK"/>
        </w:rPr>
        <w:t xml:space="preserve">emisie </w:t>
      </w:r>
      <w:r w:rsidRPr="00391648">
        <w:rPr>
          <w:lang w:eastAsia="sk-SK"/>
        </w:rPr>
        <w:lastRenderedPageBreak/>
        <w:t xml:space="preserve">skleníkových plynov, emisie iných znečisťujúcich látok alebo chrániť </w:t>
      </w:r>
      <w:r>
        <w:rPr>
          <w:lang w:eastAsia="sk-SK"/>
        </w:rPr>
        <w:t>obmedzené</w:t>
      </w:r>
      <w:r w:rsidRPr="00391648">
        <w:rPr>
          <w:lang w:eastAsia="sk-SK"/>
        </w:rPr>
        <w:t xml:space="preserve"> prírodné zdroje.</w:t>
      </w:r>
    </w:p>
    <w:p w14:paraId="226199D4" w14:textId="77777777" w:rsidR="004A117C" w:rsidRDefault="004A117C" w:rsidP="004A117C">
      <w:pPr>
        <w:jc w:val="both"/>
        <w:rPr>
          <w:lang w:eastAsia="sk-SK"/>
        </w:rPr>
      </w:pPr>
    </w:p>
    <w:p w14:paraId="15571523" w14:textId="77777777" w:rsidR="004A117C" w:rsidRPr="00D8247C" w:rsidRDefault="004A117C" w:rsidP="004A117C">
      <w:pPr>
        <w:jc w:val="both"/>
        <w:rPr>
          <w:lang w:eastAsia="sk-SK"/>
        </w:rPr>
      </w:pPr>
      <w:r w:rsidRPr="00D8247C">
        <w:rPr>
          <w:lang w:eastAsia="sk-SK"/>
        </w:rPr>
        <w:t xml:space="preserve">Použite </w:t>
      </w:r>
      <w:r>
        <w:rPr>
          <w:lang w:eastAsia="sk-SK"/>
        </w:rPr>
        <w:t xml:space="preserve">najmä </w:t>
      </w:r>
      <w:r w:rsidRPr="00D8247C">
        <w:rPr>
          <w:lang w:eastAsia="sk-SK"/>
        </w:rPr>
        <w:t>údaje z analýzy vplyvov na rozpočet verejnej správy (tabuľka č. 3). Zmeny v administratívnej náročnosti plnenia povinností spojené s daňami, odvodmi</w:t>
      </w:r>
      <w:r>
        <w:rPr>
          <w:lang w:eastAsia="sk-SK"/>
        </w:rPr>
        <w:t xml:space="preserve">, </w:t>
      </w:r>
      <w:r w:rsidRPr="00D8247C">
        <w:rPr>
          <w:lang w:eastAsia="sk-SK"/>
        </w:rPr>
        <w:t xml:space="preserve">clami </w:t>
      </w:r>
      <w:r>
        <w:rPr>
          <w:lang w:eastAsia="sk-SK"/>
        </w:rPr>
        <w:t xml:space="preserve">a poplatkami </w:t>
      </w:r>
      <w:r w:rsidRPr="00D8247C">
        <w:rPr>
          <w:lang w:eastAsia="sk-SK"/>
        </w:rPr>
        <w:t xml:space="preserve">sa kvantifikujú v rámci „D. Administratívne náklady“. Ide o </w:t>
      </w:r>
      <w:r w:rsidRPr="00D8247C">
        <w:rPr>
          <w:b/>
          <w:lang w:eastAsia="sk-SK"/>
        </w:rPr>
        <w:t>ročný vplyv</w:t>
      </w:r>
      <w:r w:rsidRPr="00D8247C">
        <w:rPr>
          <w:lang w:eastAsia="sk-SK"/>
        </w:rPr>
        <w:t xml:space="preserve"> na PP v eurách. Kvantifikované vplyvy (v eurách na PP) sa rozdelia na tie, ktoré podnikateľom zvyšujú náklady a na tie, ktoré znižujú náklady.  </w:t>
      </w:r>
    </w:p>
    <w:p w14:paraId="48D29F41" w14:textId="77777777" w:rsidR="004A117C" w:rsidRPr="00D8247C" w:rsidRDefault="004A117C" w:rsidP="004A117C">
      <w:pPr>
        <w:jc w:val="both"/>
        <w:rPr>
          <w:i/>
          <w:lang w:eastAsia="sk-SK"/>
        </w:rPr>
      </w:pPr>
    </w:p>
    <w:p w14:paraId="53345BA6" w14:textId="77777777" w:rsidR="004A117C" w:rsidRPr="00D8247C" w:rsidRDefault="004A117C" w:rsidP="004A117C">
      <w:pPr>
        <w:jc w:val="both"/>
        <w:rPr>
          <w:lang w:eastAsia="sk-SK"/>
        </w:rPr>
      </w:pPr>
      <w:r w:rsidRPr="00D8247C">
        <w:rPr>
          <w:b/>
          <w:lang w:eastAsia="sk-SK"/>
        </w:rPr>
        <w:t>B:</w:t>
      </w:r>
      <w:r w:rsidRPr="00D8247C">
        <w:rPr>
          <w:lang w:eastAsia="sk-SK"/>
        </w:rPr>
        <w:t xml:space="preserve"> </w:t>
      </w:r>
      <w:r>
        <w:rPr>
          <w:b/>
          <w:lang w:eastAsia="sk-SK"/>
        </w:rPr>
        <w:t>Iné p</w:t>
      </w:r>
      <w:r w:rsidRPr="00D8247C">
        <w:rPr>
          <w:b/>
          <w:lang w:eastAsia="sk-SK"/>
        </w:rPr>
        <w:t xml:space="preserve">oplatky </w:t>
      </w:r>
      <w:r w:rsidRPr="00D8247C">
        <w:rPr>
          <w:rFonts w:eastAsia="Calibri"/>
          <w:color w:val="000000"/>
        </w:rPr>
        <w:t>(patria medzi priame finančné náklady)</w:t>
      </w:r>
      <w:r w:rsidRPr="00D8247C">
        <w:rPr>
          <w:lang w:eastAsia="sk-SK"/>
        </w:rPr>
        <w:t xml:space="preserve">: vypĺňa sa, ak ustanovenia právneho predpisu zakladajú/rušia či menia výšku </w:t>
      </w:r>
      <w:r>
        <w:rPr>
          <w:lang w:eastAsia="sk-SK"/>
        </w:rPr>
        <w:t xml:space="preserve">iných </w:t>
      </w:r>
      <w:r w:rsidRPr="00D8247C">
        <w:rPr>
          <w:lang w:eastAsia="sk-SK"/>
        </w:rPr>
        <w:t xml:space="preserve">poplatkov. Nápomocné môžu byť údaje z analýzy vplyvov na rozpočet verejnej správy (tabuľka č. 3). Ide o ročný vplyv na </w:t>
      </w:r>
      <w:r>
        <w:rPr>
          <w:lang w:eastAsia="sk-SK"/>
        </w:rPr>
        <w:t>PP</w:t>
      </w:r>
      <w:r w:rsidRPr="00D8247C">
        <w:rPr>
          <w:lang w:eastAsia="sk-SK"/>
        </w:rPr>
        <w:t xml:space="preserve"> v </w:t>
      </w:r>
      <w:r>
        <w:rPr>
          <w:lang w:eastAsia="sk-SK"/>
        </w:rPr>
        <w:t>eurách</w:t>
      </w:r>
      <w:r w:rsidRPr="00D8247C">
        <w:rPr>
          <w:lang w:eastAsia="sk-SK"/>
        </w:rPr>
        <w:t xml:space="preserve">. Dôležité je kvantifikovať aj poplatky, ktoré do rozpočtu verejnej správy nevstupujú. Kvantifikované vplyvy (v eurách na PP) sa rozdelia na tie, ktoré podnikateľom zvyšujú náklady a na tie, ktoré znižujú náklady.  </w:t>
      </w:r>
    </w:p>
    <w:p w14:paraId="1AACE3BF" w14:textId="77777777" w:rsidR="004A117C" w:rsidRPr="00D8247C" w:rsidRDefault="004A117C" w:rsidP="004A117C">
      <w:pPr>
        <w:jc w:val="both"/>
        <w:rPr>
          <w:lang w:eastAsia="sk-SK"/>
        </w:rPr>
      </w:pPr>
    </w:p>
    <w:p w14:paraId="75A9D433" w14:textId="77777777" w:rsidR="004A117C" w:rsidRPr="00D8247C" w:rsidRDefault="004A117C" w:rsidP="004A117C">
      <w:pPr>
        <w:jc w:val="both"/>
        <w:rPr>
          <w:i/>
          <w:iCs/>
          <w:lang w:eastAsia="sk-SK"/>
        </w:rPr>
      </w:pPr>
      <w:r w:rsidRPr="00D8247C">
        <w:rPr>
          <w:i/>
          <w:iCs/>
          <w:lang w:eastAsia="sk-SK"/>
        </w:rPr>
        <w:t xml:space="preserve">Medzi poplatky patria napríklad: poplatok za vydanie osvedčenia o živnostenskom oprávnení, poplatok za žiadosť o predĺženie platnosti stavebného povolenia, úhrady za služby verejnosti poskytované RTVS v oblasti rozhlasového vysielania a televízneho vysielania, poplatky organizáciám kolektívnej správy, napríklad SOZA alebo iné správne/súdne poplatky. Medzi poplatky </w:t>
      </w:r>
      <w:r w:rsidRPr="00D8247C">
        <w:rPr>
          <w:b/>
          <w:i/>
          <w:iCs/>
          <w:lang w:eastAsia="sk-SK"/>
        </w:rPr>
        <w:t>nepatria pokuty</w:t>
      </w:r>
      <w:r w:rsidRPr="00D8247C">
        <w:rPr>
          <w:i/>
          <w:iCs/>
          <w:lang w:eastAsia="sk-SK"/>
        </w:rPr>
        <w:t xml:space="preserve">. </w:t>
      </w:r>
    </w:p>
    <w:p w14:paraId="0F3EA31D" w14:textId="77777777" w:rsidR="004A117C" w:rsidRPr="00D8247C" w:rsidRDefault="004A117C" w:rsidP="004A117C">
      <w:pPr>
        <w:jc w:val="both"/>
        <w:rPr>
          <w:i/>
          <w:lang w:eastAsia="sk-SK"/>
        </w:rPr>
      </w:pPr>
    </w:p>
    <w:p w14:paraId="7104494D" w14:textId="77777777" w:rsidR="004A117C" w:rsidRPr="00D8247C" w:rsidRDefault="004A117C" w:rsidP="004A117C">
      <w:pPr>
        <w:jc w:val="both"/>
        <w:rPr>
          <w:lang w:eastAsia="sk-SK"/>
        </w:rPr>
      </w:pPr>
      <w:r w:rsidRPr="00D8247C">
        <w:rPr>
          <w:b/>
          <w:lang w:eastAsia="sk-SK"/>
        </w:rPr>
        <w:t>C:</w:t>
      </w:r>
      <w:r w:rsidRPr="00D8247C">
        <w:rPr>
          <w:lang w:eastAsia="sk-SK"/>
        </w:rPr>
        <w:t xml:space="preserve"> </w:t>
      </w:r>
      <w:r w:rsidRPr="00D8247C">
        <w:rPr>
          <w:b/>
          <w:lang w:eastAsia="sk-SK"/>
        </w:rPr>
        <w:t>Nepriame finančné náklady</w:t>
      </w:r>
      <w:r w:rsidRPr="00D8247C">
        <w:rPr>
          <w:lang w:eastAsia="sk-SK"/>
        </w:rPr>
        <w:t xml:space="preserve">: vypĺňa sa, ak ustanovenia právneho predpisu zakladajú rušia či menia výšku nepriamych nákladov. Kvantifikované vplyvy (v eurách na PP) sa rozdelia na tie, ktoré podnikateľom zvyšujú náklady a na tie, ktoré znižujú náklady. V prípade objektívnej nedostupnosti požadovaného údaja použite expertný odhad. </w:t>
      </w:r>
    </w:p>
    <w:p w14:paraId="4C7D10E6" w14:textId="77777777" w:rsidR="004A117C" w:rsidRPr="00D8247C" w:rsidRDefault="004A117C" w:rsidP="004A117C">
      <w:pPr>
        <w:jc w:val="both"/>
        <w:rPr>
          <w:lang w:eastAsia="sk-SK"/>
        </w:rPr>
      </w:pPr>
    </w:p>
    <w:p w14:paraId="74FE2031" w14:textId="77777777" w:rsidR="004A117C" w:rsidRPr="00D8247C" w:rsidRDefault="004A117C" w:rsidP="004A117C">
      <w:pPr>
        <w:spacing w:after="120"/>
        <w:jc w:val="both"/>
        <w:rPr>
          <w:lang w:eastAsia="sk-SK"/>
        </w:rPr>
      </w:pPr>
      <w:r w:rsidRPr="00D8247C">
        <w:rPr>
          <w:i/>
          <w:lang w:eastAsia="sk-SK"/>
        </w:rPr>
        <w:t xml:space="preserve">Nepriame finančné náklady – sú náklady, ktoré musí podnikateľ vynaložiť na účely zabezpečenia súladu výrobku, služieb, interných procesov, vybavenia prevádzky s požiadavkami regulácie (napr. 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 Patria sem aj, príplatky k mzde, príspevky zamestnancom, cestovné náhrady, stravné a pod. </w:t>
      </w:r>
    </w:p>
    <w:p w14:paraId="5425F36E" w14:textId="77777777" w:rsidR="004A117C" w:rsidRPr="00D8247C" w:rsidRDefault="004A117C" w:rsidP="004A117C">
      <w:pPr>
        <w:jc w:val="both"/>
        <w:rPr>
          <w:lang w:eastAsia="sk-SK"/>
        </w:rPr>
      </w:pPr>
      <w:r w:rsidRPr="00D8247C">
        <w:rPr>
          <w:rFonts w:eastAsia="Calibri"/>
          <w:b/>
        </w:rPr>
        <w:t>D</w:t>
      </w:r>
      <w:r w:rsidRPr="00D8247C">
        <w:rPr>
          <w:rFonts w:eastAsia="Calibri"/>
          <w:b/>
          <w:i/>
        </w:rPr>
        <w:t>.</w:t>
      </w:r>
      <w:r w:rsidRPr="00D8247C">
        <w:rPr>
          <w:rFonts w:eastAsia="Calibri"/>
          <w:i/>
        </w:rPr>
        <w:t xml:space="preserve"> </w:t>
      </w:r>
      <w:r w:rsidRPr="00D8247C">
        <w:rPr>
          <w:b/>
          <w:lang w:eastAsia="sk-SK"/>
        </w:rPr>
        <w:t>Administratívne náklady</w:t>
      </w:r>
      <w:r w:rsidRPr="00D8247C">
        <w:rPr>
          <w:lang w:eastAsia="sk-SK"/>
        </w:rPr>
        <w:t>: vypĺňa sa, ak ustanovenia právneho predpisu zakladajú,  rušia či</w:t>
      </w:r>
      <w:r>
        <w:rPr>
          <w:lang w:eastAsia="sk-SK"/>
        </w:rPr>
        <w:t> </w:t>
      </w:r>
      <w:r w:rsidRPr="001F1B43">
        <w:rPr>
          <w:lang w:eastAsia="sk-SK"/>
        </w:rPr>
        <w:t>menia výšku administratívnych nákladov. Kvantifikované vplyvy (v eurách na PP) sa</w:t>
      </w:r>
      <w:r>
        <w:rPr>
          <w:lang w:eastAsia="sk-SK"/>
        </w:rPr>
        <w:t> </w:t>
      </w:r>
      <w:r w:rsidRPr="00D8247C">
        <w:rPr>
          <w:lang w:eastAsia="sk-SK"/>
        </w:rPr>
        <w:t xml:space="preserve">rozdelia na tie, ktoré podnikateľom zvyšujú náklady a na tie, ktoré znižujú náklady. Pri kvantifikácii administratívnych nákladov je možné použiť štandardizovanú časovú náročnosť pre typické administratívne povinnosti (uvedenú v tabuľke na str. 10), alebo je možné použiť expertný odhad. </w:t>
      </w:r>
    </w:p>
    <w:p w14:paraId="4EF8B813" w14:textId="77777777" w:rsidR="004A117C" w:rsidRPr="00D8247C" w:rsidRDefault="004A117C" w:rsidP="004A117C">
      <w:pPr>
        <w:jc w:val="both"/>
        <w:rPr>
          <w:lang w:eastAsia="sk-SK"/>
        </w:rPr>
      </w:pPr>
    </w:p>
    <w:p w14:paraId="36BA8712" w14:textId="77777777" w:rsidR="004A117C" w:rsidRPr="00D8247C" w:rsidRDefault="004A117C" w:rsidP="004A117C">
      <w:pPr>
        <w:spacing w:after="120"/>
        <w:jc w:val="both"/>
        <w:rPr>
          <w:i/>
          <w:lang w:eastAsia="sk-SK"/>
        </w:rPr>
      </w:pPr>
      <w:r w:rsidRPr="00D8247C">
        <w:rPr>
          <w:i/>
          <w:lang w:eastAsia="sk-SK"/>
        </w:rPr>
        <w:t xml:space="preserve">Administratívne náklady – Ide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reguláciou a jej implementáciou. </w:t>
      </w:r>
    </w:p>
    <w:p w14:paraId="2CDC9309" w14:textId="77777777" w:rsidR="004A117C" w:rsidRPr="00D8247C" w:rsidRDefault="004A117C" w:rsidP="004A117C">
      <w:pPr>
        <w:spacing w:after="120"/>
        <w:jc w:val="both"/>
        <w:rPr>
          <w:lang w:eastAsia="sk-SK"/>
        </w:rPr>
      </w:pPr>
      <w:r w:rsidRPr="00D8247C">
        <w:rPr>
          <w:b/>
          <w:lang w:eastAsia="sk-SK"/>
        </w:rPr>
        <w:t>Spolu A+B+C+D:</w:t>
      </w:r>
      <w:r w:rsidRPr="00D8247C">
        <w:rPr>
          <w:lang w:eastAsia="sk-SK"/>
        </w:rPr>
        <w:t xml:space="preserve"> spočítajú sa všetky vplyvy </w:t>
      </w:r>
      <w:r w:rsidRPr="00D8247C">
        <w:rPr>
          <w:b/>
          <w:lang w:eastAsia="sk-SK"/>
        </w:rPr>
        <w:t>(A+B+C+D).</w:t>
      </w:r>
      <w:r w:rsidRPr="00D8247C">
        <w:rPr>
          <w:lang w:eastAsia="sk-SK"/>
        </w:rPr>
        <w:t xml:space="preserve"> Tento súčet vyjadruje aký celkový pozitívny vplyv a aký celkový negatívny vplyv má regulácia na náklady PP.  </w:t>
      </w:r>
    </w:p>
    <w:p w14:paraId="25017D6A" w14:textId="77777777" w:rsidR="004A117C" w:rsidRPr="00D8247C" w:rsidRDefault="004A117C" w:rsidP="004A117C">
      <w:pPr>
        <w:jc w:val="both"/>
        <w:rPr>
          <w:lang w:eastAsia="sk-SK"/>
        </w:rPr>
      </w:pPr>
      <w:r w:rsidRPr="00D8247C">
        <w:rPr>
          <w:b/>
          <w:lang w:eastAsia="sk-SK"/>
        </w:rPr>
        <w:lastRenderedPageBreak/>
        <w:t>E.</w:t>
      </w:r>
      <w:r w:rsidRPr="00D8247C">
        <w:rPr>
          <w:lang w:eastAsia="sk-SK"/>
        </w:rPr>
        <w:t xml:space="preserve"> </w:t>
      </w:r>
      <w:r w:rsidRPr="00D8247C">
        <w:rPr>
          <w:b/>
          <w:lang w:eastAsia="sk-SK"/>
        </w:rPr>
        <w:t>Vplyv na mikro, malé a stredné podniky (MSP):</w:t>
      </w:r>
      <w:r w:rsidRPr="00D8247C">
        <w:rPr>
          <w:lang w:eastAsia="sk-SK"/>
        </w:rPr>
        <w:t xml:space="preserve"> vypočítajú sa náklady tých ustanovení predkladaného právneho predpisu, ktoré majú vplyv na MSP resp. aj na MSP. Kvantifikované vplyvy (v eurách na PP) sa rozdelia na tie, ktoré podnikateľom zvyšujú náklady a na tie, ktoré znižujú náklady.  Kategóriu MSP tvoria podniky, ktoré zamestnávajú menej ako 250 osôb a</w:t>
      </w:r>
      <w:r>
        <w:rPr>
          <w:lang w:eastAsia="sk-SK"/>
        </w:rPr>
        <w:t> </w:t>
      </w:r>
      <w:r w:rsidRPr="00D8247C">
        <w:rPr>
          <w:lang w:eastAsia="sk-SK"/>
        </w:rPr>
        <w:t>ktorých ročný obrat nepresahuje 50 miliónov eur a/alebo celková ročná bilančná suma neprevyšuje 43 miliónov eur.</w:t>
      </w:r>
    </w:p>
    <w:p w14:paraId="45350760" w14:textId="77777777" w:rsidR="004A117C" w:rsidRPr="00D8247C" w:rsidRDefault="004A117C" w:rsidP="004A117C">
      <w:pPr>
        <w:jc w:val="both"/>
        <w:rPr>
          <w:lang w:eastAsia="sk-SK"/>
        </w:rPr>
      </w:pPr>
    </w:p>
    <w:p w14:paraId="1E68CCBD" w14:textId="77777777" w:rsidR="004A117C" w:rsidRPr="00D8247C" w:rsidRDefault="004A117C" w:rsidP="004A117C">
      <w:pPr>
        <w:spacing w:after="120"/>
        <w:jc w:val="both"/>
        <w:rPr>
          <w:lang w:eastAsia="sk-SK"/>
        </w:rPr>
      </w:pPr>
      <w:r w:rsidRPr="00D8247C">
        <w:rPr>
          <w:b/>
          <w:lang w:eastAsia="sk-SK"/>
        </w:rPr>
        <w:t>F. Úplná harmonizácia práva EÚ</w:t>
      </w:r>
      <w:r w:rsidRPr="00D8247C">
        <w:rPr>
          <w:lang w:eastAsia="sk-SK"/>
        </w:rPr>
        <w:t>: spočítajú sa náklady tých ustanovení predkladaného právneho predpisu, ktoré vyplývajú z legislatívy EÚ, od ktorej sa nemožno odkloniť a ktorú ani nie je možné upraviť inak (z Tabuľky č. 2 – Pôvod regulácie: EÚ úplná harm.). Neuvádzajú sa</w:t>
      </w:r>
      <w:r>
        <w:rPr>
          <w:lang w:eastAsia="sk-SK"/>
        </w:rPr>
        <w:t> </w:t>
      </w:r>
      <w:r w:rsidRPr="00D8247C">
        <w:rPr>
          <w:lang w:eastAsia="sk-SK"/>
        </w:rPr>
        <w:t xml:space="preserve">sem vplyvy na náklady, ktoré vychádzajú z harmonizácie s právom EÚ s možnosťou voľby (tie nemajú výnimku z mechanizmu znižovania byrokracie a nákladov). Kvantifikované vplyvy (v eurách na PP) sa rozdelia na tie, ktoré podnikateľom zvyšujú náklady a na tie, ktoré znižujú náklady.  </w:t>
      </w:r>
    </w:p>
    <w:p w14:paraId="3583207D" w14:textId="77777777" w:rsidR="004A117C" w:rsidRPr="00D8247C" w:rsidRDefault="004A117C" w:rsidP="004A117C">
      <w:pPr>
        <w:spacing w:after="120"/>
        <w:jc w:val="both"/>
        <w:rPr>
          <w:lang w:eastAsia="sk-SK"/>
        </w:rPr>
      </w:pPr>
      <w:r w:rsidRPr="00D8247C">
        <w:rPr>
          <w:b/>
          <w:lang w:eastAsia="sk-SK"/>
        </w:rPr>
        <w:t>G. Náklady okrem výnimiek = B+C+D-F</w:t>
      </w:r>
      <w:r w:rsidRPr="00D8247C">
        <w:rPr>
          <w:lang w:eastAsia="sk-SK"/>
        </w:rPr>
        <w:t>: vypočítajú sa náklady, ktoré vstupujú do</w:t>
      </w:r>
      <w:r>
        <w:rPr>
          <w:lang w:eastAsia="sk-SK"/>
        </w:rPr>
        <w:t> </w:t>
      </w:r>
      <w:r w:rsidRPr="00D8247C">
        <w:rPr>
          <w:lang w:eastAsia="sk-SK"/>
        </w:rPr>
        <w:t>mechanizmu</w:t>
      </w:r>
      <w:r w:rsidRPr="00D8247C">
        <w:rPr>
          <w:rFonts w:ascii="Calibri" w:eastAsia="Calibri" w:hAnsi="Calibri"/>
        </w:rPr>
        <w:t xml:space="preserve"> </w:t>
      </w:r>
      <w:r w:rsidRPr="00D8247C">
        <w:rPr>
          <w:lang w:eastAsia="sk-SK"/>
        </w:rPr>
        <w:t xml:space="preserve">znižovania byrokracie a nákladov. Ide o súčet </w:t>
      </w:r>
      <w:r>
        <w:rPr>
          <w:lang w:eastAsia="sk-SK"/>
        </w:rPr>
        <w:t xml:space="preserve">iných </w:t>
      </w:r>
      <w:r w:rsidRPr="00D8247C">
        <w:rPr>
          <w:lang w:eastAsia="sk-SK"/>
        </w:rPr>
        <w:t xml:space="preserve">poplatkov, nepriamych finančných nákladov a administratívnych nákladov, oslobodený od výšky nákladov, vyplývajúcich z úplnej harmonizácie s právom EÚ. Kvantifikované vplyvy (v eurách na PP) sa rozdelia na tie, ktoré podnikateľom zvyšujú náklady a na tie, ktoré znižujú náklady.  </w:t>
      </w:r>
    </w:p>
    <w:p w14:paraId="02822D3C" w14:textId="77777777" w:rsidR="004A117C" w:rsidRPr="00D8247C" w:rsidRDefault="004A117C" w:rsidP="004A117C">
      <w:pPr>
        <w:jc w:val="both"/>
        <w:rPr>
          <w:b/>
          <w:bCs/>
          <w:lang w:eastAsia="sk-SK"/>
        </w:rPr>
      </w:pPr>
    </w:p>
    <w:p w14:paraId="570E17C2" w14:textId="77777777" w:rsidR="004A117C" w:rsidRPr="00D8247C" w:rsidRDefault="004A117C" w:rsidP="004A117C">
      <w:pPr>
        <w:pBdr>
          <w:top w:val="single" w:sz="4" w:space="1" w:color="auto"/>
          <w:left w:val="single" w:sz="4" w:space="4" w:color="auto"/>
          <w:bottom w:val="single" w:sz="4" w:space="1" w:color="auto"/>
          <w:right w:val="single" w:sz="4" w:space="4" w:color="auto"/>
        </w:pBdr>
        <w:jc w:val="both"/>
        <w:rPr>
          <w:lang w:eastAsia="sk-SK"/>
        </w:rPr>
      </w:pPr>
      <w:r w:rsidRPr="00D8247C">
        <w:rPr>
          <w:b/>
          <w:bCs/>
          <w:iCs/>
          <w:lang w:eastAsia="sk-SK"/>
        </w:rPr>
        <w:t>3.1.2 Výpočty vplyvov jednotlivých regulácií na zmeny v nákladoch podnikateľov</w:t>
      </w:r>
    </w:p>
    <w:p w14:paraId="52B259D3" w14:textId="77777777" w:rsidR="004A117C" w:rsidRPr="00D8247C" w:rsidRDefault="004A117C" w:rsidP="004A117C">
      <w:pPr>
        <w:jc w:val="both"/>
        <w:rPr>
          <w:bCs/>
          <w:iCs/>
          <w:lang w:eastAsia="sk-SK"/>
        </w:rPr>
      </w:pPr>
    </w:p>
    <w:p w14:paraId="1F2CD729" w14:textId="77777777" w:rsidR="004A117C" w:rsidRPr="00D8247C" w:rsidRDefault="004A117C" w:rsidP="004A117C">
      <w:pPr>
        <w:jc w:val="both"/>
        <w:rPr>
          <w:b/>
          <w:bCs/>
          <w:iCs/>
          <w:lang w:eastAsia="sk-SK"/>
        </w:rPr>
      </w:pPr>
      <w:r w:rsidRPr="00D8247C">
        <w:rPr>
          <w:b/>
          <w:bCs/>
          <w:iCs/>
          <w:lang w:eastAsia="sk-SK"/>
        </w:rPr>
        <w:t>Tabuľka č. 2: Výpočet vplyvov jednotlivých regulácií na zmeny v nákladoch podnikateľov</w:t>
      </w:r>
    </w:p>
    <w:p w14:paraId="1646FBC4" w14:textId="77777777" w:rsidR="004A117C" w:rsidRPr="00D8247C" w:rsidRDefault="004A117C" w:rsidP="004A117C">
      <w:pPr>
        <w:jc w:val="both"/>
        <w:rPr>
          <w:bCs/>
          <w:iCs/>
          <w:lang w:eastAsia="sk-SK"/>
        </w:rPr>
      </w:pPr>
    </w:p>
    <w:p w14:paraId="3C3546B3" w14:textId="77777777" w:rsidR="004A117C" w:rsidRPr="00D8247C" w:rsidRDefault="004A117C" w:rsidP="004A117C">
      <w:pPr>
        <w:jc w:val="both"/>
        <w:rPr>
          <w:i/>
          <w:lang w:eastAsia="sk-SK"/>
        </w:rPr>
      </w:pPr>
      <w:r w:rsidRPr="00D8247C">
        <w:rPr>
          <w:bCs/>
          <w:iCs/>
          <w:lang w:eastAsia="sk-SK"/>
        </w:rPr>
        <w:t>Predkladateľ</w:t>
      </w:r>
      <w:r w:rsidRPr="00D8247C">
        <w:rPr>
          <w:lang w:eastAsia="sk-SK"/>
        </w:rPr>
        <w:t xml:space="preserve"> vloží </w:t>
      </w:r>
      <w:r w:rsidRPr="00D8247C">
        <w:rPr>
          <w:b/>
          <w:lang w:eastAsia="sk-SK"/>
        </w:rPr>
        <w:t>tabuľku č. 2</w:t>
      </w:r>
      <w:r w:rsidRPr="00D8247C">
        <w:rPr>
          <w:lang w:eastAsia="sk-SK"/>
        </w:rPr>
        <w:t xml:space="preserve">, ktorú mu vygeneruje </w:t>
      </w:r>
      <w:r w:rsidRPr="00D8247C">
        <w:rPr>
          <w:b/>
          <w:i/>
          <w:lang w:eastAsia="sk-SK"/>
        </w:rPr>
        <w:t>Kalkulačk</w:t>
      </w:r>
      <w:r>
        <w:rPr>
          <w:b/>
          <w:i/>
          <w:lang w:eastAsia="sk-SK"/>
        </w:rPr>
        <w:t>a</w:t>
      </w:r>
      <w:r w:rsidRPr="00D8247C">
        <w:rPr>
          <w:b/>
          <w:i/>
          <w:lang w:eastAsia="sk-SK"/>
        </w:rPr>
        <w:t xml:space="preserve"> nákladov</w:t>
      </w:r>
      <w:r w:rsidRPr="00D8247C">
        <w:rPr>
          <w:i/>
          <w:lang w:eastAsia="sk-SK"/>
        </w:rPr>
        <w:t>:</w:t>
      </w:r>
    </w:p>
    <w:p w14:paraId="62E61937" w14:textId="77777777" w:rsidR="004A117C" w:rsidRPr="00D8247C" w:rsidRDefault="004A117C" w:rsidP="004A117C">
      <w:pPr>
        <w:jc w:val="both"/>
        <w:rPr>
          <w:i/>
          <w:lang w:eastAsia="sk-SK"/>
        </w:rPr>
      </w:pPr>
    </w:p>
    <w:p w14:paraId="30624B2B" w14:textId="77777777" w:rsidR="004A117C" w:rsidRPr="00D8247C" w:rsidRDefault="004A117C" w:rsidP="004A117C">
      <w:pPr>
        <w:jc w:val="both"/>
        <w:rPr>
          <w:b/>
          <w:i/>
          <w:lang w:eastAsia="sk-SK"/>
        </w:rPr>
      </w:pPr>
      <w:r w:rsidRPr="00D8247C">
        <w:rPr>
          <w:b/>
          <w:i/>
          <w:lang w:eastAsia="sk-SK"/>
        </w:rPr>
        <w:t>Pokyny k jednotlivým stĺpcom tabuľky č. 2:</w:t>
      </w:r>
    </w:p>
    <w:p w14:paraId="45EA7195" w14:textId="77777777" w:rsidR="004A117C" w:rsidRPr="00D8247C" w:rsidRDefault="004A117C" w:rsidP="004A117C">
      <w:pPr>
        <w:jc w:val="both"/>
        <w:rPr>
          <w:b/>
          <w:lang w:eastAsia="sk-SK"/>
        </w:rPr>
      </w:pPr>
    </w:p>
    <w:p w14:paraId="4E144D7A" w14:textId="77777777" w:rsidR="004A117C" w:rsidRPr="00D8247C" w:rsidRDefault="004A117C" w:rsidP="004A117C">
      <w:pPr>
        <w:jc w:val="both"/>
        <w:rPr>
          <w:lang w:eastAsia="sk-SK"/>
        </w:rPr>
      </w:pPr>
      <w:r w:rsidRPr="00D8247C">
        <w:rPr>
          <w:b/>
          <w:lang w:eastAsia="sk-SK"/>
        </w:rPr>
        <w:t>Zrozumiteľný a stručný opis regulácie vyjadrujúci dôvod zvýšenia/zníženia nákladov na</w:t>
      </w:r>
      <w:r>
        <w:rPr>
          <w:b/>
          <w:lang w:eastAsia="sk-SK"/>
        </w:rPr>
        <w:t> </w:t>
      </w:r>
      <w:r w:rsidRPr="00D8247C">
        <w:rPr>
          <w:b/>
          <w:lang w:eastAsia="sk-SK"/>
        </w:rPr>
        <w:t xml:space="preserve">PP: </w:t>
      </w:r>
      <w:r w:rsidRPr="00D8247C">
        <w:rPr>
          <w:lang w:eastAsia="sk-SK"/>
        </w:rPr>
        <w:t xml:space="preserve">v tomto stĺpci predkladateľ uvedie stručne a výstižne aj dôvod zvýšenia/zníženia nákladov na PP. Predkladateľ nekopíruje paragrafové znenie regulácie! </w:t>
      </w:r>
      <w:r w:rsidRPr="00D8247C">
        <w:rPr>
          <w:i/>
          <w:iCs/>
          <w:lang w:eastAsia="sk-SK"/>
        </w:rPr>
        <w:t>Napríklad: zníženie frekvencie povinných kontrol strojov z ročnej na dvojročnú.</w:t>
      </w:r>
      <w:r w:rsidRPr="00D8247C">
        <w:rPr>
          <w:b/>
          <w:bCs/>
          <w:color w:val="000000"/>
          <w:lang w:eastAsia="sk-SK"/>
        </w:rPr>
        <w:t xml:space="preserve"> </w:t>
      </w:r>
    </w:p>
    <w:p w14:paraId="7BED0DD2" w14:textId="77777777" w:rsidR="004A117C" w:rsidRPr="00D8247C" w:rsidRDefault="004A117C" w:rsidP="004A117C">
      <w:pPr>
        <w:jc w:val="both"/>
        <w:rPr>
          <w:lang w:eastAsia="sk-SK"/>
        </w:rPr>
      </w:pPr>
    </w:p>
    <w:p w14:paraId="50381C96" w14:textId="77777777" w:rsidR="004A117C" w:rsidRPr="00D8247C" w:rsidRDefault="004A117C" w:rsidP="004A117C">
      <w:pPr>
        <w:jc w:val="both"/>
        <w:rPr>
          <w:lang w:eastAsia="sk-SK"/>
        </w:rPr>
      </w:pPr>
      <w:r w:rsidRPr="00D8247C">
        <w:rPr>
          <w:b/>
          <w:lang w:eastAsia="sk-SK"/>
        </w:rPr>
        <w:t>Číslo normy (zákona, vyhlášky a pod.):</w:t>
      </w:r>
      <w:r w:rsidRPr="00D8247C">
        <w:rPr>
          <w:lang w:eastAsia="sk-SK"/>
        </w:rPr>
        <w:t xml:space="preserve"> predkladateľ uvedie číslo právneho predpisu, v ktorom je upravená predmetná regulácia, čo slúži pre exaktnú identifikáciu zdroja právnej úpravy, zvlášť v prípadoch, kedy materiál upravuje dva a viac právnych predpisov. </w:t>
      </w:r>
      <w:r w:rsidRPr="00D8247C">
        <w:rPr>
          <w:i/>
          <w:lang w:eastAsia="sk-SK"/>
        </w:rPr>
        <w:t>Napríklad: zákon č. 311/2001 Z. z.</w:t>
      </w:r>
      <w:r w:rsidRPr="00D8247C">
        <w:rPr>
          <w:lang w:eastAsia="sk-SK"/>
        </w:rPr>
        <w:t xml:space="preserve"> </w:t>
      </w:r>
    </w:p>
    <w:p w14:paraId="13AD8488" w14:textId="77777777" w:rsidR="004A117C" w:rsidRPr="00D8247C" w:rsidRDefault="004A117C" w:rsidP="004A117C">
      <w:pPr>
        <w:jc w:val="both"/>
        <w:rPr>
          <w:b/>
          <w:lang w:eastAsia="sk-SK"/>
        </w:rPr>
      </w:pPr>
    </w:p>
    <w:p w14:paraId="02C20750" w14:textId="77777777" w:rsidR="004A117C" w:rsidRPr="00D8247C" w:rsidRDefault="004A117C" w:rsidP="004A117C">
      <w:pPr>
        <w:jc w:val="both"/>
        <w:rPr>
          <w:lang w:eastAsia="sk-SK"/>
        </w:rPr>
      </w:pPr>
      <w:r w:rsidRPr="00D8247C">
        <w:rPr>
          <w:b/>
          <w:lang w:eastAsia="sk-SK"/>
        </w:rPr>
        <w:t>Lokalizácia (</w:t>
      </w:r>
      <w:r w:rsidRPr="00D8247C">
        <w:rPr>
          <w:b/>
          <w:bCs/>
          <w:color w:val="000000"/>
          <w:lang w:eastAsia="sk-SK"/>
        </w:rPr>
        <w:t>§, ods.):</w:t>
      </w:r>
      <w:r w:rsidRPr="00D8247C">
        <w:rPr>
          <w:bCs/>
          <w:color w:val="000000"/>
          <w:lang w:eastAsia="sk-SK"/>
        </w:rPr>
        <w:t xml:space="preserve"> </w:t>
      </w:r>
      <w:r w:rsidRPr="00D8247C">
        <w:rPr>
          <w:lang w:eastAsia="sk-SK"/>
        </w:rPr>
        <w:t>predkladateľ uvedie, ktorý paragraf, odsek, písmeno a bod upravuje zmenu predmetnej regulácie.</w:t>
      </w:r>
      <w:r w:rsidRPr="00D8247C">
        <w:rPr>
          <w:bCs/>
          <w:color w:val="000000"/>
          <w:lang w:eastAsia="sk-SK"/>
        </w:rPr>
        <w:t xml:space="preserve"> </w:t>
      </w:r>
      <w:r w:rsidRPr="00D8247C">
        <w:rPr>
          <w:lang w:eastAsia="sk-SK"/>
        </w:rPr>
        <w:t xml:space="preserve"> </w:t>
      </w:r>
      <w:r w:rsidRPr="00D8247C">
        <w:rPr>
          <w:i/>
          <w:iCs/>
          <w:lang w:eastAsia="sk-SK"/>
        </w:rPr>
        <w:t xml:space="preserve">Napríklad: § 15 ods. 2 písm. b). </w:t>
      </w:r>
    </w:p>
    <w:p w14:paraId="689F3A7D" w14:textId="77777777" w:rsidR="004A117C" w:rsidRPr="00D8247C" w:rsidRDefault="004A117C" w:rsidP="004A117C">
      <w:pPr>
        <w:jc w:val="both"/>
        <w:rPr>
          <w:bCs/>
          <w:color w:val="000000"/>
          <w:lang w:eastAsia="sk-SK"/>
        </w:rPr>
      </w:pPr>
    </w:p>
    <w:p w14:paraId="3F93B09E" w14:textId="77777777" w:rsidR="004A117C" w:rsidRPr="00D8247C" w:rsidRDefault="004A117C" w:rsidP="004A117C">
      <w:pPr>
        <w:jc w:val="both"/>
        <w:rPr>
          <w:i/>
          <w:iCs/>
          <w:lang w:eastAsia="sk-SK"/>
        </w:rPr>
      </w:pPr>
      <w:r w:rsidRPr="00D8247C">
        <w:rPr>
          <w:b/>
          <w:lang w:eastAsia="sk-SK"/>
        </w:rPr>
        <w:t>Pôvod regulácie</w:t>
      </w:r>
      <w:r w:rsidRPr="00D8247C">
        <w:rPr>
          <w:lang w:eastAsia="sk-SK"/>
        </w:rPr>
        <w:t xml:space="preserve">: predkladateľ vyberie jednu z možností pôvodu regulácie: </w:t>
      </w:r>
      <w:r w:rsidRPr="00D8247C">
        <w:rPr>
          <w:color w:val="000000"/>
          <w:lang w:eastAsia="sk-SK"/>
        </w:rPr>
        <w:t>SK; EÚ úplná harm.; EÚ harm. s možnosťou voľby</w:t>
      </w:r>
      <w:r w:rsidRPr="00D8247C">
        <w:rPr>
          <w:lang w:eastAsia="sk-SK"/>
        </w:rPr>
        <w:t xml:space="preserve">. Regulácie s pôvodom „SK“ sú domáce iniciatívne regulácie. Pôvod „EÚ úplná harmonizácia“ majú tie ustanovenia, ktoré sú transpozíciou práva EÚ, pri ktorých nie je možná voľba ani odklon od znenia práva EÚ. </w:t>
      </w:r>
      <w:r w:rsidRPr="00D8247C">
        <w:rPr>
          <w:i/>
          <w:iCs/>
          <w:lang w:eastAsia="sk-SK"/>
        </w:rPr>
        <w:t>Napríklad: presné znenie predzmluvnej informácie, ktorú musia obsahovať všeobecné obchodné podmienky.</w:t>
      </w:r>
      <w:r w:rsidRPr="00D8247C">
        <w:rPr>
          <w:lang w:eastAsia="sk-SK"/>
        </w:rPr>
        <w:t xml:space="preserve"> Pôvod „EÚ harmonizácia s možnosťou voľby“ majú tie  ustanovenia, ktoré sú transpozíciou alebo implementáciou práva EÚ, ktoré má úroveň minimálnej harmonizácie alebo ide o transpozíciou </w:t>
      </w:r>
      <w:r w:rsidRPr="00D8247C">
        <w:rPr>
          <w:lang w:eastAsia="sk-SK"/>
        </w:rPr>
        <w:lastRenderedPageBreak/>
        <w:t xml:space="preserve">alebo implementáciu s možnosťou voľby. </w:t>
      </w:r>
      <w:r w:rsidRPr="00D8247C">
        <w:rPr>
          <w:i/>
          <w:iCs/>
          <w:lang w:eastAsia="sk-SK"/>
        </w:rPr>
        <w:t>Napríklad: Povinnosť mať systém ochrany pre prípad úpadku, avšak samotný mechanizmus, fungovanie sú na voľbe členského štátu.</w:t>
      </w:r>
    </w:p>
    <w:p w14:paraId="1FEB7AC3" w14:textId="77777777" w:rsidR="004A117C" w:rsidRPr="00D8247C" w:rsidRDefault="004A117C" w:rsidP="004A117C">
      <w:pPr>
        <w:jc w:val="both"/>
        <w:rPr>
          <w:lang w:eastAsia="sk-SK"/>
        </w:rPr>
      </w:pPr>
    </w:p>
    <w:p w14:paraId="27D14AC1" w14:textId="77777777" w:rsidR="004A117C" w:rsidRPr="00D8247C" w:rsidRDefault="004A117C" w:rsidP="004A117C">
      <w:pPr>
        <w:jc w:val="both"/>
        <w:rPr>
          <w:lang w:eastAsia="sk-SK"/>
        </w:rPr>
      </w:pPr>
      <w:r w:rsidRPr="00D8247C">
        <w:rPr>
          <w:b/>
          <w:lang w:eastAsia="sk-SK"/>
        </w:rPr>
        <w:t xml:space="preserve">Účinnosť regulácie: </w:t>
      </w:r>
      <w:r w:rsidRPr="00D8247C">
        <w:rPr>
          <w:lang w:eastAsia="sk-SK"/>
        </w:rPr>
        <w:t xml:space="preserve">predkladateľ uvedie dátum/dátumy účinnosti resp. navrhovanej účinnosti regulácie (obzvlášť dôležité v prípade, ak právny predpis obsahuje ustanovenia s rôznymi dátumami účinnosti). </w:t>
      </w:r>
      <w:r w:rsidRPr="00D8247C">
        <w:rPr>
          <w:i/>
          <w:lang w:eastAsia="sk-SK"/>
        </w:rPr>
        <w:t>Napríklad: 1.7.2022.</w:t>
      </w:r>
    </w:p>
    <w:p w14:paraId="232DA5A2" w14:textId="77777777" w:rsidR="004A117C" w:rsidRPr="00D8247C" w:rsidRDefault="004A117C" w:rsidP="004A117C">
      <w:pPr>
        <w:jc w:val="both"/>
        <w:rPr>
          <w:lang w:eastAsia="sk-SK"/>
        </w:rPr>
      </w:pPr>
    </w:p>
    <w:p w14:paraId="2937F153" w14:textId="77777777" w:rsidR="004A117C" w:rsidRPr="00D8247C" w:rsidRDefault="004A117C" w:rsidP="004A117C">
      <w:pPr>
        <w:rPr>
          <w:i/>
          <w:iCs/>
          <w:lang w:eastAsia="sk-SK"/>
        </w:rPr>
      </w:pPr>
      <w:r w:rsidRPr="00D8247C">
        <w:rPr>
          <w:b/>
          <w:lang w:eastAsia="sk-SK"/>
        </w:rPr>
        <w:t>Kategória dotknutých subjektov:</w:t>
      </w:r>
      <w:r w:rsidRPr="00D8247C">
        <w:rPr>
          <w:lang w:eastAsia="sk-SK"/>
        </w:rPr>
        <w:t xml:space="preserve"> predkladateľ definuje kategóriu dotknutých subjektov, ktoré budú ovplyvnené predkladanou reguláciou. </w:t>
      </w:r>
      <w:r w:rsidRPr="00D8247C">
        <w:rPr>
          <w:i/>
          <w:iCs/>
          <w:lang w:eastAsia="sk-SK"/>
        </w:rPr>
        <w:t xml:space="preserve">Napríklad: ubytovacie zariadenia, autoškoly a pod. alebo všetky podniky. </w:t>
      </w:r>
      <w:r w:rsidRPr="00D8247C">
        <w:rPr>
          <w:rFonts w:eastAsia="Calibri"/>
        </w:rPr>
        <w:t>V prípade, ak sa návrh týka celého podnikateľského prostredia, predkladateľ uvedie "všetky kategórie".</w:t>
      </w:r>
      <w:r w:rsidRPr="00D8247C" w:rsidDel="007809B3">
        <w:rPr>
          <w:i/>
          <w:iCs/>
          <w:lang w:eastAsia="sk-SK"/>
        </w:rPr>
        <w:t xml:space="preserve"> </w:t>
      </w:r>
    </w:p>
    <w:p w14:paraId="6231BCD7" w14:textId="77777777" w:rsidR="004A117C" w:rsidRDefault="004A117C" w:rsidP="004A117C">
      <w:pPr>
        <w:spacing w:after="120" w:line="276" w:lineRule="auto"/>
        <w:jc w:val="both"/>
        <w:rPr>
          <w:rFonts w:eastAsia="Calibri"/>
        </w:rPr>
      </w:pPr>
      <w:r w:rsidRPr="00D8247C">
        <w:rPr>
          <w:b/>
          <w:iCs/>
          <w:color w:val="000000"/>
          <w:lang w:eastAsia="sk-SK"/>
        </w:rPr>
        <w:t>Počet subjektov v dotknutej kategórii:</w:t>
      </w:r>
      <w:r w:rsidRPr="00D8247C">
        <w:rPr>
          <w:iCs/>
          <w:color w:val="000000"/>
          <w:lang w:eastAsia="sk-SK"/>
        </w:rPr>
        <w:t xml:space="preserve"> predkladateľ uvedie počet dotknutých subjektov v posudzova</w:t>
      </w:r>
      <w:r w:rsidRPr="00D8247C">
        <w:rPr>
          <w:color w:val="000000"/>
          <w:lang w:eastAsia="sk-SK"/>
        </w:rPr>
        <w:t xml:space="preserve">nej kategórii. Ak má jedna regulácia rôzny vplyv na zmenu nákladov viacerých kategórií podnikov, tak pre každú takúto kategóriu je potrebné uviesť samostatný riadok. </w:t>
      </w:r>
      <w:r w:rsidRPr="00D8247C">
        <w:rPr>
          <w:rFonts w:eastAsia="Calibri"/>
        </w:rPr>
        <w:t>Tento údaj môže byť určený presne na základe evidencie zodpovedných útvarov za predchádzajúce obdobie, odhadom prostredníctvom údajov za predchádzajúce obdobie, prostredníctvom</w:t>
      </w:r>
    </w:p>
    <w:p w14:paraId="29266D15" w14:textId="77777777" w:rsidR="004A117C" w:rsidRPr="00D8247C" w:rsidRDefault="004A117C" w:rsidP="004A117C">
      <w:pPr>
        <w:spacing w:after="120" w:line="276" w:lineRule="auto"/>
        <w:jc w:val="both"/>
        <w:rPr>
          <w:rFonts w:eastAsia="Calibri"/>
        </w:rPr>
      </w:pPr>
      <w:r w:rsidRPr="00D8247C">
        <w:rPr>
          <w:rFonts w:eastAsia="Calibri"/>
        </w:rPr>
        <w:t>štatistík podľa SK NACE klasifikácie, iných štatistík alebo expertným odhadom.</w:t>
      </w:r>
      <w:r w:rsidRPr="00D8247C">
        <w:rPr>
          <w:color w:val="000000"/>
          <w:lang w:eastAsia="sk-SK"/>
        </w:rPr>
        <w:t xml:space="preserve"> Ak nie je možné definovať počet dotknutých subjektov, predkladateľ uvedie „N/A“. Ak sa týka všetkých kategórií, tak uvedie celkový počet dotknutých subjektov.</w:t>
      </w:r>
    </w:p>
    <w:p w14:paraId="42338476" w14:textId="77777777" w:rsidR="004A117C" w:rsidRPr="00D8247C" w:rsidRDefault="004A117C" w:rsidP="004A117C">
      <w:pPr>
        <w:jc w:val="both"/>
        <w:rPr>
          <w:lang w:eastAsia="sk-SK"/>
        </w:rPr>
      </w:pPr>
      <w:r w:rsidRPr="00D8247C">
        <w:rPr>
          <w:rFonts w:eastAsia="Calibri"/>
          <w:b/>
          <w:lang w:eastAsia="sk-SK"/>
        </w:rPr>
        <w:t>Počet subjektov</w:t>
      </w:r>
      <w:r w:rsidRPr="00D8247C">
        <w:rPr>
          <w:b/>
          <w:lang w:eastAsia="sk-SK"/>
        </w:rPr>
        <w:t xml:space="preserve"> MSP v dotknutej kategórii:</w:t>
      </w:r>
      <w:r w:rsidRPr="00D8247C">
        <w:rPr>
          <w:lang w:eastAsia="sk-SK"/>
        </w:rPr>
        <w:t xml:space="preserve"> ak má zmena regulácie vplyv aj na MPS, tak predkladateľ uvedie ich počet (kategóriu MSP tvoria podniky, ktoré zamestnávajú menej ako 250 osôb a ktorých ročný obrat nepresahuje 50 miliónov eur a/alebo celková ročná bilančná suma neprevyšuje 43 miliónov eur). </w:t>
      </w:r>
      <w:r w:rsidRPr="00D8247C">
        <w:rPr>
          <w:rFonts w:eastAsia="Calibri"/>
          <w:lang w:eastAsia="sk-SK"/>
        </w:rPr>
        <w:t>Ak má vplyv na MSP, ale z objektívnych dôvodov nie je možné definovať počet dotknutých subjektov, ani vykonať expertný odhad, predkladateľ uvedie „N/A“.</w:t>
      </w:r>
    </w:p>
    <w:p w14:paraId="4D6D87CC" w14:textId="77777777" w:rsidR="004A117C" w:rsidRPr="00D8247C" w:rsidRDefault="004A117C" w:rsidP="004A117C">
      <w:pPr>
        <w:jc w:val="both"/>
        <w:rPr>
          <w:lang w:eastAsia="sk-SK"/>
        </w:rPr>
      </w:pPr>
    </w:p>
    <w:p w14:paraId="7DFF6A48" w14:textId="77777777" w:rsidR="004A117C" w:rsidRPr="00D8247C" w:rsidRDefault="004A117C" w:rsidP="004A117C">
      <w:pPr>
        <w:jc w:val="both"/>
        <w:rPr>
          <w:rFonts w:eastAsia="Calibri"/>
          <w:i/>
          <w:iCs/>
          <w:lang w:eastAsia="sk-SK"/>
        </w:rPr>
      </w:pPr>
      <w:r w:rsidRPr="00D8247C">
        <w:rPr>
          <w:b/>
          <w:bCs/>
          <w:color w:val="000000"/>
          <w:lang w:eastAsia="sk-SK"/>
        </w:rPr>
        <w:t xml:space="preserve">Vplyv na 1 podnikateľa v eurách: </w:t>
      </w:r>
      <w:r w:rsidRPr="00D8247C">
        <w:rPr>
          <w:rFonts w:eastAsia="Calibri"/>
        </w:rPr>
        <w:t xml:space="preserve">vypočíta </w:t>
      </w:r>
      <w:r w:rsidRPr="00D8247C">
        <w:rPr>
          <w:rFonts w:eastAsia="Calibri"/>
          <w:i/>
          <w:lang w:eastAsia="sk-SK"/>
        </w:rPr>
        <w:t>Kalkulačka nákladov</w:t>
      </w:r>
      <w:r w:rsidRPr="00D8247C">
        <w:rPr>
          <w:rFonts w:eastAsia="Calibri"/>
          <w:lang w:eastAsia="sk-SK"/>
        </w:rPr>
        <w:t xml:space="preserve"> na základe údajov v predchádzajúcich stĺpcoch. Podrobnosti výpočtu sú uvedené v ďalšej časti Metodického postupu</w:t>
      </w:r>
      <w:r w:rsidRPr="00D8247C">
        <w:rPr>
          <w:rFonts w:eastAsia="Calibri"/>
          <w:i/>
          <w:iCs/>
          <w:lang w:eastAsia="sk-SK"/>
        </w:rPr>
        <w:t>.</w:t>
      </w:r>
    </w:p>
    <w:p w14:paraId="4A9D4FCE" w14:textId="77777777" w:rsidR="004A117C" w:rsidRPr="00D8247C" w:rsidRDefault="004A117C" w:rsidP="004A117C">
      <w:pPr>
        <w:jc w:val="both"/>
        <w:rPr>
          <w:lang w:eastAsia="sk-SK"/>
        </w:rPr>
      </w:pPr>
      <w:r w:rsidRPr="00D8247C">
        <w:rPr>
          <w:rFonts w:eastAsia="Calibri"/>
          <w:i/>
          <w:iCs/>
          <w:lang w:eastAsia="sk-SK"/>
        </w:rPr>
        <w:t xml:space="preserve"> </w:t>
      </w:r>
    </w:p>
    <w:p w14:paraId="100B7139" w14:textId="77777777" w:rsidR="004A117C" w:rsidRPr="00D8247C" w:rsidRDefault="004A117C" w:rsidP="004A117C">
      <w:pPr>
        <w:spacing w:after="120" w:line="276" w:lineRule="auto"/>
        <w:jc w:val="both"/>
        <w:rPr>
          <w:rFonts w:eastAsia="Calibri"/>
        </w:rPr>
      </w:pPr>
      <w:r w:rsidRPr="00D8247C">
        <w:rPr>
          <w:b/>
          <w:color w:val="000000"/>
        </w:rPr>
        <w:t>Vplyv na kategóriu subjektov v eurách:</w:t>
      </w:r>
      <w:r w:rsidRPr="00D8247C">
        <w:rPr>
          <w:color w:val="000000"/>
        </w:rPr>
        <w:t xml:space="preserve"> vypočíta </w:t>
      </w:r>
      <w:r w:rsidRPr="00D8247C">
        <w:rPr>
          <w:i/>
          <w:color w:val="000000"/>
          <w:lang w:eastAsia="sk-SK"/>
        </w:rPr>
        <w:t>Kalkulačka nákladov</w:t>
      </w:r>
      <w:r w:rsidRPr="00D8247C">
        <w:rPr>
          <w:rFonts w:ascii="Arial" w:hAnsi="Arial"/>
          <w:color w:val="000000"/>
        </w:rPr>
        <w:t xml:space="preserve"> </w:t>
      </w:r>
      <w:r w:rsidRPr="00D8247C">
        <w:rPr>
          <w:color w:val="000000"/>
          <w:lang w:eastAsia="sk-SK"/>
        </w:rPr>
        <w:t>na základe údajov v predchádzajúcich stĺpcoch. Podrobnosti sú uvedené v ďalšej časti Metodického postupu</w:t>
      </w:r>
      <w:r w:rsidRPr="00D8247C">
        <w:rPr>
          <w:i/>
          <w:iCs/>
          <w:color w:val="000000"/>
          <w:lang w:eastAsia="sk-SK"/>
        </w:rPr>
        <w:t xml:space="preserve">. </w:t>
      </w:r>
    </w:p>
    <w:p w14:paraId="220353F4" w14:textId="77777777" w:rsidR="004A117C" w:rsidRPr="00D8247C" w:rsidRDefault="004A117C" w:rsidP="004A117C">
      <w:pPr>
        <w:jc w:val="both"/>
        <w:rPr>
          <w:lang w:eastAsia="sk-SK"/>
        </w:rPr>
      </w:pPr>
      <w:r w:rsidRPr="00D8247C">
        <w:rPr>
          <w:b/>
          <w:bCs/>
          <w:color w:val="000000"/>
          <w:lang w:eastAsia="sk-SK"/>
        </w:rPr>
        <w:t xml:space="preserve">Druh vplyvu IN </w:t>
      </w:r>
      <w:r w:rsidRPr="00D8247C">
        <w:rPr>
          <w:color w:val="000000"/>
          <w:lang w:eastAsia="sk-SK"/>
        </w:rPr>
        <w:t xml:space="preserve">(zvyšuje náklady) / </w:t>
      </w:r>
      <w:r w:rsidRPr="00D8247C">
        <w:rPr>
          <w:b/>
          <w:bCs/>
          <w:color w:val="000000"/>
          <w:lang w:eastAsia="sk-SK"/>
        </w:rPr>
        <w:t xml:space="preserve">OUT </w:t>
      </w:r>
      <w:r w:rsidRPr="00D8247C">
        <w:rPr>
          <w:color w:val="000000"/>
          <w:lang w:eastAsia="sk-SK"/>
        </w:rPr>
        <w:t>(znižuje náklady):</w:t>
      </w:r>
      <w:r w:rsidRPr="00D8247C">
        <w:rPr>
          <w:b/>
          <w:bCs/>
          <w:color w:val="000000"/>
          <w:lang w:eastAsia="sk-SK"/>
        </w:rPr>
        <w:t xml:space="preserve"> </w:t>
      </w:r>
      <w:r w:rsidRPr="00D8247C">
        <w:rPr>
          <w:lang w:eastAsia="sk-SK"/>
        </w:rPr>
        <w:t xml:space="preserve">vyberie sa druh vplyvu. </w:t>
      </w:r>
      <w:r w:rsidRPr="00D8247C">
        <w:rPr>
          <w:i/>
          <w:lang w:eastAsia="sk-SK"/>
        </w:rPr>
        <w:t>Napríklad: Zníženie príplatkov za prácu v sobotu bude mať druh vplyvu OUT, pretože znižuje náklady podnikateľom. Zavedenie nových povinností BOZP bude mať druh vplyvu IN, pretože zvyšuje náklady podnikateľom.</w:t>
      </w:r>
      <w:r w:rsidRPr="00D8247C">
        <w:rPr>
          <w:lang w:eastAsia="sk-SK"/>
        </w:rPr>
        <w:t xml:space="preserve"> </w:t>
      </w:r>
    </w:p>
    <w:p w14:paraId="74B86C9D" w14:textId="77777777" w:rsidR="004A117C" w:rsidRPr="00D8247C" w:rsidRDefault="004A117C" w:rsidP="004A117C">
      <w:pPr>
        <w:rPr>
          <w:lang w:eastAsia="sk-SK"/>
        </w:rPr>
      </w:pPr>
    </w:p>
    <w:p w14:paraId="622BACFB" w14:textId="77777777" w:rsidR="004A117C" w:rsidRPr="00D8247C" w:rsidRDefault="004A117C" w:rsidP="004A117C">
      <w:pPr>
        <w:jc w:val="both"/>
        <w:rPr>
          <w:lang w:eastAsia="sk-SK"/>
        </w:rPr>
      </w:pPr>
    </w:p>
    <w:p w14:paraId="40981364" w14:textId="77777777" w:rsidR="004A117C" w:rsidRPr="00D8247C" w:rsidRDefault="004A117C" w:rsidP="004A117C">
      <w:pPr>
        <w:jc w:val="both"/>
        <w:rPr>
          <w:rFonts w:eastAsia="Calibri"/>
          <w:b/>
          <w:bCs/>
          <w:i/>
          <w:u w:val="single"/>
        </w:rPr>
      </w:pPr>
      <w:r w:rsidRPr="00D8247C">
        <w:rPr>
          <w:rFonts w:eastAsia="Calibri"/>
          <w:b/>
          <w:bCs/>
          <w:i/>
          <w:u w:val="single"/>
        </w:rPr>
        <w:t xml:space="preserve">Doplňujúce informácie k spôsobu výpočtu vplyvov jednotlivých regulácií na zmenu nákladov </w:t>
      </w:r>
    </w:p>
    <w:p w14:paraId="252CC6FC" w14:textId="77777777" w:rsidR="004A117C" w:rsidRPr="00D8247C" w:rsidRDefault="004A117C" w:rsidP="004A117C">
      <w:pPr>
        <w:jc w:val="both"/>
        <w:rPr>
          <w:rFonts w:eastAsia="Calibri"/>
          <w:bCs/>
        </w:rPr>
      </w:pPr>
      <w:r w:rsidRPr="00D8247C">
        <w:rPr>
          <w:rFonts w:eastAsia="Calibri"/>
          <w:bCs/>
        </w:rPr>
        <w:t>V tejto časti uvedie predkladateľ doplňujúce informácie k tabuľke č. 2 a k údajom vyplneným v Kalkulačke nákladov tak, aby umožňoval skontrolovať spôsob a správnosť výpočtov. Predkladateľ osobitne uvedie aj jednotlivé zdroje dát, ktoré použil na výpočty. Pri odkazoch z</w:t>
      </w:r>
      <w:r>
        <w:rPr>
          <w:rFonts w:eastAsia="Calibri"/>
          <w:bCs/>
        </w:rPr>
        <w:t> </w:t>
      </w:r>
      <w:r w:rsidRPr="00D8247C">
        <w:rPr>
          <w:rFonts w:eastAsia="Calibri"/>
          <w:bCs/>
        </w:rPr>
        <w:t>internetu je potrebné uviesť konkrétnu podstránku, odkiaľ boli čerpané d</w:t>
      </w:r>
      <w:r>
        <w:rPr>
          <w:rFonts w:eastAsia="Calibri"/>
          <w:bCs/>
        </w:rPr>
        <w:t xml:space="preserve">áta, nielen kmeňovú adresu webu a zároveň aj dátum, kedy </w:t>
      </w:r>
      <w:r w:rsidRPr="00F021DD">
        <w:rPr>
          <w:rFonts w:eastAsia="Calibri"/>
          <w:bCs/>
        </w:rPr>
        <w:t>bola informácia z danej podstránky prebratá</w:t>
      </w:r>
      <w:r>
        <w:rPr>
          <w:rFonts w:eastAsia="Calibri"/>
          <w:bCs/>
        </w:rPr>
        <w:t>.</w:t>
      </w:r>
    </w:p>
    <w:p w14:paraId="41DA7B5A" w14:textId="77777777" w:rsidR="004A117C" w:rsidRPr="00D8247C" w:rsidRDefault="004A117C" w:rsidP="004A117C">
      <w:pPr>
        <w:jc w:val="both"/>
        <w:rPr>
          <w:rFonts w:eastAsia="Calibri"/>
          <w:bCs/>
        </w:rPr>
      </w:pPr>
      <w:r w:rsidRPr="00D8247C">
        <w:rPr>
          <w:rFonts w:eastAsia="Calibri"/>
          <w:bCs/>
        </w:rPr>
        <w:t>V prípade, ak predkladateľ nemá k dispozícii konkrétne dáta, pokúsi sa vykonať expertný odhad, pričom v tejto časti popíše, akým spôsobom a z akých informácií vychádzal pri expertnom odhade.</w:t>
      </w:r>
    </w:p>
    <w:p w14:paraId="75BB024F" w14:textId="77777777" w:rsidR="004A117C" w:rsidRPr="00D8247C" w:rsidRDefault="004A117C" w:rsidP="004A117C">
      <w:pPr>
        <w:jc w:val="both"/>
        <w:rPr>
          <w:rFonts w:eastAsia="Calibri"/>
          <w:bCs/>
        </w:rPr>
      </w:pPr>
      <w:r w:rsidRPr="00D8247C">
        <w:rPr>
          <w:rFonts w:eastAsia="Calibri"/>
          <w:bCs/>
        </w:rPr>
        <w:lastRenderedPageBreak/>
        <w:t xml:space="preserve">V prípade, ak </w:t>
      </w:r>
      <w:r w:rsidRPr="00D8247C">
        <w:rPr>
          <w:rFonts w:eastAsia="Calibri"/>
          <w:b/>
          <w:bCs/>
        </w:rPr>
        <w:t>vplyvy objektívne nie je možné kvantifikovať alebo vykonať expertný odhad a predkladateľ z tohto dôvodu uvedie v tabuľke znak „N/A“, tak ich v tejto časti aspoň čo</w:t>
      </w:r>
      <w:r>
        <w:rPr>
          <w:rFonts w:eastAsia="Calibri"/>
          <w:b/>
          <w:bCs/>
        </w:rPr>
        <w:t> </w:t>
      </w:r>
      <w:r w:rsidRPr="00D8247C">
        <w:rPr>
          <w:rFonts w:eastAsia="Calibri"/>
          <w:b/>
          <w:bCs/>
        </w:rPr>
        <w:t>najpresnejšie vysvetlí a uvedie dôvod, pre ktoré ich nebolo možné kvantifikovať, alebo vykonať expertný odhad</w:t>
      </w:r>
      <w:r w:rsidRPr="00D8247C">
        <w:rPr>
          <w:rFonts w:eastAsia="Calibri"/>
          <w:bCs/>
        </w:rPr>
        <w:t xml:space="preserve">.  </w:t>
      </w:r>
    </w:p>
    <w:p w14:paraId="22549001" w14:textId="77777777" w:rsidR="004A117C" w:rsidRPr="00D8247C" w:rsidRDefault="004A117C" w:rsidP="004A117C">
      <w:pPr>
        <w:jc w:val="both"/>
        <w:rPr>
          <w:rFonts w:eastAsia="Calibri"/>
          <w:bCs/>
        </w:rPr>
      </w:pPr>
      <w:r w:rsidRPr="00D8247C">
        <w:rPr>
          <w:rFonts w:eastAsia="Calibri"/>
          <w:bCs/>
        </w:rPr>
        <w:t>Za objektívny dôvod je možné považovať skutočnosť, ak sa pre konkrétny údaj nevykonáva štatistické zisťovanie, resp. neexistuje žiadna iná forma sledovania alebo vykazovania, ktorá by mohla byť použitá pre tento účel.</w:t>
      </w:r>
    </w:p>
    <w:p w14:paraId="21254138" w14:textId="77777777" w:rsidR="004A117C" w:rsidRDefault="004A117C" w:rsidP="004A117C">
      <w:pPr>
        <w:jc w:val="both"/>
        <w:rPr>
          <w:rFonts w:eastAsia="Calibri"/>
          <w:bCs/>
        </w:rPr>
      </w:pPr>
      <w:r w:rsidRPr="00D8247C">
        <w:rPr>
          <w:rFonts w:eastAsia="Calibri"/>
          <w:bCs/>
        </w:rPr>
        <w:t>Expertný odhad je možné vykonať na základe rôznych dát, napr. z dát z minulosti. Napríklad, ak je potrebný údaj typu „počet úkonov“ a predkladateľ nevie odhadnúť, koľko úkonov sa</w:t>
      </w:r>
      <w:r>
        <w:rPr>
          <w:rFonts w:eastAsia="Calibri"/>
          <w:bCs/>
        </w:rPr>
        <w:t> </w:t>
      </w:r>
      <w:r w:rsidRPr="00D8247C">
        <w:rPr>
          <w:rFonts w:eastAsia="Calibri"/>
          <w:bCs/>
        </w:rPr>
        <w:t>v budúcom období vykoná, mal by vykonať expertný odhad na základe údajov z minulosti (ideálne z posledného roka), ak je takýto údaj k dispozícii.</w:t>
      </w:r>
    </w:p>
    <w:p w14:paraId="2D43C66E" w14:textId="77777777" w:rsidR="004A117C" w:rsidRDefault="004A117C" w:rsidP="004A117C">
      <w:pPr>
        <w:jc w:val="both"/>
        <w:rPr>
          <w:rFonts w:eastAsia="Calibri"/>
          <w:bCs/>
        </w:rPr>
      </w:pPr>
    </w:p>
    <w:p w14:paraId="1C202F92" w14:textId="77777777" w:rsidR="004A117C" w:rsidRPr="00D8247C" w:rsidRDefault="004A117C" w:rsidP="004A117C">
      <w:pPr>
        <w:jc w:val="both"/>
        <w:rPr>
          <w:rFonts w:eastAsia="Calibri"/>
          <w:b/>
        </w:rPr>
      </w:pPr>
      <w:r w:rsidRPr="00D8247C">
        <w:rPr>
          <w:rFonts w:eastAsia="Calibri"/>
          <w:b/>
        </w:rPr>
        <w:t xml:space="preserve">Metodika </w:t>
      </w:r>
      <w:r>
        <w:rPr>
          <w:rFonts w:eastAsia="Calibri"/>
          <w:b/>
        </w:rPr>
        <w:t>kvantifikácie vplyvov jednotlivých regulácií</w:t>
      </w:r>
      <w:r w:rsidRPr="00D8247C">
        <w:rPr>
          <w:rFonts w:eastAsia="Calibri"/>
          <w:b/>
        </w:rPr>
        <w:t>:</w:t>
      </w:r>
    </w:p>
    <w:p w14:paraId="19CDC411" w14:textId="77777777" w:rsidR="004A117C" w:rsidRPr="00D8247C" w:rsidRDefault="004A117C" w:rsidP="004A117C">
      <w:pPr>
        <w:numPr>
          <w:ilvl w:val="0"/>
          <w:numId w:val="4"/>
        </w:numPr>
        <w:spacing w:after="160" w:line="259" w:lineRule="auto"/>
        <w:contextualSpacing/>
        <w:jc w:val="both"/>
        <w:rPr>
          <w:rFonts w:eastAsia="Calibri"/>
          <w:b/>
        </w:rPr>
      </w:pPr>
      <w:r w:rsidRPr="00D8247C">
        <w:rPr>
          <w:rFonts w:eastAsia="Calibri"/>
          <w:b/>
        </w:rPr>
        <w:t>Rozdelenie materiálu na jednotlivé regulácie, ktoré menia náklady jednotlivých kategórií podnikateľských subjektov</w:t>
      </w:r>
    </w:p>
    <w:p w14:paraId="05E7735B" w14:textId="77777777" w:rsidR="004A117C" w:rsidRPr="00D8247C" w:rsidRDefault="004A117C" w:rsidP="004A117C">
      <w:pPr>
        <w:jc w:val="both"/>
        <w:rPr>
          <w:rFonts w:eastAsia="Calibri"/>
          <w:bCs/>
        </w:rPr>
      </w:pPr>
      <w:r w:rsidRPr="00D8247C">
        <w:rPr>
          <w:rFonts w:eastAsia="Calibri"/>
          <w:bCs/>
        </w:rPr>
        <w:t xml:space="preserve">Niektoré materiály obsahujú zmenu (resp. zavedenie či zrušenie) iba jednej regulácie, väčšina  materiálov však mení viacero regulácií, ktoré majú vplyv na zmenu nákladov PP. V prvom kroku je preto potrebné materiál rozdeliť na jednotlivé regulácie. </w:t>
      </w:r>
    </w:p>
    <w:p w14:paraId="1B411FDC" w14:textId="77777777" w:rsidR="004A117C" w:rsidRPr="00D8247C" w:rsidRDefault="004A117C" w:rsidP="004A117C">
      <w:pPr>
        <w:jc w:val="both"/>
        <w:rPr>
          <w:rFonts w:eastAsia="Calibri"/>
          <w:bCs/>
          <w:i/>
          <w:iCs/>
        </w:rPr>
      </w:pPr>
      <w:r w:rsidRPr="00D8247C">
        <w:rPr>
          <w:rFonts w:eastAsia="Calibri"/>
          <w:bCs/>
          <w:i/>
          <w:iCs/>
        </w:rPr>
        <w:t xml:space="preserve">Napríklad:  Zmena Zákonníka práce môže obsahovať zmenu povinností zamestnávateľa v súvislosti so zabezpečením stravovania zamestnancov a tiež zmenu vo výške odstupného a zmenu v mzdovom zvýhodnení za prácu v sobotu. </w:t>
      </w:r>
    </w:p>
    <w:p w14:paraId="2C6FFE6F" w14:textId="77777777" w:rsidR="004A117C" w:rsidRPr="00D8247C" w:rsidRDefault="004A117C" w:rsidP="004A117C">
      <w:pPr>
        <w:jc w:val="both"/>
        <w:rPr>
          <w:rFonts w:eastAsia="Calibri"/>
          <w:bCs/>
          <w:iCs/>
        </w:rPr>
      </w:pPr>
      <w:r w:rsidRPr="00D8247C">
        <w:rPr>
          <w:rFonts w:eastAsia="Calibri"/>
          <w:bCs/>
          <w:iCs/>
        </w:rPr>
        <w:t>Následne je potrebné určiť, na ktoré kategórie dotknutých podnikateľských subjektov sa</w:t>
      </w:r>
      <w:r>
        <w:rPr>
          <w:rFonts w:eastAsia="Calibri"/>
          <w:bCs/>
          <w:iCs/>
        </w:rPr>
        <w:t> </w:t>
      </w:r>
      <w:r w:rsidRPr="00D8247C">
        <w:rPr>
          <w:rFonts w:eastAsia="Calibri"/>
          <w:bCs/>
          <w:iCs/>
        </w:rPr>
        <w:t>jednotlivé regulácie vzťahujú.</w:t>
      </w:r>
    </w:p>
    <w:p w14:paraId="5F80B50D" w14:textId="77777777" w:rsidR="004A117C" w:rsidRPr="00D8247C" w:rsidRDefault="004A117C" w:rsidP="004A117C">
      <w:pPr>
        <w:jc w:val="both"/>
        <w:rPr>
          <w:rFonts w:eastAsia="Calibri"/>
          <w:bCs/>
          <w:i/>
          <w:iCs/>
        </w:rPr>
      </w:pPr>
      <w:r w:rsidRPr="00D8247C">
        <w:rPr>
          <w:rFonts w:eastAsia="Calibri"/>
          <w:bCs/>
          <w:i/>
          <w:iCs/>
        </w:rPr>
        <w:t>Napríklad:  Zmena zákona o sociálnych službách zavádza povinnú bezbariérovosť budov, v ktorých sídlia zariadenia poskytujúce iba konkrétne sociálne služby, nie všetky, napr. zariadenie starostlivosti o deti do troch rokov veku dieťaťa.</w:t>
      </w:r>
    </w:p>
    <w:p w14:paraId="67AE8D8F" w14:textId="77777777" w:rsidR="004A117C" w:rsidRPr="00D8247C" w:rsidRDefault="004A117C" w:rsidP="004A117C">
      <w:pPr>
        <w:numPr>
          <w:ilvl w:val="0"/>
          <w:numId w:val="4"/>
        </w:numPr>
        <w:spacing w:after="160" w:line="259" w:lineRule="auto"/>
        <w:contextualSpacing/>
        <w:jc w:val="both"/>
        <w:rPr>
          <w:rFonts w:eastAsia="Calibri"/>
          <w:b/>
        </w:rPr>
      </w:pPr>
      <w:r w:rsidRPr="00D8247C">
        <w:rPr>
          <w:rFonts w:eastAsia="Calibri"/>
          <w:b/>
        </w:rPr>
        <w:t>Identifikovanie typov nákladov, ktoré mení regulácia</w:t>
      </w:r>
    </w:p>
    <w:p w14:paraId="2E799EFC" w14:textId="77777777" w:rsidR="004A117C" w:rsidRPr="00D8247C" w:rsidRDefault="004A117C" w:rsidP="004A117C">
      <w:pPr>
        <w:jc w:val="both"/>
        <w:rPr>
          <w:rFonts w:eastAsia="Calibri"/>
          <w:bCs/>
        </w:rPr>
      </w:pPr>
      <w:r w:rsidRPr="00D8247C">
        <w:rPr>
          <w:rFonts w:eastAsia="Calibri"/>
          <w:bCs/>
        </w:rPr>
        <w:t xml:space="preserve">Niektoré regulácie menia len jeden typ nákladov, iné viacero. Dôležité je preto zmenu regulácie rozložiť na menšie nákladové položky podľa typov nákladov (Priame finančné náklady – osobitne dane, odvody, clá, </w:t>
      </w:r>
      <w:r>
        <w:rPr>
          <w:rFonts w:eastAsia="Calibri"/>
          <w:bCs/>
        </w:rPr>
        <w:t xml:space="preserve">a </w:t>
      </w:r>
      <w:r w:rsidRPr="00391648">
        <w:rPr>
          <w:rFonts w:eastAsia="Calibri"/>
          <w:bCs/>
        </w:rPr>
        <w:t>poplatky, ktorých cieľom je znižovať negatívne externality</w:t>
      </w:r>
      <w:r w:rsidRPr="00D8247C" w:rsidDel="00A1736E">
        <w:rPr>
          <w:rFonts w:eastAsia="Calibri"/>
          <w:bCs/>
        </w:rPr>
        <w:t xml:space="preserve"> </w:t>
      </w:r>
      <w:r w:rsidRPr="00D8247C">
        <w:rPr>
          <w:rFonts w:eastAsia="Calibri"/>
          <w:bCs/>
        </w:rPr>
        <w:t xml:space="preserve">(A) a osobitne </w:t>
      </w:r>
      <w:r>
        <w:rPr>
          <w:rFonts w:eastAsia="Calibri"/>
          <w:bCs/>
        </w:rPr>
        <w:t xml:space="preserve">Iné </w:t>
      </w:r>
      <w:r w:rsidRPr="00D8247C">
        <w:rPr>
          <w:rFonts w:eastAsia="Calibri"/>
          <w:bCs/>
        </w:rPr>
        <w:t>poplatky (B), Nepriame finančné náklady (C), Administratívne náklady (D).</w:t>
      </w:r>
    </w:p>
    <w:p w14:paraId="0AD502F1" w14:textId="77777777" w:rsidR="004A117C" w:rsidRPr="00D8247C" w:rsidRDefault="004A117C" w:rsidP="004A117C">
      <w:pPr>
        <w:jc w:val="both"/>
        <w:rPr>
          <w:rFonts w:eastAsia="Calibri"/>
          <w:bCs/>
          <w:i/>
          <w:iCs/>
        </w:rPr>
      </w:pPr>
      <w:r w:rsidRPr="00D8247C">
        <w:rPr>
          <w:rFonts w:eastAsia="Calibri"/>
          <w:bCs/>
          <w:i/>
          <w:iCs/>
        </w:rPr>
        <w:t xml:space="preserve">Napríklad: Rozšírenie povinností pri protipožiarnej ochrane stavby môže obsahovať kúpu hasiacich prístrojov (nepriame finančné náklady), čas (a tým aj náklady na mzdy) vlastných zamestnancov potrebný na ich obstaranie a montáž (administratívne náklady). </w:t>
      </w:r>
    </w:p>
    <w:p w14:paraId="28DE7F6A" w14:textId="77777777" w:rsidR="004A117C" w:rsidRPr="00D8247C" w:rsidRDefault="004A117C" w:rsidP="004A117C">
      <w:pPr>
        <w:jc w:val="both"/>
        <w:rPr>
          <w:rFonts w:eastAsia="Calibri"/>
          <w:bCs/>
        </w:rPr>
      </w:pPr>
    </w:p>
    <w:p w14:paraId="7ACAD142" w14:textId="77777777" w:rsidR="004A117C" w:rsidRPr="00D8247C" w:rsidRDefault="004A117C" w:rsidP="004A117C">
      <w:pPr>
        <w:numPr>
          <w:ilvl w:val="0"/>
          <w:numId w:val="4"/>
        </w:numPr>
        <w:spacing w:after="160" w:line="259" w:lineRule="auto"/>
        <w:contextualSpacing/>
        <w:jc w:val="both"/>
        <w:rPr>
          <w:rFonts w:eastAsia="Calibri"/>
          <w:b/>
        </w:rPr>
      </w:pPr>
      <w:r w:rsidRPr="00D8247C">
        <w:rPr>
          <w:rFonts w:eastAsia="Calibri"/>
          <w:b/>
        </w:rPr>
        <w:t>Výpočet jednotlivých typov nákladov regulácie</w:t>
      </w:r>
    </w:p>
    <w:p w14:paraId="51CAC351" w14:textId="77777777" w:rsidR="004A117C" w:rsidRDefault="004A117C" w:rsidP="004A117C">
      <w:pPr>
        <w:spacing w:after="120"/>
        <w:rPr>
          <w:rFonts w:eastAsia="Calibri"/>
          <w:b/>
          <w:i/>
        </w:rPr>
      </w:pPr>
    </w:p>
    <w:p w14:paraId="6AB3DB75" w14:textId="77777777" w:rsidR="004A117C" w:rsidRPr="00D8247C" w:rsidRDefault="004A117C" w:rsidP="004A117C">
      <w:pPr>
        <w:spacing w:after="120"/>
        <w:rPr>
          <w:rFonts w:eastAsia="Calibri"/>
          <w:b/>
          <w:i/>
        </w:rPr>
      </w:pPr>
      <w:r w:rsidRPr="00D8247C">
        <w:rPr>
          <w:rFonts w:eastAsia="Calibri"/>
          <w:b/>
          <w:i/>
        </w:rPr>
        <w:t>Náklady na 1 podnikateľa</w:t>
      </w:r>
    </w:p>
    <w:p w14:paraId="10F6F9F6" w14:textId="77777777" w:rsidR="004A117C" w:rsidRDefault="004A117C" w:rsidP="004A117C">
      <w:pPr>
        <w:spacing w:after="120"/>
        <w:jc w:val="both"/>
        <w:rPr>
          <w:rFonts w:eastAsia="Calibri"/>
        </w:rPr>
      </w:pPr>
      <w:r w:rsidRPr="00D8247C">
        <w:rPr>
          <w:rFonts w:eastAsia="Calibri"/>
        </w:rPr>
        <w:t xml:space="preserve">V prípade </w:t>
      </w:r>
      <w:r w:rsidRPr="00D8247C">
        <w:rPr>
          <w:rFonts w:eastAsia="Calibri"/>
          <w:i/>
        </w:rPr>
        <w:t xml:space="preserve">priamych </w:t>
      </w:r>
      <w:r>
        <w:rPr>
          <w:rFonts w:eastAsia="Calibri"/>
          <w:i/>
        </w:rPr>
        <w:t xml:space="preserve">finančných </w:t>
      </w:r>
      <w:r w:rsidRPr="00D8247C">
        <w:rPr>
          <w:rFonts w:eastAsia="Calibri"/>
          <w:i/>
        </w:rPr>
        <w:t>nákladov (odvody, dane, clá</w:t>
      </w:r>
      <w:r>
        <w:rPr>
          <w:rFonts w:eastAsia="Calibri"/>
          <w:i/>
        </w:rPr>
        <w:t xml:space="preserve">, </w:t>
      </w:r>
      <w:r w:rsidRPr="00D8247C">
        <w:rPr>
          <w:rFonts w:eastAsia="Calibri"/>
          <w:i/>
        </w:rPr>
        <w:t>poplatky)</w:t>
      </w:r>
      <w:r w:rsidRPr="00D8247C">
        <w:rPr>
          <w:rFonts w:eastAsia="Calibri"/>
        </w:rPr>
        <w:t xml:space="preserve"> ide o </w:t>
      </w:r>
      <w:r w:rsidRPr="00D8247C">
        <w:rPr>
          <w:rFonts w:eastAsia="Calibri"/>
          <w:b/>
        </w:rPr>
        <w:t>ročný vplyv</w:t>
      </w:r>
      <w:r w:rsidRPr="00D8247C">
        <w:rPr>
          <w:rFonts w:eastAsia="Calibri"/>
        </w:rPr>
        <w:t xml:space="preserve">, z tohto dôvodu sa výška nákladov nenásobí frekvenciou. </w:t>
      </w:r>
      <w:r>
        <w:rPr>
          <w:rFonts w:eastAsia="Calibri"/>
        </w:rPr>
        <w:t xml:space="preserve">V nasledujúcom texte nie sú poplatky rozdelené na tie, ktorých cieľom je znižovať negatívne externality a na iné poplatky z toho dôvodu, že sa kvantifikujú rovnako. </w:t>
      </w:r>
      <w:r w:rsidRPr="00D8247C">
        <w:rPr>
          <w:rFonts w:eastAsia="Calibri"/>
        </w:rPr>
        <w:t>Na stanovenie výšky týchto nákladov je potrebné použiť údaje z Analýzy vplyvov na rozpočet verejnej správy, kde je povinnosť ich kvantifikovať ak prichádza k ich zmene. V prípade poplatkov je navyše potrebné doplniť aj kvantifikáciu tých, ktoré sa menia a zároveň nie sú príjmom rozpočtu verejnej správy (napr. zo zákona povinné poplatky komorám, asociáciám a pod.).</w:t>
      </w:r>
    </w:p>
    <w:p w14:paraId="6DE01FC4" w14:textId="77777777" w:rsidR="004A117C" w:rsidRDefault="004A117C" w:rsidP="004A117C">
      <w:pPr>
        <w:rPr>
          <w:rFonts w:eastAsia="Calibri"/>
          <w:i/>
        </w:rPr>
      </w:pPr>
      <w:r>
        <w:rPr>
          <w:rFonts w:eastAsia="Calibri"/>
          <w:i/>
        </w:rPr>
        <w:t>P</w:t>
      </w:r>
      <w:r w:rsidRPr="00895898">
        <w:rPr>
          <w:rFonts w:eastAsia="Calibri"/>
          <w:i/>
        </w:rPr>
        <w:t>riame finančné náklady na 1 podnikateľa</w:t>
      </w:r>
      <w:r>
        <w:rPr>
          <w:rFonts w:eastAsia="Calibri"/>
          <w:i/>
        </w:rPr>
        <w:t xml:space="preserve"> sú vyčíslené podľa vzorca:</w:t>
      </w:r>
    </w:p>
    <w:p w14:paraId="4A2F9465" w14:textId="77777777" w:rsidR="004A117C" w:rsidRPr="00895898" w:rsidRDefault="004A117C" w:rsidP="004A117C">
      <w:pPr>
        <w:spacing w:after="120"/>
        <w:rPr>
          <w:rFonts w:ascii="Arial" w:hAnsi="Arial"/>
          <w:color w:val="000000"/>
        </w:rPr>
      </w:pPr>
      <w:r w:rsidRPr="004D20CB">
        <w:rPr>
          <w:noProof/>
          <w:lang w:eastAsia="sk-SK"/>
        </w:rPr>
        <mc:AlternateContent>
          <mc:Choice Requires="wpg">
            <w:drawing>
              <wp:anchor distT="0" distB="0" distL="114300" distR="114300" simplePos="0" relativeHeight="251664384" behindDoc="0" locked="0" layoutInCell="1" allowOverlap="1" wp14:anchorId="32698B9B" wp14:editId="161D8956">
                <wp:simplePos x="0" y="0"/>
                <wp:positionH relativeFrom="column">
                  <wp:posOffset>46134</wp:posOffset>
                </wp:positionH>
                <wp:positionV relativeFrom="paragraph">
                  <wp:posOffset>142619</wp:posOffset>
                </wp:positionV>
                <wp:extent cx="5310315" cy="504788"/>
                <wp:effectExtent l="0" t="0" r="5080" b="0"/>
                <wp:wrapNone/>
                <wp:docPr id="287" name="Skupina 34"/>
                <wp:cNvGraphicFramePr/>
                <a:graphic xmlns:a="http://schemas.openxmlformats.org/drawingml/2006/main">
                  <a:graphicData uri="http://schemas.microsoft.com/office/word/2010/wordprocessingGroup">
                    <wpg:wgp>
                      <wpg:cNvGrpSpPr/>
                      <wpg:grpSpPr>
                        <a:xfrm>
                          <a:off x="0" y="0"/>
                          <a:ext cx="5310315" cy="504788"/>
                          <a:chOff x="4233" y="0"/>
                          <a:chExt cx="5310736" cy="504801"/>
                        </a:xfrm>
                      </wpg:grpSpPr>
                      <wps:wsp>
                        <wps:cNvPr id="96" name="Rectangle 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300-000069000000}"/>
                            </a:ext>
                          </a:extLst>
                        </wps:cNvPr>
                        <wps:cNvSpPr>
                          <a:spLocks noChangeArrowheads="1"/>
                        </wps:cNvSpPr>
                        <wps:spPr bwMode="auto">
                          <a:xfrm>
                            <a:off x="4233" y="8446"/>
                            <a:ext cx="3782483" cy="496355"/>
                          </a:xfrm>
                          <a:prstGeom prst="rect">
                            <a:avLst/>
                          </a:prstGeom>
                          <a:solidFill>
                            <a:srgbClr val="0070C0"/>
                          </a:solidFill>
                          <a:ln w="9525">
                            <a:noFill/>
                            <a:miter lim="800000"/>
                            <a:headEnd/>
                            <a:tailEnd/>
                          </a:ln>
                        </wps:spPr>
                        <wps:txbx>
                          <w:txbxContent>
                            <w:p w14:paraId="20F9E971" w14:textId="77777777" w:rsidR="004A117C" w:rsidRDefault="004A117C" w:rsidP="004A117C">
                              <w:pPr>
                                <w:pStyle w:val="Normlnywebov"/>
                                <w:jc w:val="center"/>
                                <w:textAlignment w:val="baseline"/>
                              </w:pPr>
                              <w:r>
                                <w:rPr>
                                  <w:rFonts w:ascii="Arial" w:hAnsi="Arial" w:cstheme="minorBidi"/>
                                  <w:color w:val="FFFFFF"/>
                                  <w:kern w:val="24"/>
                                  <w:sz w:val="16"/>
                                  <w:szCs w:val="16"/>
                                </w:rPr>
                                <w:t>Priame  finančné náklady (dane, odvody, clá, poplatky) - ročný vplyv</w:t>
                              </w:r>
                            </w:p>
                          </w:txbxContent>
                        </wps:txbx>
                        <wps:bodyPr wrap="square" lIns="36000" tIns="36000" rIns="36000" bIns="36000" anchor="ctr"/>
                      </wps:wsp>
                      <wps:wsp>
                        <wps:cNvPr id="102" name="Rectangle 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300-00006E000000}"/>
                            </a:ext>
                          </a:extLst>
                        </wps:cNvPr>
                        <wps:cNvSpPr>
                          <a:spLocks noChangeArrowheads="1"/>
                        </wps:cNvSpPr>
                        <wps:spPr bwMode="auto">
                          <a:xfrm>
                            <a:off x="4057663" y="0"/>
                            <a:ext cx="1257306" cy="484544"/>
                          </a:xfrm>
                          <a:prstGeom prst="rect">
                            <a:avLst/>
                          </a:prstGeom>
                          <a:solidFill>
                            <a:srgbClr val="00A1DE"/>
                          </a:solidFill>
                          <a:ln w="9525">
                            <a:noFill/>
                            <a:miter lim="800000"/>
                            <a:headEnd/>
                            <a:tailEnd/>
                          </a:ln>
                        </wps:spPr>
                        <wps:txbx>
                          <w:txbxContent>
                            <w:p w14:paraId="1C1BBEF1" w14:textId="77777777" w:rsidR="004A117C" w:rsidRDefault="004A117C" w:rsidP="004A117C">
                              <w:pPr>
                                <w:pStyle w:val="Normlnywebov"/>
                                <w:jc w:val="center"/>
                                <w:textAlignment w:val="baseline"/>
                              </w:pPr>
                              <w:r>
                                <w:rPr>
                                  <w:rFonts w:ascii="Arial" w:hAnsi="Arial" w:cstheme="minorBidi"/>
                                  <w:color w:val="FFFFFF"/>
                                  <w:kern w:val="24"/>
                                  <w:sz w:val="16"/>
                                  <w:szCs w:val="16"/>
                                </w:rPr>
                                <w:t>Počet dotknutých subjektov</w:t>
                              </w:r>
                            </w:p>
                          </w:txbxContent>
                        </wps:txbx>
                        <wps:bodyPr wrap="square" lIns="36000" tIns="36000" rIns="36000" bIns="36000" anchor="ctr"/>
                      </wps:wsp>
                      <wps:wsp>
                        <wps:cNvPr id="103" name="BlokTextu 14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300-000071000000}"/>
                            </a:ext>
                          </a:extLst>
                        </wps:cNvPr>
                        <wps:cNvSpPr txBox="1"/>
                        <wps:spPr>
                          <a:xfrm>
                            <a:off x="3790963" y="123825"/>
                            <a:ext cx="239168"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EA3A241" w14:textId="77777777" w:rsidR="004A117C" w:rsidRDefault="004A117C" w:rsidP="004A117C">
                              <w:pPr>
                                <w:pStyle w:val="Normlnywebov"/>
                              </w:pPr>
                              <w:r>
                                <w:rPr>
                                  <w:rFonts w:asciiTheme="minorHAnsi" w:hAnsi="Calibri" w:cstheme="minorBidi"/>
                                  <w:color w:val="000000" w:themeColor="text1"/>
                                  <w:sz w:val="22"/>
                                  <w:szCs w:val="22"/>
                                </w:rPr>
                                <w:t>/</w:t>
                              </w:r>
                            </w:p>
                          </w:txbxContent>
                        </wps:txbx>
                        <wps:bodyPr wrap="none" rtlCol="0" anchor="t">
                          <a:spAutoFit/>
                        </wps:bodyPr>
                      </wps:wsp>
                    </wpg:wgp>
                  </a:graphicData>
                </a:graphic>
                <wp14:sizeRelH relativeFrom="margin">
                  <wp14:pctWidth>0</wp14:pctWidth>
                </wp14:sizeRelH>
                <wp14:sizeRelV relativeFrom="margin">
                  <wp14:pctHeight>0</wp14:pctHeight>
                </wp14:sizeRelV>
              </wp:anchor>
            </w:drawing>
          </mc:Choice>
          <mc:Fallback>
            <w:pict>
              <v:group w14:anchorId="32698B9B" id="Skupina 34" o:spid="_x0000_s1026" style="position:absolute;margin-left:3.65pt;margin-top:11.25pt;width:418.15pt;height:39.75pt;z-index:251664384;mso-width-relative:margin;mso-height-relative:margin" coordorigin="42" coordsize="53107,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">
                <v:rect id="Rectangle 3" o:spid="_x0000_s1027" style="position:absolute;left:42;top:84;width:37825;height:4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PEcYA&#10;AADbAAAADwAAAGRycy9kb3ducmV2LnhtbESPT2sCMRTE7wW/Q3iCt5pVrH+2RlHBIu3JtdAeH5vn&#10;bnDzsm6irn76plDocZiZ3zDzZWsrcaXGG8cKBv0EBHHutOFCwedh+zwF4QOyxsoxKbiTh+Wi8zTH&#10;VLsb7+mahUJECPsUFZQh1KmUPi/Jou+7mjh6R9dYDFE2hdQN3iLcVnKYJGNp0XBcKLGmTUn5KbtY&#10;BZPz92P6sV+/vwxnxdtjZIz5OmZK9brt6hVEoDb8h//aO61gNob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7PEcYAAADbAAAADwAAAAAAAAAAAAAAAACYAgAAZHJz&#10;L2Rvd25yZXYueG1sUEsFBgAAAAAEAAQA9QAAAIsDAAAAAA==&#10;" fillcolor="#0070c0" stroked="f">
                  <v:textbox inset="1mm,1mm,1mm,1mm">
                    <w:txbxContent>
                      <w:p w14:paraId="20F9E971" w14:textId="77777777" w:rsidR="004A117C" w:rsidRDefault="004A117C" w:rsidP="004A117C">
                        <w:pPr>
                          <w:pStyle w:val="Normlnywebov"/>
                          <w:jc w:val="center"/>
                          <w:textAlignment w:val="baseline"/>
                        </w:pPr>
                        <w:r>
                          <w:rPr>
                            <w:rFonts w:ascii="Arial" w:hAnsi="Arial" w:cstheme="minorBidi"/>
                            <w:color w:val="FFFFFF"/>
                            <w:kern w:val="24"/>
                            <w:sz w:val="16"/>
                            <w:szCs w:val="16"/>
                          </w:rPr>
                          <w:t>Priame  finančné náklady (dane, odvody, clá, poplatky) - ročný vplyv</w:t>
                        </w:r>
                      </w:p>
                    </w:txbxContent>
                  </v:textbox>
                </v:rect>
                <v:rect id="Rectangle 3" o:spid="_x0000_s1028" style="position:absolute;left:40576;width:12573;height:48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Cr0A&#10;AADcAAAADwAAAGRycy9kb3ducmV2LnhtbERPSwrCMBDdC94hjOBOU134qUYRRaju/BxgaMa22kxK&#10;E229vREEd/N431muW1OKF9WusKxgNIxAEKdWF5wpuF72gxkI55E1lpZJwZscrFfdzhJjbRs+0evs&#10;MxFC2MWoIPe+iqV0aU4G3dBWxIG72dqgD7DOpK6xCeGmlOMomkiDBYeGHCva5pQ+zk+jYH/Pdvey&#10;4XmbHKbJ0cyTkS2sUv1eu1mA8NT6v/jnTnSYH43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d+/Cr0AAADcAAAADwAAAAAAAAAAAAAAAACYAgAAZHJzL2Rvd25yZXYu&#10;eG1sUEsFBgAAAAAEAAQA9QAAAIIDAAAAAA==&#10;" fillcolor="#00a1de" stroked="f">
                  <v:textbox inset="1mm,1mm,1mm,1mm">
                    <w:txbxContent>
                      <w:p w14:paraId="1C1BBEF1" w14:textId="77777777" w:rsidR="004A117C" w:rsidRDefault="004A117C" w:rsidP="004A117C">
                        <w:pPr>
                          <w:pStyle w:val="Normlnywebov"/>
                          <w:jc w:val="center"/>
                          <w:textAlignment w:val="baseline"/>
                        </w:pPr>
                        <w:r>
                          <w:rPr>
                            <w:rFonts w:ascii="Arial" w:hAnsi="Arial" w:cstheme="minorBidi"/>
                            <w:color w:val="FFFFFF"/>
                            <w:kern w:val="24"/>
                            <w:sz w:val="16"/>
                            <w:szCs w:val="16"/>
                          </w:rPr>
                          <w:t>Počet dotknutých subjektov</w:t>
                        </w:r>
                      </w:p>
                    </w:txbxContent>
                  </v:textbox>
                </v:rect>
                <v:shapetype id="_x0000_t202" coordsize="21600,21600" o:spt="202" path="m,l,21600r21600,l21600,xe">
                  <v:stroke joinstyle="miter"/>
                  <v:path gradientshapeok="t" o:connecttype="rect"/>
                </v:shapetype>
                <v:shape id="BlokTextu 148" o:spid="_x0000_s1029" type="#_x0000_t202" style="position:absolute;left:37909;top:1238;width:2392;height:2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B5gsIA&#10;AADcAAAADwAAAGRycy9kb3ducmV2LnhtbERP22oCMRB9F/oPYQq+aeKt2K1Rihfom63tBwyb6Wa7&#10;m8myibr69aYg+DaHc53FqnO1OFEbSs8aRkMFgjj3puRCw8/3bjAHESKywdozabhQgNXyqbfAzPgz&#10;f9HpEAuRQjhkqMHG2GRShtySwzD0DXHifn3rMCbYFtK0eE7hrpZjpV6kw5JTg8WG1pby6nB0GubK&#10;7avqdfwZ3PQ6mtn1xm+bP637z937G4hIXXyI7+4Pk+arCfw/ky6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HmCwgAAANwAAAAPAAAAAAAAAAAAAAAAAJgCAABkcnMvZG93&#10;bnJldi54bWxQSwUGAAAAAAQABAD1AAAAhwMAAAAA&#10;" filled="f" stroked="f">
                  <v:textbox style="mso-fit-shape-to-text:t">
                    <w:txbxContent>
                      <w:p w14:paraId="0EA3A241" w14:textId="77777777" w:rsidR="004A117C" w:rsidRDefault="004A117C" w:rsidP="004A117C">
                        <w:pPr>
                          <w:pStyle w:val="Normlnywebov"/>
                        </w:pPr>
                        <w:r>
                          <w:rPr>
                            <w:rFonts w:asciiTheme="minorHAnsi" w:hAnsi="Calibri" w:cstheme="minorBidi"/>
                            <w:color w:val="000000" w:themeColor="text1"/>
                            <w:sz w:val="22"/>
                            <w:szCs w:val="22"/>
                          </w:rPr>
                          <w:t>/</w:t>
                        </w:r>
                      </w:p>
                    </w:txbxContent>
                  </v:textbox>
                </v:shape>
              </v:group>
            </w:pict>
          </mc:Fallback>
        </mc:AlternateContent>
      </w:r>
    </w:p>
    <w:p w14:paraId="1E5CB9A4" w14:textId="77777777" w:rsidR="004A117C" w:rsidRPr="00895898" w:rsidRDefault="004A117C" w:rsidP="004A117C">
      <w:pPr>
        <w:spacing w:after="120"/>
        <w:rPr>
          <w:color w:val="000000"/>
        </w:rPr>
      </w:pPr>
    </w:p>
    <w:p w14:paraId="664A7EF9" w14:textId="77777777" w:rsidR="004A117C" w:rsidRPr="00895898" w:rsidRDefault="004A117C" w:rsidP="004A117C">
      <w:pPr>
        <w:spacing w:after="120"/>
        <w:rPr>
          <w:color w:val="000000"/>
        </w:rPr>
      </w:pPr>
    </w:p>
    <w:p w14:paraId="52F611B7" w14:textId="77777777" w:rsidR="004A117C" w:rsidRDefault="004A117C" w:rsidP="004A117C">
      <w:pPr>
        <w:spacing w:after="120"/>
        <w:rPr>
          <w:rFonts w:eastAsia="Calibri"/>
          <w:i/>
        </w:rPr>
      </w:pPr>
    </w:p>
    <w:p w14:paraId="45126B9A" w14:textId="77777777" w:rsidR="004A117C" w:rsidRDefault="004A117C" w:rsidP="004A117C">
      <w:pPr>
        <w:spacing w:after="120"/>
        <w:rPr>
          <w:rFonts w:eastAsia="Calibri"/>
          <w:i/>
        </w:rPr>
      </w:pPr>
    </w:p>
    <w:p w14:paraId="6EB6CFC7" w14:textId="77777777" w:rsidR="004A117C" w:rsidRPr="00895898" w:rsidRDefault="004A117C" w:rsidP="004A117C">
      <w:pPr>
        <w:rPr>
          <w:rFonts w:eastAsia="Calibri"/>
        </w:rPr>
      </w:pPr>
      <w:r w:rsidRPr="00895898">
        <w:rPr>
          <w:rFonts w:eastAsia="Calibri"/>
          <w:i/>
        </w:rPr>
        <w:t xml:space="preserve">Nepriame finančné náklady na 1 podnikateľa </w:t>
      </w:r>
      <w:r w:rsidRPr="00895898">
        <w:rPr>
          <w:rFonts w:eastAsia="Calibri"/>
        </w:rPr>
        <w:t>sú vyčíslené na základe vzorca:</w:t>
      </w:r>
    </w:p>
    <w:p w14:paraId="764E0784" w14:textId="77777777" w:rsidR="004A117C" w:rsidRPr="00895898" w:rsidRDefault="004A117C" w:rsidP="004A117C">
      <w:pPr>
        <w:spacing w:after="120"/>
        <w:rPr>
          <w:rFonts w:eastAsia="Calibri"/>
        </w:rPr>
      </w:pPr>
      <w:r w:rsidRPr="00895898">
        <w:rPr>
          <w:rFonts w:eastAsia="Calibri"/>
          <w:noProof/>
          <w:lang w:eastAsia="sk-SK"/>
        </w:rPr>
        <mc:AlternateContent>
          <mc:Choice Requires="wpg">
            <w:drawing>
              <wp:anchor distT="0" distB="0" distL="114300" distR="114300" simplePos="0" relativeHeight="251663360" behindDoc="0" locked="0" layoutInCell="1" allowOverlap="1" wp14:anchorId="062A5B6C" wp14:editId="2201F409">
                <wp:simplePos x="0" y="0"/>
                <wp:positionH relativeFrom="column">
                  <wp:posOffset>-4445</wp:posOffset>
                </wp:positionH>
                <wp:positionV relativeFrom="paragraph">
                  <wp:posOffset>104140</wp:posOffset>
                </wp:positionV>
                <wp:extent cx="2667635" cy="451485"/>
                <wp:effectExtent l="0" t="0" r="0" b="5715"/>
                <wp:wrapNone/>
                <wp:docPr id="13" name="Skupin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635" cy="451485"/>
                          <a:chOff x="0" y="0"/>
                          <a:chExt cx="2667635" cy="451310"/>
                        </a:xfrm>
                      </wpg:grpSpPr>
                      <wpg:grpSp>
                        <wpg:cNvPr id="98" name="Skupina 98"/>
                        <wpg:cNvGrpSpPr>
                          <a:grpSpLocks/>
                        </wpg:cNvGrpSpPr>
                        <wpg:grpSpPr>
                          <a:xfrm>
                            <a:off x="1219200" y="0"/>
                            <a:ext cx="1448435" cy="451039"/>
                            <a:chOff x="1219200" y="-848053"/>
                            <a:chExt cx="1448435" cy="451311"/>
                          </a:xfrm>
                        </wpg:grpSpPr>
                        <wps:wsp>
                          <wps:cNvPr id="283" name="Textové pole 2"/>
                          <wps:cNvSpPr txBox="1">
                            <a:spLocks noChangeArrowheads="1"/>
                          </wps:cNvSpPr>
                          <wps:spPr bwMode="auto">
                            <a:xfrm>
                              <a:off x="1533525" y="-848053"/>
                              <a:ext cx="1134110" cy="451311"/>
                            </a:xfrm>
                            <a:prstGeom prst="rect">
                              <a:avLst/>
                            </a:prstGeom>
                            <a:solidFill>
                              <a:srgbClr val="00B0F0"/>
                            </a:solidFill>
                            <a:ln w="9525">
                              <a:noFill/>
                              <a:miter lim="800000"/>
                              <a:headEnd/>
                              <a:tailEnd/>
                            </a:ln>
                          </wps:spPr>
                          <wps:txbx>
                            <w:txbxContent>
                              <w:p w14:paraId="73FFECC8" w14:textId="77777777" w:rsidR="004A117C" w:rsidRPr="00895898" w:rsidRDefault="004A117C" w:rsidP="004A117C">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wps:txbx>
                          <wps:bodyPr rot="0" vert="horz" wrap="square" lIns="91440" tIns="45720" rIns="91440" bIns="45720" anchor="ctr" anchorCtr="0">
                            <a:noAutofit/>
                          </wps:bodyPr>
                        </wps:wsp>
                        <wps:wsp>
                          <wps:cNvPr id="286" name="Textové pole 2"/>
                          <wps:cNvSpPr txBox="1">
                            <a:spLocks noChangeArrowheads="1"/>
                          </wps:cNvSpPr>
                          <wps:spPr bwMode="auto">
                            <a:xfrm>
                              <a:off x="1219200" y="-772345"/>
                              <a:ext cx="229234" cy="276283"/>
                            </a:xfrm>
                            <a:prstGeom prst="rect">
                              <a:avLst/>
                            </a:prstGeom>
                            <a:solidFill>
                              <a:srgbClr val="FFFFFF"/>
                            </a:solidFill>
                            <a:ln w="9525">
                              <a:noFill/>
                              <a:miter lim="800000"/>
                              <a:headEnd/>
                              <a:tailEnd/>
                            </a:ln>
                          </wps:spPr>
                          <wps:txbx>
                            <w:txbxContent>
                              <w:p w14:paraId="70F78DFF" w14:textId="77777777" w:rsidR="004A117C" w:rsidRDefault="004A117C" w:rsidP="004A117C">
                                <w:r>
                                  <w:t>x</w:t>
                                </w:r>
                              </w:p>
                            </w:txbxContent>
                          </wps:txbx>
                          <wps:bodyPr rot="0" vert="horz" wrap="square" lIns="91440" tIns="45720" rIns="91440" bIns="45720" anchor="ctr" anchorCtr="0">
                            <a:spAutoFit/>
                          </wps:bodyPr>
                        </wps:wsp>
                      </wpg:grpSp>
                      <wps:wsp>
                        <wps:cNvPr id="280" name="Textové pole 2"/>
                        <wps:cNvSpPr txBox="1">
                          <a:spLocks noChangeArrowheads="1"/>
                        </wps:cNvSpPr>
                        <wps:spPr bwMode="auto">
                          <a:xfrm>
                            <a:off x="0" y="0"/>
                            <a:ext cx="1134744" cy="451310"/>
                          </a:xfrm>
                          <a:prstGeom prst="rect">
                            <a:avLst/>
                          </a:prstGeom>
                          <a:solidFill>
                            <a:srgbClr val="00B0F0"/>
                          </a:solidFill>
                          <a:ln w="9525">
                            <a:noFill/>
                            <a:miter lim="800000"/>
                            <a:headEnd/>
                            <a:tailEnd/>
                          </a:ln>
                        </wps:spPr>
                        <wps:txbx>
                          <w:txbxContent>
                            <w:p w14:paraId="3F67BB19" w14:textId="77777777" w:rsidR="004A117C" w:rsidRPr="00895898" w:rsidRDefault="004A117C" w:rsidP="004A117C">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Nepriame finančné náklady na 1 podnikateľa</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062A5B6C" id="Skupina 13" o:spid="_x0000_s1030" style="position:absolute;margin-left:-.35pt;margin-top:8.2pt;width:210.05pt;height:35.55pt;z-index:251663360" coordsize="26676,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">
                <v:group id="Skupina 98" o:spid="_x0000_s1031" style="position:absolute;left:12192;width:14484;height:4510" coordorigin="12192,-8480" coordsize="14484,4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Textové pole 2" o:spid="_x0000_s1032" type="#_x0000_t202" style="position:absolute;left:15335;top:-8480;width:11341;height:4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XsMQA&#10;AADcAAAADwAAAGRycy9kb3ducmV2LnhtbESPUWvCQBCE3wv9D8cW+lY3tSAh9RRbESpUoak/YMmt&#10;SejdXpq7mvjve4Lg4zAz3zDz5eisOnEfWi8anicZKJbKm1ZqDYfvzVMOKkQSQ9YLazhzgOXi/m5O&#10;hfGDfPGpjLVKEAkFaWhi7ArEUDXsKEx8x5K8o+8dxST7Gk1PQ4I7i9Msm6GjVtJCQx2/N1z9lH9O&#10;w9seV+XR7n+3Oc4+8TDsLK6j1o8P4+oVVOQx3sLX9ofRMM1f4HImHQF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V17DEAAAA3AAAAA8AAAAAAAAAAAAAAAAAmAIAAGRycy9k&#10;b3ducmV2LnhtbFBLBQYAAAAABAAEAPUAAACJAwAAAAA=&#10;" fillcolor="#00b0f0" stroked="f">
                    <v:textbox>
                      <w:txbxContent>
                        <w:p w14:paraId="73FFECC8" w14:textId="77777777" w:rsidR="004A117C" w:rsidRPr="00895898" w:rsidRDefault="004A117C" w:rsidP="004A117C">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v:textbox>
                  </v:shape>
                  <v:shape id="Textové pole 2" o:spid="_x0000_s1033" type="#_x0000_t202" style="position:absolute;left:12192;top:-7723;width:2292;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rq6sUA&#10;AADcAAAADwAAAGRycy9kb3ducmV2LnhtbESP0WrCQBRE3wv+w3KFvhTdVERDdBUtSKV9MvoBl+w1&#10;G8zejdk1Rr++Wyj0cZiZM8xy3dtadNT6yrGC93ECgrhwuuJSwem4G6UgfEDWWDsmBQ/ysF4NXpaY&#10;aXfnA3V5KEWEsM9QgQmhyaT0hSGLfuwa4uidXWsxRNmWUrd4j3Bby0mSzKTFiuOCwYY+DBWX/GYV&#10;bOTj83mey+s+t1/pNH0z312/Vep12G8WIAL14T/8195rBZN0B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SurqxQAAANwAAAAPAAAAAAAAAAAAAAAAAJgCAABkcnMv&#10;ZG93bnJldi54bWxQSwUGAAAAAAQABAD1AAAAigMAAAAA&#10;" stroked="f">
                    <v:textbox style="mso-fit-shape-to-text:t">
                      <w:txbxContent>
                        <w:p w14:paraId="70F78DFF" w14:textId="77777777" w:rsidR="004A117C" w:rsidRDefault="004A117C" w:rsidP="004A117C">
                          <w:r>
                            <w:t>x</w:t>
                          </w:r>
                        </w:p>
                      </w:txbxContent>
                    </v:textbox>
                  </v:shape>
                </v:group>
                <v:shape id="Textové pole 2" o:spid="_x0000_s1034" type="#_x0000_t202" style="position:absolute;width:11347;height:4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7AMAA&#10;AADcAAAADwAAAGRycy9kb3ducmV2LnhtbERPz2vCMBS+C/sfwhvsIpqugivVKGUgbN6sA6+P5tlW&#10;m5eSxLb+98thsOPH93u7n0wnBnK+tazgfZmAIK6sbrlW8HM+LDIQPiBr7CyTgid52O9eZlvMtR35&#10;REMZahFD2OeooAmhz6X0VUMG/dL2xJG7WmcwROhqqR2OMdx0Mk2StTTYcmxosKfPhqp7+TAKVrfi&#10;0k1lO/9wnDyzb/K1PlZKvb1OxQZEoCn8i//cX1pBmsX58Uw8An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H7AMAAAADcAAAADwAAAAAAAAAAAAAAAACYAgAAZHJzL2Rvd25y&#10;ZXYueG1sUEsFBgAAAAAEAAQA9QAAAIUDAAAAAA==&#10;" fillcolor="#00b0f0" stroked="f">
                  <v:textbox style="mso-fit-shape-to-text:t">
                    <w:txbxContent>
                      <w:p w14:paraId="3F67BB19" w14:textId="77777777" w:rsidR="004A117C" w:rsidRPr="00895898" w:rsidRDefault="004A117C" w:rsidP="004A117C">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Nepriame finančné náklady na 1 podnikateľa</w:t>
                        </w:r>
                      </w:p>
                    </w:txbxContent>
                  </v:textbox>
                </v:shape>
              </v:group>
            </w:pict>
          </mc:Fallback>
        </mc:AlternateContent>
      </w:r>
    </w:p>
    <w:p w14:paraId="2A834778" w14:textId="77777777" w:rsidR="004A117C" w:rsidRPr="00895898" w:rsidRDefault="004A117C" w:rsidP="004A117C">
      <w:pPr>
        <w:spacing w:after="120"/>
        <w:rPr>
          <w:rFonts w:eastAsia="Calibri"/>
        </w:rPr>
      </w:pPr>
    </w:p>
    <w:p w14:paraId="09598B75" w14:textId="77777777" w:rsidR="004A117C" w:rsidRPr="00895898" w:rsidRDefault="004A117C" w:rsidP="004A117C">
      <w:pPr>
        <w:spacing w:after="120"/>
        <w:rPr>
          <w:rFonts w:ascii="Arial" w:hAnsi="Arial"/>
          <w:color w:val="000000"/>
        </w:rPr>
      </w:pPr>
    </w:p>
    <w:p w14:paraId="4B47B835" w14:textId="77777777" w:rsidR="004A117C" w:rsidRPr="004D20CB" w:rsidRDefault="004A117C" w:rsidP="004A117C">
      <w:pPr>
        <w:spacing w:after="120"/>
        <w:rPr>
          <w:rFonts w:eastAsia="Calibri"/>
        </w:rPr>
      </w:pPr>
      <w:r w:rsidRPr="00895898">
        <w:rPr>
          <w:rFonts w:eastAsia="Calibri"/>
          <w:i/>
        </w:rPr>
        <w:t xml:space="preserve">Administratívne náklady na 1 podnikateľa </w:t>
      </w:r>
      <w:r w:rsidRPr="00895898">
        <w:rPr>
          <w:rFonts w:eastAsia="Calibri"/>
        </w:rPr>
        <w:t>sú vyčíslené na základe vzorca:</w:t>
      </w:r>
      <w:r w:rsidRPr="00895898">
        <w:rPr>
          <w:rFonts w:ascii="Arial" w:hAnsi="Arial"/>
          <w:noProof/>
          <w:color w:val="000000"/>
          <w:sz w:val="19"/>
          <w:szCs w:val="48"/>
          <w:lang w:eastAsia="sk-SK"/>
        </w:rPr>
        <mc:AlternateContent>
          <mc:Choice Requires="wpg">
            <w:drawing>
              <wp:anchor distT="0" distB="0" distL="114300" distR="114300" simplePos="0" relativeHeight="251659264" behindDoc="0" locked="0" layoutInCell="1" allowOverlap="1" wp14:anchorId="3FFBC0C8" wp14:editId="381F8562">
                <wp:simplePos x="0" y="0"/>
                <wp:positionH relativeFrom="column">
                  <wp:posOffset>-4445</wp:posOffset>
                </wp:positionH>
                <wp:positionV relativeFrom="paragraph">
                  <wp:posOffset>240665</wp:posOffset>
                </wp:positionV>
                <wp:extent cx="3181350" cy="445770"/>
                <wp:effectExtent l="0" t="0" r="0" b="0"/>
                <wp:wrapSquare wrapText="bothSides"/>
                <wp:docPr id="244" name="Skupina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350" cy="445770"/>
                          <a:chOff x="0" y="0"/>
                          <a:chExt cx="2838450" cy="445770"/>
                        </a:xfrm>
                      </wpg:grpSpPr>
                      <wps:wsp>
                        <wps:cNvPr id="245"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46EF756F" w14:textId="77777777" w:rsidR="004A117C" w:rsidRPr="00895898" w:rsidRDefault="004A117C" w:rsidP="004A117C">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wps:txbx>
                        <wps:bodyPr rot="0" vert="horz" wrap="square" lIns="91440" tIns="45720" rIns="91440" bIns="45720" anchor="ctr" anchorCtr="0">
                          <a:noAutofit/>
                        </wps:bodyPr>
                      </wps:wsp>
                      <wps:wsp>
                        <wps:cNvPr id="246" name="Textové pole 2"/>
                        <wps:cNvSpPr txBox="1">
                          <a:spLocks noChangeArrowheads="1"/>
                        </wps:cNvSpPr>
                        <wps:spPr bwMode="auto">
                          <a:xfrm>
                            <a:off x="781050" y="57150"/>
                            <a:ext cx="100965" cy="304800"/>
                          </a:xfrm>
                          <a:prstGeom prst="rect">
                            <a:avLst/>
                          </a:prstGeom>
                          <a:noFill/>
                          <a:ln w="9525">
                            <a:noFill/>
                            <a:miter lim="800000"/>
                            <a:headEnd/>
                            <a:tailEnd/>
                          </a:ln>
                        </wps:spPr>
                        <wps:txbx>
                          <w:txbxContent>
                            <w:p w14:paraId="1E1BC8D5" w14:textId="77777777" w:rsidR="004A117C" w:rsidRDefault="004A117C" w:rsidP="004A117C">
                              <w:r>
                                <w:t>x</w:t>
                              </w:r>
                            </w:p>
                          </w:txbxContent>
                        </wps:txbx>
                        <wps:bodyPr rot="0" vert="horz" wrap="square" lIns="91440" tIns="45720" rIns="91440" bIns="45720" anchor="t" anchorCtr="0">
                          <a:noAutofit/>
                        </wps:bodyPr>
                      </wps:wsp>
                      <wps:wsp>
                        <wps:cNvPr id="247" name="Textové pole 2"/>
                        <wps:cNvSpPr txBox="1">
                          <a:spLocks noChangeArrowheads="1"/>
                        </wps:cNvSpPr>
                        <wps:spPr bwMode="auto">
                          <a:xfrm>
                            <a:off x="1057275" y="0"/>
                            <a:ext cx="733425" cy="445770"/>
                          </a:xfrm>
                          <a:prstGeom prst="rect">
                            <a:avLst/>
                          </a:prstGeom>
                          <a:solidFill>
                            <a:srgbClr val="92D050"/>
                          </a:solidFill>
                          <a:ln w="9525">
                            <a:noFill/>
                            <a:miter lim="800000"/>
                            <a:headEnd/>
                            <a:tailEnd/>
                          </a:ln>
                        </wps:spPr>
                        <wps:txbx>
                          <w:txbxContent>
                            <w:p w14:paraId="7D065AE9" w14:textId="77777777" w:rsidR="004A117C" w:rsidRPr="00895898" w:rsidRDefault="004A117C" w:rsidP="004A117C">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wps:txbx>
                        <wps:bodyPr rot="0" vert="horz" wrap="square" lIns="91440" tIns="45720" rIns="91440" bIns="45720" anchor="ctr" anchorCtr="0">
                          <a:noAutofit/>
                        </wps:bodyPr>
                      </wps:wsp>
                      <wps:wsp>
                        <wps:cNvPr id="248" name="Textové pole 2"/>
                        <wps:cNvSpPr txBox="1">
                          <a:spLocks noChangeArrowheads="1"/>
                        </wps:cNvSpPr>
                        <wps:spPr bwMode="auto">
                          <a:xfrm>
                            <a:off x="1838325" y="57150"/>
                            <a:ext cx="85090" cy="342900"/>
                          </a:xfrm>
                          <a:prstGeom prst="rect">
                            <a:avLst/>
                          </a:prstGeom>
                          <a:noFill/>
                          <a:ln w="9525">
                            <a:noFill/>
                            <a:miter lim="800000"/>
                            <a:headEnd/>
                            <a:tailEnd/>
                          </a:ln>
                        </wps:spPr>
                        <wps:txbx>
                          <w:txbxContent>
                            <w:p w14:paraId="18024B1E" w14:textId="77777777" w:rsidR="004A117C" w:rsidRDefault="004A117C" w:rsidP="004A117C">
                              <w:r>
                                <w:t>x</w:t>
                              </w:r>
                            </w:p>
                          </w:txbxContent>
                        </wps:txbx>
                        <wps:bodyPr rot="0" vert="horz" wrap="square" lIns="91440" tIns="45720" rIns="91440" bIns="45720" anchor="t" anchorCtr="0">
                          <a:noAutofit/>
                        </wps:bodyPr>
                      </wps:wsp>
                      <wps:wsp>
                        <wps:cNvPr id="249" name="Textové pole 2"/>
                        <wps:cNvSpPr txBox="1">
                          <a:spLocks noChangeArrowheads="1"/>
                        </wps:cNvSpPr>
                        <wps:spPr bwMode="auto">
                          <a:xfrm>
                            <a:off x="2105025" y="0"/>
                            <a:ext cx="733425" cy="445770"/>
                          </a:xfrm>
                          <a:prstGeom prst="rect">
                            <a:avLst/>
                          </a:prstGeom>
                          <a:solidFill>
                            <a:srgbClr val="92D050"/>
                          </a:solidFill>
                          <a:ln w="9525">
                            <a:noFill/>
                            <a:miter lim="800000"/>
                            <a:headEnd/>
                            <a:tailEnd/>
                          </a:ln>
                        </wps:spPr>
                        <wps:txbx>
                          <w:txbxContent>
                            <w:p w14:paraId="7F737037" w14:textId="77777777" w:rsidR="004A117C" w:rsidRPr="00895898" w:rsidRDefault="004A117C" w:rsidP="004A117C">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wps:txbx>
                        <wps:bodyPr rot="0" vert="horz" wrap="square" lIns="91440" tIns="45720" rIns="91440" bIns="45720" anchor="ctr" anchorCtr="0">
                          <a:noAutofit/>
                        </wps:bodyPr>
                      </wps:wsp>
                    </wpg:wgp>
                  </a:graphicData>
                </a:graphic>
                <wp14:sizeRelH relativeFrom="margin">
                  <wp14:pctWidth>0</wp14:pctWidth>
                </wp14:sizeRelH>
                <wp14:sizeRelV relativeFrom="page">
                  <wp14:pctHeight>0</wp14:pctHeight>
                </wp14:sizeRelV>
              </wp:anchor>
            </w:drawing>
          </mc:Choice>
          <mc:Fallback>
            <w:pict>
              <v:group w14:anchorId="3FFBC0C8" id="Skupina 244" o:spid="_x0000_s1035" style="position:absolute;margin-left:-.35pt;margin-top:18.95pt;width:250.5pt;height:35.1pt;z-index:251659264;mso-width-relative:margin" coordsize="28384,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">
                <v:shape id="Textové pole 2" o:spid="_x0000_s1036" type="#_x0000_t202" style="position:absolute;width:7334;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taMUA&#10;AADcAAAADwAAAGRycy9kb3ducmV2LnhtbESP0WrCQBRE3wX/YblCX6RuGrW0qauUQkt9CsZ+wGX3&#10;NonN3g3ZNYl/7xYEH4eZOcNsdqNtRE+drx0reFokIIi1MzWXCn6On48vIHxANtg4JgUX8rDbTicb&#10;zIwb+EB9EUoRIewzVFCF0GZSel2RRb9wLXH0fl1nMUTZldJ0OES4bWSaJM/SYs1xocKWPirSf8XZ&#10;KtjrU/41YN68nvq8oHQ5n+vLWamH2fj+BiLQGO7hW/vbKEhXa/g/E4+A3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fC1oxQAAANwAAAAPAAAAAAAAAAAAAAAAAJgCAABkcnMv&#10;ZG93bnJldi54bWxQSwUGAAAAAAQABAD1AAAAigMAAAAA&#10;" fillcolor="#92d050" stroked="f">
                  <v:textbox>
                    <w:txbxContent>
                      <w:p w14:paraId="46EF756F" w14:textId="77777777" w:rsidR="004A117C" w:rsidRPr="00895898" w:rsidRDefault="004A117C" w:rsidP="004A117C">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v:textbox>
                </v:shape>
                <v:shape id="Textové pole 2" o:spid="_x0000_s1037" type="#_x0000_t202" style="position:absolute;left:7810;top:571;width:101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6s8MA&#10;AADcAAAADwAAAGRycy9kb3ducmV2LnhtbESPQYvCMBSE74L/IbwFb5qsqOx2jSKK4ElRdwVvj+bZ&#10;lm1eShNt/fdGEDwOM/MNM523thQ3qn3hWMPnQIEgTp0pONPwe1z3v0D4gGywdEwa7uRhPut2ppgY&#10;1/CeboeQiQhhn6CGPIQqkdKnOVn0A1cRR+/iaoshyjqTpsYmwm0ph0pNpMWC40KOFS1zSv8PV6vh&#10;b3s5n0Zql63suGpcqyTbb6l176Nd/IAI1IZ3+NXeGA3D0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r6s8MAAADcAAAADwAAAAAAAAAAAAAAAACYAgAAZHJzL2Rv&#10;d25yZXYueG1sUEsFBgAAAAAEAAQA9QAAAIgDAAAAAA==&#10;" filled="f" stroked="f">
                  <v:textbox>
                    <w:txbxContent>
                      <w:p w14:paraId="1E1BC8D5" w14:textId="77777777" w:rsidR="004A117C" w:rsidRDefault="004A117C" w:rsidP="004A117C">
                        <w:r>
                          <w:t>x</w:t>
                        </w:r>
                      </w:p>
                    </w:txbxContent>
                  </v:textbox>
                </v:shape>
                <v:shape id="Textové pole 2" o:spid="_x0000_s1038" type="#_x0000_t202" style="position:absolute;left:10572;width:7335;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WhMUA&#10;AADcAAAADwAAAGRycy9kb3ducmV2LnhtbESP0WrCQBRE3wX/YblCX6RuGsW2qauUQkt9CsZ+wGX3&#10;NonN3g3ZNYl/7xYEH4eZOcNsdqNtRE+drx0reFokIIi1MzWXCn6On48vIHxANtg4JgUX8rDbTicb&#10;zIwb+EB9EUoRIewzVFCF0GZSel2RRb9wLXH0fl1nMUTZldJ0OES4bWSaJGtpsea4UGFLHxXpv+Js&#10;Fez1Kf8aMG9eT31eULqcz/XlrNTDbHx/AxFoDPfwrf1tFKSrZ/g/E4+A3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4haExQAAANwAAAAPAAAAAAAAAAAAAAAAAJgCAABkcnMv&#10;ZG93bnJldi54bWxQSwUGAAAAAAQABAD1AAAAigMAAAAA&#10;" fillcolor="#92d050" stroked="f">
                  <v:textbox>
                    <w:txbxContent>
                      <w:p w14:paraId="7D065AE9" w14:textId="77777777" w:rsidR="004A117C" w:rsidRPr="00895898" w:rsidRDefault="004A117C" w:rsidP="004A117C">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v:textbox>
                </v:shape>
                <v:shape id="Textové pole 2" o:spid="_x0000_s1039" type="#_x0000_t202" style="position:absolute;left:18383;top:571;width:85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nLWsEA&#10;AADcAAAADwAAAGRycy9kb3ducmV2LnhtbERPz2vCMBS+D/wfwhO8rYnSDVcbRRzCTpPpNvD2aJ5t&#10;sXkpTdZ2/705CB4/vt/5ZrSN6KnztWMN80SBIC6cqbnU8H3aPy9B+IBssHFMGv7Jw2Y9ecoxM27g&#10;L+qPoRQxhH2GGqoQ2kxKX1Rk0SeuJY7cxXUWQ4RdKU2HQwy3jVwo9Sot1hwbKmxpV1FxPf5ZDT+f&#10;l/Nvqg7lu31pBzcqyfZNaj2bjtsViEBjeIjv7g+jYZHG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py1rBAAAA3AAAAA8AAAAAAAAAAAAAAAAAmAIAAGRycy9kb3du&#10;cmV2LnhtbFBLBQYAAAAABAAEAPUAAACGAwAAAAA=&#10;" filled="f" stroked="f">
                  <v:textbox>
                    <w:txbxContent>
                      <w:p w14:paraId="18024B1E" w14:textId="77777777" w:rsidR="004A117C" w:rsidRDefault="004A117C" w:rsidP="004A117C">
                        <w:r>
                          <w:t>x</w:t>
                        </w:r>
                      </w:p>
                    </w:txbxContent>
                  </v:textbox>
                </v:shape>
                <v:shape id="Textové pole 2" o:spid="_x0000_s1040" type="#_x0000_t202" style="position:absolute;left:21050;width:7334;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nbcQA&#10;AADcAAAADwAAAGRycy9kb3ducmV2LnhtbESP0WrCQBRE3wv+w3IFX6RumpZSU1eRglKfQqMfcNm9&#10;TaLZuyG7JvHvXaHQx2FmzjCrzWgb0VPna8cKXhYJCGLtTM2lgtNx9/wBwgdkg41jUnAjD5v15GmF&#10;mXED/1BfhFJECPsMFVQhtJmUXldk0S9cSxy9X9dZDFF2pTQdDhFuG5kmybu0WHNcqLClr4r0pbha&#10;BQd9zvcD5s3y3OcFpa/zub5dlZpNx+0niEBj+A//tb+NgvRtCY8z8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xJ23EAAAA3AAAAA8AAAAAAAAAAAAAAAAAmAIAAGRycy9k&#10;b3ducmV2LnhtbFBLBQYAAAAABAAEAPUAAACJAwAAAAA=&#10;" fillcolor="#92d050" stroked="f">
                  <v:textbox>
                    <w:txbxContent>
                      <w:p w14:paraId="7F737037" w14:textId="77777777" w:rsidR="004A117C" w:rsidRPr="00895898" w:rsidRDefault="004A117C" w:rsidP="004A117C">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v:textbox>
                </v:shape>
                <w10:wrap type="square"/>
              </v:group>
            </w:pict>
          </mc:Fallback>
        </mc:AlternateContent>
      </w:r>
    </w:p>
    <w:p w14:paraId="1972A5A5" w14:textId="77777777" w:rsidR="004A117C" w:rsidRPr="00895898" w:rsidRDefault="004A117C" w:rsidP="004A117C">
      <w:pPr>
        <w:spacing w:after="120"/>
        <w:rPr>
          <w:noProof/>
          <w:color w:val="000000"/>
          <w:lang w:eastAsia="sk-SK"/>
        </w:rPr>
      </w:pPr>
    </w:p>
    <w:p w14:paraId="5E495CFE" w14:textId="77777777" w:rsidR="004A117C" w:rsidRPr="00895898" w:rsidRDefault="004A117C" w:rsidP="004A117C">
      <w:pPr>
        <w:spacing w:after="120"/>
        <w:rPr>
          <w:color w:val="000000"/>
        </w:rPr>
      </w:pPr>
    </w:p>
    <w:p w14:paraId="3F816300" w14:textId="77777777" w:rsidR="004A117C" w:rsidRPr="007F3833" w:rsidRDefault="004A117C" w:rsidP="004A117C">
      <w:pPr>
        <w:spacing w:after="120"/>
        <w:rPr>
          <w:i/>
          <w:color w:val="000000"/>
        </w:rPr>
      </w:pPr>
    </w:p>
    <w:p w14:paraId="61BFD1F6" w14:textId="77777777" w:rsidR="004A117C" w:rsidRPr="00895898" w:rsidRDefault="004A117C" w:rsidP="004A117C">
      <w:pPr>
        <w:spacing w:after="120"/>
        <w:rPr>
          <w:i/>
        </w:rPr>
      </w:pPr>
      <w:r w:rsidRPr="007F3833">
        <w:rPr>
          <w:i/>
        </w:rPr>
        <w:t xml:space="preserve">* </w:t>
      </w:r>
      <w:r w:rsidRPr="00895898">
        <w:rPr>
          <w:i/>
        </w:rPr>
        <w:t>Pokyny k vyplneniu frekvencie plnenia povinnosti sú uvedené na str. 8</w:t>
      </w:r>
    </w:p>
    <w:p w14:paraId="16E6B7D7" w14:textId="77777777" w:rsidR="004A117C" w:rsidRPr="007F3833" w:rsidRDefault="004A117C" w:rsidP="004A117C">
      <w:pPr>
        <w:spacing w:after="120"/>
        <w:rPr>
          <w:i/>
        </w:rPr>
      </w:pPr>
      <w:r w:rsidRPr="00895898">
        <w:rPr>
          <w:i/>
        </w:rPr>
        <w:t xml:space="preserve">** </w:t>
      </w:r>
      <w:r w:rsidRPr="007F3833">
        <w:rPr>
          <w:i/>
        </w:rPr>
        <w:t>Pokyny k vyplneniu časovej náročnosti sú uvedené na str. 9</w:t>
      </w:r>
    </w:p>
    <w:p w14:paraId="2C27750B" w14:textId="77777777" w:rsidR="004A117C" w:rsidRPr="00895898" w:rsidRDefault="004A117C" w:rsidP="004A117C">
      <w:pPr>
        <w:spacing w:after="120"/>
        <w:jc w:val="both"/>
        <w:rPr>
          <w:i/>
          <w:color w:val="000000"/>
        </w:rPr>
      </w:pPr>
      <w:r w:rsidRPr="007F3833">
        <w:rPr>
          <w:i/>
        </w:rPr>
        <w:t xml:space="preserve">*** Tarifa – pre zjednodušenie výpočtov vychádza z priemernej ceny práce, ktorá je uvedená v Kalkulačke nákladov (priemerná mzda + odvody zamestnávateľa). </w:t>
      </w:r>
    </w:p>
    <w:p w14:paraId="00C1FAD8" w14:textId="77777777" w:rsidR="004A117C" w:rsidRPr="00895898" w:rsidRDefault="004A117C" w:rsidP="004A117C">
      <w:pPr>
        <w:spacing w:after="120"/>
        <w:rPr>
          <w:rFonts w:eastAsia="Calibri"/>
          <w:i/>
        </w:rPr>
      </w:pPr>
    </w:p>
    <w:p w14:paraId="2CC0EDC3" w14:textId="77777777" w:rsidR="004A117C" w:rsidRPr="00895898" w:rsidRDefault="004A117C" w:rsidP="004A117C">
      <w:pPr>
        <w:spacing w:after="120"/>
        <w:rPr>
          <w:rFonts w:eastAsia="Calibri"/>
        </w:rPr>
      </w:pPr>
      <w:r w:rsidRPr="00895898">
        <w:rPr>
          <w:rFonts w:ascii="Arial" w:hAnsi="Arial"/>
          <w:noProof/>
          <w:color w:val="000000"/>
          <w:sz w:val="19"/>
          <w:szCs w:val="48"/>
          <w:lang w:eastAsia="sk-SK"/>
        </w:rPr>
        <mc:AlternateContent>
          <mc:Choice Requires="wpg">
            <w:drawing>
              <wp:anchor distT="0" distB="0" distL="114300" distR="114300" simplePos="0" relativeHeight="251660288" behindDoc="0" locked="0" layoutInCell="1" allowOverlap="1" wp14:anchorId="2C4CDA71" wp14:editId="1B64F2BA">
                <wp:simplePos x="0" y="0"/>
                <wp:positionH relativeFrom="column">
                  <wp:posOffset>-5867</wp:posOffset>
                </wp:positionH>
                <wp:positionV relativeFrom="paragraph">
                  <wp:posOffset>234893</wp:posOffset>
                </wp:positionV>
                <wp:extent cx="4511660" cy="790562"/>
                <wp:effectExtent l="0" t="0" r="3810" b="0"/>
                <wp:wrapNone/>
                <wp:docPr id="21"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1660" cy="790562"/>
                          <a:chOff x="0" y="0"/>
                          <a:chExt cx="4939115" cy="486830"/>
                        </a:xfrm>
                      </wpg:grpSpPr>
                      <wps:wsp>
                        <wps:cNvPr id="2" name="Rectangle 3"/>
                        <wps:cNvSpPr>
                          <a:spLocks noChangeArrowheads="1"/>
                        </wps:cNvSpPr>
                        <wps:spPr bwMode="auto">
                          <a:xfrm>
                            <a:off x="3277533" y="11817"/>
                            <a:ext cx="1661582" cy="457325"/>
                          </a:xfrm>
                          <a:prstGeom prst="rect">
                            <a:avLst/>
                          </a:prstGeom>
                          <a:solidFill>
                            <a:srgbClr val="81BC00"/>
                          </a:solidFill>
                          <a:ln w="9525">
                            <a:noFill/>
                            <a:miter lim="800000"/>
                            <a:headEnd/>
                            <a:tailEnd/>
                          </a:ln>
                        </wps:spPr>
                        <wps:txbx>
                          <w:txbxContent>
                            <w:p w14:paraId="71FC6DB8" w14:textId="77777777" w:rsidR="004A117C" w:rsidRPr="00714F21" w:rsidRDefault="004A117C" w:rsidP="004A117C">
                              <w:pPr>
                                <w:pStyle w:val="Normlnywebov"/>
                                <w:jc w:val="center"/>
                                <w:textAlignment w:val="baseline"/>
                              </w:pPr>
                              <w:r w:rsidRPr="00895898">
                                <w:rPr>
                                  <w:rFonts w:ascii="Arial" w:hAnsi="Arial"/>
                                  <w:color w:val="FFFFFF"/>
                                  <w:kern w:val="24"/>
                                  <w:sz w:val="16"/>
                                  <w:szCs w:val="16"/>
                                </w:rPr>
                                <w:t>Administratívne náklady na jedného podnikateľa</w:t>
                              </w:r>
                            </w:p>
                          </w:txbxContent>
                        </wps:txbx>
                        <wps:bodyPr wrap="square" lIns="36000" tIns="36000" rIns="36000" bIns="36000" anchor="ctr"/>
                      </wps:wsp>
                      <wps:wsp>
                        <wps:cNvPr id="3" name="Rectangle 3"/>
                        <wps:cNvSpPr>
                          <a:spLocks noChangeArrowheads="1"/>
                        </wps:cNvSpPr>
                        <wps:spPr bwMode="auto">
                          <a:xfrm>
                            <a:off x="0" y="0"/>
                            <a:ext cx="1428750" cy="486830"/>
                          </a:xfrm>
                          <a:prstGeom prst="rect">
                            <a:avLst/>
                          </a:prstGeom>
                          <a:solidFill>
                            <a:srgbClr val="0070C0"/>
                          </a:solidFill>
                          <a:ln w="9525">
                            <a:noFill/>
                            <a:miter lim="800000"/>
                            <a:headEnd/>
                            <a:tailEnd/>
                          </a:ln>
                        </wps:spPr>
                        <wps:txbx>
                          <w:txbxContent>
                            <w:p w14:paraId="2A7CDA63" w14:textId="77777777" w:rsidR="004A117C" w:rsidRPr="00714F21" w:rsidRDefault="004A117C" w:rsidP="004A117C">
                              <w:pPr>
                                <w:pStyle w:val="Normlnywebov"/>
                                <w:jc w:val="center"/>
                                <w:textAlignment w:val="baseline"/>
                              </w:pPr>
                              <w:r w:rsidRPr="00895898">
                                <w:rPr>
                                  <w:rFonts w:ascii="Arial" w:hAnsi="Arial"/>
                                  <w:color w:val="FFFFFF"/>
                                  <w:kern w:val="24"/>
                                  <w:sz w:val="16"/>
                                  <w:szCs w:val="16"/>
                                </w:rPr>
                                <w:t>Priame finančné náklady</w:t>
                              </w:r>
                              <w:r>
                                <w:rPr>
                                  <w:rFonts w:ascii="Arial" w:hAnsi="Arial"/>
                                  <w:color w:val="FFFFFF"/>
                                  <w:kern w:val="24"/>
                                  <w:sz w:val="16"/>
                                  <w:szCs w:val="16"/>
                                </w:rPr>
                                <w:t xml:space="preserve"> </w:t>
                              </w:r>
                              <w:r w:rsidRPr="00895898">
                                <w:rPr>
                                  <w:rFonts w:ascii="Arial" w:hAnsi="Arial"/>
                                  <w:color w:val="FFFFFF"/>
                                  <w:kern w:val="24"/>
                                  <w:sz w:val="16"/>
                                  <w:szCs w:val="16"/>
                                </w:rPr>
                                <w:t>(dane, odvody, clá</w:t>
                              </w:r>
                              <w:r>
                                <w:rPr>
                                  <w:rFonts w:ascii="Arial" w:hAnsi="Arial"/>
                                  <w:color w:val="FFFFFF"/>
                                  <w:kern w:val="24"/>
                                  <w:sz w:val="16"/>
                                  <w:szCs w:val="16"/>
                                </w:rPr>
                                <w:t>, poplatky</w:t>
                              </w:r>
                              <w:r w:rsidRPr="00895898">
                                <w:rPr>
                                  <w:rFonts w:ascii="Arial" w:hAnsi="Arial"/>
                                  <w:color w:val="FFFFFF"/>
                                  <w:kern w:val="24"/>
                                  <w:sz w:val="16"/>
                                  <w:szCs w:val="16"/>
                                </w:rPr>
                                <w:t>)</w:t>
                              </w:r>
                              <w:r>
                                <w:rPr>
                                  <w:rFonts w:ascii="Arial" w:hAnsi="Arial"/>
                                  <w:color w:val="FFFFFF"/>
                                  <w:kern w:val="24"/>
                                  <w:sz w:val="16"/>
                                  <w:szCs w:val="16"/>
                                </w:rPr>
                                <w:t xml:space="preserve">  na jedného podnikateľa</w:t>
                              </w:r>
                              <w:r w:rsidRPr="00895898">
                                <w:rPr>
                                  <w:rFonts w:ascii="Arial" w:hAnsi="Arial"/>
                                  <w:color w:val="FFFFFF"/>
                                  <w:kern w:val="24"/>
                                  <w:sz w:val="16"/>
                                  <w:szCs w:val="16"/>
                                </w:rPr>
                                <w:t xml:space="preserve">   – ročný vplyv </w:t>
                              </w:r>
                            </w:p>
                          </w:txbxContent>
                        </wps:txbx>
                        <wps:bodyPr wrap="square" lIns="36000" tIns="36000" rIns="36000" bIns="36000" anchor="ctr"/>
                      </wps:wsp>
                      <wps:wsp>
                        <wps:cNvPr id="5" name="Rectangle 3"/>
                        <wps:cNvSpPr>
                          <a:spLocks noChangeArrowheads="1"/>
                        </wps:cNvSpPr>
                        <wps:spPr bwMode="auto">
                          <a:xfrm>
                            <a:off x="1706812" y="11809"/>
                            <a:ext cx="1261539" cy="475019"/>
                          </a:xfrm>
                          <a:prstGeom prst="rect">
                            <a:avLst/>
                          </a:prstGeom>
                          <a:solidFill>
                            <a:srgbClr val="00A1DE"/>
                          </a:solidFill>
                          <a:ln w="9525">
                            <a:noFill/>
                            <a:miter lim="800000"/>
                            <a:headEnd/>
                            <a:tailEnd/>
                          </a:ln>
                        </wps:spPr>
                        <wps:txbx>
                          <w:txbxContent>
                            <w:p w14:paraId="3A032900" w14:textId="77777777" w:rsidR="004A117C" w:rsidRPr="00714F21" w:rsidRDefault="004A117C" w:rsidP="004A117C">
                              <w:pPr>
                                <w:pStyle w:val="Normlnywebov"/>
                                <w:jc w:val="center"/>
                                <w:textAlignment w:val="baseline"/>
                              </w:pPr>
                              <w:r w:rsidRPr="00895898">
                                <w:rPr>
                                  <w:rFonts w:ascii="Arial" w:hAnsi="Arial"/>
                                  <w:color w:val="FFFFFF"/>
                                  <w:kern w:val="24"/>
                                  <w:sz w:val="16"/>
                                  <w:szCs w:val="16"/>
                                </w:rPr>
                                <w:t xml:space="preserve">Nepriame finančné náklady na jedného podnikateľa </w:t>
                              </w:r>
                            </w:p>
                          </w:txbxContent>
                        </wps:txbx>
                        <wps:bodyPr wrap="square" lIns="36000" tIns="36000" rIns="36000" bIns="36000" anchor="ctr"/>
                      </wps:wsp>
                      <wps:wsp>
                        <wps:cNvPr id="6" name="BlokTextu 29"/>
                        <wps:cNvSpPr txBox="1"/>
                        <wps:spPr>
                          <a:xfrm>
                            <a:off x="1397001" y="105832"/>
                            <a:ext cx="276675" cy="253474"/>
                          </a:xfrm>
                          <a:prstGeom prst="rect">
                            <a:avLst/>
                          </a:prstGeom>
                          <a:noFill/>
                          <a:ln>
                            <a:noFill/>
                          </a:ln>
                          <a:effectLst/>
                        </wps:spPr>
                        <wps:txbx>
                          <w:txbxContent>
                            <w:p w14:paraId="4C5E775A" w14:textId="77777777" w:rsidR="004A117C" w:rsidRDefault="004A117C" w:rsidP="004A117C">
                              <w:pPr>
                                <w:pStyle w:val="Normlnywebov"/>
                              </w:pPr>
                              <w:r w:rsidRPr="00895898">
                                <w:rPr>
                                  <w:rFonts w:ascii="Calibri" w:hAnsi="Calibri"/>
                                  <w:color w:val="000000"/>
                                  <w:sz w:val="22"/>
                                  <w:szCs w:val="22"/>
                                </w:rPr>
                                <w:t>+</w:t>
                              </w:r>
                            </w:p>
                          </w:txbxContent>
                        </wps:txbx>
                        <wps:bodyPr wrap="none" rtlCol="0" anchor="t">
                          <a:noAutofit/>
                        </wps:bodyPr>
                      </wps:wsp>
                      <wps:wsp>
                        <wps:cNvPr id="8" name="BlokTextu 57"/>
                        <wps:cNvSpPr txBox="1"/>
                        <wps:spPr>
                          <a:xfrm>
                            <a:off x="2996365" y="116262"/>
                            <a:ext cx="211667" cy="264560"/>
                          </a:xfrm>
                          <a:prstGeom prst="rect">
                            <a:avLst/>
                          </a:prstGeom>
                          <a:noFill/>
                          <a:ln>
                            <a:noFill/>
                          </a:ln>
                          <a:effectLst/>
                        </wps:spPr>
                        <wps:txbx>
                          <w:txbxContent>
                            <w:p w14:paraId="58AE0FC0" w14:textId="77777777" w:rsidR="004A117C" w:rsidRDefault="004A117C" w:rsidP="004A117C">
                              <w:pPr>
                                <w:pStyle w:val="Normlnywebov"/>
                              </w:pPr>
                              <w:r w:rsidRPr="00895898">
                                <w:rPr>
                                  <w:rFonts w:ascii="Calibri" w:hAnsi="Calibri"/>
                                  <w:color w:val="000000"/>
                                  <w:sz w:val="22"/>
                                  <w:szCs w:val="22"/>
                                </w:rPr>
                                <w:t>+</w:t>
                              </w:r>
                            </w:p>
                          </w:txbxContent>
                        </wps:txbx>
                        <wps:bodyPr wrap="square" rtlCol="0" anchor="t">
                          <a:noAutofit/>
                        </wps:bodyPr>
                      </wps:wsp>
                    </wpg:wgp>
                  </a:graphicData>
                </a:graphic>
                <wp14:sizeRelH relativeFrom="margin">
                  <wp14:pctWidth>0</wp14:pctWidth>
                </wp14:sizeRelH>
                <wp14:sizeRelV relativeFrom="page">
                  <wp14:pctHeight>0</wp14:pctHeight>
                </wp14:sizeRelV>
              </wp:anchor>
            </w:drawing>
          </mc:Choice>
          <mc:Fallback>
            <w:pict>
              <v:group w14:anchorId="2C4CDA71" id="Skupina 20" o:spid="_x0000_s1041" style="position:absolute;margin-left:-.45pt;margin-top:18.5pt;width:355.25pt;height:62.25pt;z-index:251660288;mso-width-relative:margin" coordsize="49391,4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">
                <v:rect id="Rectangle 3" o:spid="_x0000_s1042" style="position:absolute;left:32775;top:118;width:16616;height: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Lu8sQA&#10;AADaAAAADwAAAGRycy9kb3ducmV2LnhtbESPzWrDMBCE74W+g9hCLiWR65IfHMuhtIQUAoG6gVwX&#10;a2ubWivHUmz37atAIMdhZr5h0s1oGtFT52rLCl5mEQjiwuqaSwXH7+10BcJ5ZI2NZVLwRw422eND&#10;iom2A39Rn/tSBAi7BBVU3reJlK6oyKCb2ZY4eD+2M+iD7EqpOxwC3DQyjqKFNFhzWKiwpfeKit/8&#10;YhQccr94/ogPy9fzedj3hnYnO2elJk/j2xqEp9Hfw7f2p1YQw/VKu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i7vLEAAAA2gAAAA8AAAAAAAAAAAAAAAAAmAIAAGRycy9k&#10;b3ducmV2LnhtbFBLBQYAAAAABAAEAPUAAACJAwAAAAA=&#10;" fillcolor="#81bc00" stroked="f">
                  <v:textbox inset="1mm,1mm,1mm,1mm">
                    <w:txbxContent>
                      <w:p w14:paraId="71FC6DB8" w14:textId="77777777" w:rsidR="004A117C" w:rsidRPr="00714F21" w:rsidRDefault="004A117C" w:rsidP="004A117C">
                        <w:pPr>
                          <w:pStyle w:val="Normlnywebov"/>
                          <w:jc w:val="center"/>
                          <w:textAlignment w:val="baseline"/>
                        </w:pPr>
                        <w:r w:rsidRPr="00895898">
                          <w:rPr>
                            <w:rFonts w:ascii="Arial" w:hAnsi="Arial"/>
                            <w:color w:val="FFFFFF"/>
                            <w:kern w:val="24"/>
                            <w:sz w:val="16"/>
                            <w:szCs w:val="16"/>
                          </w:rPr>
                          <w:t>Administratívne náklady na jedného podnikateľa</w:t>
                        </w:r>
                      </w:p>
                    </w:txbxContent>
                  </v:textbox>
                </v:rect>
                <v:rect id="Rectangle 3" o:spid="_x0000_s1043" style="position:absolute;width:14287;height:4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vb/8UA&#10;AADaAAAADwAAAGRycy9kb3ducmV2LnhtbESPQWsCMRSE7wX/Q3iCt5rV1qqrUaxgKfbkttAeH5vn&#10;bnDzsm6ibv31TUHwOMzMN8x82dpKnKnxxrGCQT8BQZw7bbhQ8PW5eZyA8AFZY+WYFPySh+Wi8zDH&#10;VLsL7+ichUJECPsUFZQh1KmUPi/Jou+7mjh6e9dYDFE2hdQNXiLcVnKYJC/SouG4UGJN65LyQ3ay&#10;CsbHn+vkY/e6HQ2nxdv12Rjzvc+U6nXb1QxEoDbcw7f2u1bwBP9X4g2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9v/xQAAANoAAAAPAAAAAAAAAAAAAAAAAJgCAABkcnMv&#10;ZG93bnJldi54bWxQSwUGAAAAAAQABAD1AAAAigMAAAAA&#10;" fillcolor="#0070c0" stroked="f">
                  <v:textbox inset="1mm,1mm,1mm,1mm">
                    <w:txbxContent>
                      <w:p w14:paraId="2A7CDA63" w14:textId="77777777" w:rsidR="004A117C" w:rsidRPr="00714F21" w:rsidRDefault="004A117C" w:rsidP="004A117C">
                        <w:pPr>
                          <w:pStyle w:val="Normlnywebov"/>
                          <w:jc w:val="center"/>
                          <w:textAlignment w:val="baseline"/>
                        </w:pPr>
                        <w:r w:rsidRPr="00895898">
                          <w:rPr>
                            <w:rFonts w:ascii="Arial" w:hAnsi="Arial"/>
                            <w:color w:val="FFFFFF"/>
                            <w:kern w:val="24"/>
                            <w:sz w:val="16"/>
                            <w:szCs w:val="16"/>
                          </w:rPr>
                          <w:t>Priame finančné náklady</w:t>
                        </w:r>
                        <w:r>
                          <w:rPr>
                            <w:rFonts w:ascii="Arial" w:hAnsi="Arial"/>
                            <w:color w:val="FFFFFF"/>
                            <w:kern w:val="24"/>
                            <w:sz w:val="16"/>
                            <w:szCs w:val="16"/>
                          </w:rPr>
                          <w:t xml:space="preserve"> </w:t>
                        </w:r>
                        <w:r w:rsidRPr="00895898">
                          <w:rPr>
                            <w:rFonts w:ascii="Arial" w:hAnsi="Arial"/>
                            <w:color w:val="FFFFFF"/>
                            <w:kern w:val="24"/>
                            <w:sz w:val="16"/>
                            <w:szCs w:val="16"/>
                          </w:rPr>
                          <w:t>(dane, odvody, clá</w:t>
                        </w:r>
                        <w:r>
                          <w:rPr>
                            <w:rFonts w:ascii="Arial" w:hAnsi="Arial"/>
                            <w:color w:val="FFFFFF"/>
                            <w:kern w:val="24"/>
                            <w:sz w:val="16"/>
                            <w:szCs w:val="16"/>
                          </w:rPr>
                          <w:t>, poplatky</w:t>
                        </w:r>
                        <w:r w:rsidRPr="00895898">
                          <w:rPr>
                            <w:rFonts w:ascii="Arial" w:hAnsi="Arial"/>
                            <w:color w:val="FFFFFF"/>
                            <w:kern w:val="24"/>
                            <w:sz w:val="16"/>
                            <w:szCs w:val="16"/>
                          </w:rPr>
                          <w:t>)</w:t>
                        </w:r>
                        <w:r>
                          <w:rPr>
                            <w:rFonts w:ascii="Arial" w:hAnsi="Arial"/>
                            <w:color w:val="FFFFFF"/>
                            <w:kern w:val="24"/>
                            <w:sz w:val="16"/>
                            <w:szCs w:val="16"/>
                          </w:rPr>
                          <w:t xml:space="preserve">  na jedného podnikateľa</w:t>
                        </w:r>
                        <w:r w:rsidRPr="00895898">
                          <w:rPr>
                            <w:rFonts w:ascii="Arial" w:hAnsi="Arial"/>
                            <w:color w:val="FFFFFF"/>
                            <w:kern w:val="24"/>
                            <w:sz w:val="16"/>
                            <w:szCs w:val="16"/>
                          </w:rPr>
                          <w:t xml:space="preserve">   – ročný vplyv </w:t>
                        </w:r>
                      </w:p>
                    </w:txbxContent>
                  </v:textbox>
                </v:rect>
                <v:rect id="Rectangle 3" o:spid="_x0000_s1044" style="position:absolute;left:17068;top:118;width:12615;height:4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IP+sAA&#10;AADaAAAADwAAAGRycy9kb3ducmV2LnhtbESP3YrCMBSE7wXfIZwF7zSt4KpdUxFF6HrnzwMcmrNt&#10;3eakNNHWtzeC4OUwM98wq3VvanGn1lWWFcSTCARxbnXFhYLLeT9egHAeWWNtmRQ8yME6HQ5WmGjb&#10;8ZHuJ1+IAGGXoILS+yaR0uUlGXQT2xAH78+2Bn2QbSF1i12Am1pOo+hbGqw4LJTY0Lak/P90Mwr2&#10;12J3rTte9tnvPDuYZRbbyio1+uo3PyA89f4TfrczrWAGryvhBs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IP+sAAAADaAAAADwAAAAAAAAAAAAAAAACYAgAAZHJzL2Rvd25y&#10;ZXYueG1sUEsFBgAAAAAEAAQA9QAAAIUDAAAAAA==&#10;" fillcolor="#00a1de" stroked="f">
                  <v:textbox inset="1mm,1mm,1mm,1mm">
                    <w:txbxContent>
                      <w:p w14:paraId="3A032900" w14:textId="77777777" w:rsidR="004A117C" w:rsidRPr="00714F21" w:rsidRDefault="004A117C" w:rsidP="004A117C">
                        <w:pPr>
                          <w:pStyle w:val="Normlnywebov"/>
                          <w:jc w:val="center"/>
                          <w:textAlignment w:val="baseline"/>
                        </w:pPr>
                        <w:r w:rsidRPr="00895898">
                          <w:rPr>
                            <w:rFonts w:ascii="Arial" w:hAnsi="Arial"/>
                            <w:color w:val="FFFFFF"/>
                            <w:kern w:val="24"/>
                            <w:sz w:val="16"/>
                            <w:szCs w:val="16"/>
                          </w:rPr>
                          <w:t xml:space="preserve">Nepriame finančné náklady na jedného podnikateľa </w:t>
                        </w:r>
                      </w:p>
                    </w:txbxContent>
                  </v:textbox>
                </v:rect>
                <v:shape id="BlokTextu 29" o:spid="_x0000_s1045" type="#_x0000_t202" style="position:absolute;left:13970;top:1058;width:2766;height:25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e2FMUA&#10;AADaAAAADwAAAGRycy9kb3ducmV2LnhtbESPQWvCQBSE70L/w/IKvUjdGEEkdRVpaREURe2hx2f2&#10;mcRm34bdNab99d2C4HGYmW+Y6bwztWjJ+cqyguEgAUGcW11xoeDz8P48AeEDssbaMin4IQ/z2UNv&#10;ipm2V95Ruw+FiBD2GSooQ2gyKX1ekkE/sA1x9E7WGQxRukJqh9cIN7VMk2QsDVYcF0ps6LWk/Ht/&#10;MQp+t25t03T9MTx+jao2vPXPm9VGqafHbvECIlAX7uFbe6kVjOH/Srw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7YUxQAAANoAAAAPAAAAAAAAAAAAAAAAAJgCAABkcnMv&#10;ZG93bnJldi54bWxQSwUGAAAAAAQABAD1AAAAigMAAAAA&#10;" filled="f" stroked="f">
                  <v:textbox>
                    <w:txbxContent>
                      <w:p w14:paraId="4C5E775A" w14:textId="77777777" w:rsidR="004A117C" w:rsidRDefault="004A117C" w:rsidP="004A117C">
                        <w:pPr>
                          <w:pStyle w:val="Normlnywebov"/>
                        </w:pPr>
                        <w:r w:rsidRPr="00895898">
                          <w:rPr>
                            <w:rFonts w:ascii="Calibri" w:hAnsi="Calibri"/>
                            <w:color w:val="000000"/>
                            <w:sz w:val="22"/>
                            <w:szCs w:val="22"/>
                          </w:rPr>
                          <w:t>+</w:t>
                        </w:r>
                      </w:p>
                    </w:txbxContent>
                  </v:textbox>
                </v:shape>
                <v:shape id="BlokTextu 57" o:spid="_x0000_s1046" type="#_x0000_t202" style="position:absolute;left:29963;top:1162;width:2117;height:2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58AE0FC0" w14:textId="77777777" w:rsidR="004A117C" w:rsidRDefault="004A117C" w:rsidP="004A117C">
                        <w:pPr>
                          <w:pStyle w:val="Normlnywebov"/>
                        </w:pPr>
                        <w:r w:rsidRPr="00895898">
                          <w:rPr>
                            <w:rFonts w:ascii="Calibri" w:hAnsi="Calibri"/>
                            <w:color w:val="000000"/>
                            <w:sz w:val="22"/>
                            <w:szCs w:val="22"/>
                          </w:rPr>
                          <w:t>+</w:t>
                        </w:r>
                      </w:p>
                    </w:txbxContent>
                  </v:textbox>
                </v:shape>
              </v:group>
            </w:pict>
          </mc:Fallback>
        </mc:AlternateContent>
      </w:r>
      <w:r w:rsidRPr="00895898">
        <w:rPr>
          <w:rFonts w:eastAsia="Calibri"/>
          <w:i/>
        </w:rPr>
        <w:t xml:space="preserve">Celkové náklady na 1 podnikateľa </w:t>
      </w:r>
      <w:r w:rsidRPr="00895898">
        <w:rPr>
          <w:rFonts w:eastAsia="Calibri"/>
        </w:rPr>
        <w:t>sú vyčíslené na základe vzorca:</w:t>
      </w:r>
    </w:p>
    <w:p w14:paraId="006E1BA6" w14:textId="77777777" w:rsidR="004A117C" w:rsidRPr="00895898" w:rsidRDefault="004A117C" w:rsidP="004A117C">
      <w:pPr>
        <w:spacing w:after="120"/>
        <w:rPr>
          <w:rFonts w:ascii="Arial" w:hAnsi="Arial"/>
          <w:color w:val="000000"/>
        </w:rPr>
      </w:pPr>
    </w:p>
    <w:p w14:paraId="1B276B10" w14:textId="77777777" w:rsidR="004A117C" w:rsidRPr="00895898" w:rsidRDefault="004A117C" w:rsidP="004A117C">
      <w:pPr>
        <w:spacing w:after="120"/>
        <w:rPr>
          <w:rFonts w:ascii="Arial" w:hAnsi="Arial"/>
          <w:color w:val="000000"/>
        </w:rPr>
      </w:pPr>
    </w:p>
    <w:p w14:paraId="5243060A" w14:textId="77777777" w:rsidR="004A117C" w:rsidRPr="00895898" w:rsidRDefault="004A117C" w:rsidP="004A117C">
      <w:pPr>
        <w:spacing w:after="120"/>
        <w:rPr>
          <w:rFonts w:eastAsia="Calibri"/>
          <w:b/>
          <w:i/>
        </w:rPr>
      </w:pPr>
    </w:p>
    <w:p w14:paraId="704B8452" w14:textId="77777777" w:rsidR="004A117C" w:rsidRPr="00895898" w:rsidRDefault="004A117C" w:rsidP="004A117C">
      <w:pPr>
        <w:spacing w:after="120"/>
        <w:rPr>
          <w:rFonts w:eastAsia="Calibri"/>
          <w:b/>
          <w:i/>
        </w:rPr>
      </w:pPr>
    </w:p>
    <w:p w14:paraId="1C204410" w14:textId="77777777" w:rsidR="004A117C" w:rsidRPr="00895898" w:rsidRDefault="004A117C" w:rsidP="004A117C">
      <w:pPr>
        <w:spacing w:after="120"/>
        <w:rPr>
          <w:rFonts w:eastAsia="Calibri"/>
          <w:b/>
          <w:i/>
        </w:rPr>
      </w:pPr>
      <w:r w:rsidRPr="00895898">
        <w:rPr>
          <w:rFonts w:eastAsia="Calibri"/>
          <w:b/>
          <w:i/>
        </w:rPr>
        <w:t>Náklady na celé podnikateľské prostredie</w:t>
      </w:r>
    </w:p>
    <w:p w14:paraId="1CDFE079" w14:textId="77777777" w:rsidR="004A117C" w:rsidRPr="004D20CB" w:rsidRDefault="004A117C" w:rsidP="004A117C">
      <w:pPr>
        <w:spacing w:after="120"/>
        <w:rPr>
          <w:rFonts w:eastAsia="Calibri"/>
        </w:rPr>
      </w:pPr>
      <w:r w:rsidRPr="00895898">
        <w:rPr>
          <w:rFonts w:eastAsia="Calibri"/>
          <w:i/>
        </w:rPr>
        <w:t xml:space="preserve">Priame a nepriame finančné náklady na celé PP </w:t>
      </w:r>
      <w:r w:rsidRPr="00895898">
        <w:rPr>
          <w:rFonts w:eastAsia="Calibri"/>
        </w:rPr>
        <w:t>sú vyčíslené na základe vzorca:</w:t>
      </w:r>
    </w:p>
    <w:p w14:paraId="53B34072" w14:textId="77777777" w:rsidR="004A117C" w:rsidRPr="00895898" w:rsidRDefault="004A117C" w:rsidP="004A117C">
      <w:pPr>
        <w:spacing w:after="120"/>
        <w:rPr>
          <w:rFonts w:ascii="Arial" w:hAnsi="Arial"/>
          <w:noProof/>
          <w:color w:val="000000"/>
          <w:lang w:eastAsia="sk-SK"/>
        </w:rPr>
      </w:pPr>
    </w:p>
    <w:p w14:paraId="1EBC41FD" w14:textId="77777777" w:rsidR="004A117C" w:rsidRPr="00895898" w:rsidRDefault="004A117C" w:rsidP="004A117C">
      <w:pPr>
        <w:spacing w:after="120"/>
        <w:rPr>
          <w:rFonts w:ascii="Arial" w:hAnsi="Arial"/>
          <w:noProof/>
          <w:color w:val="000000"/>
          <w:lang w:eastAsia="sk-SK"/>
        </w:rPr>
      </w:pPr>
    </w:p>
    <w:p w14:paraId="373C41F4" w14:textId="77777777" w:rsidR="004A117C" w:rsidRPr="00895898" w:rsidRDefault="004A117C" w:rsidP="004A117C">
      <w:pPr>
        <w:spacing w:after="120"/>
        <w:rPr>
          <w:rFonts w:ascii="Arial" w:hAnsi="Arial"/>
          <w:noProof/>
          <w:color w:val="000000"/>
          <w:lang w:eastAsia="sk-SK"/>
        </w:rPr>
      </w:pPr>
    </w:p>
    <w:p w14:paraId="1DBB0C94" w14:textId="77777777" w:rsidR="004A117C" w:rsidRPr="00895898" w:rsidRDefault="004A117C" w:rsidP="004A117C">
      <w:pPr>
        <w:spacing w:after="120"/>
        <w:rPr>
          <w:rFonts w:ascii="Arial" w:hAnsi="Arial"/>
          <w:noProof/>
          <w:color w:val="000000"/>
          <w:lang w:eastAsia="sk-SK"/>
        </w:rPr>
      </w:pPr>
    </w:p>
    <w:p w14:paraId="2BDE4290" w14:textId="77777777" w:rsidR="004A117C" w:rsidRPr="00895898" w:rsidRDefault="004A117C" w:rsidP="004A117C">
      <w:pPr>
        <w:spacing w:after="120"/>
        <w:rPr>
          <w:rFonts w:ascii="Arial" w:hAnsi="Arial"/>
          <w:color w:val="000000"/>
        </w:rPr>
      </w:pPr>
    </w:p>
    <w:p w14:paraId="08AC5C04" w14:textId="77777777" w:rsidR="004A117C" w:rsidRPr="00895898" w:rsidRDefault="004A117C" w:rsidP="004A117C">
      <w:pPr>
        <w:spacing w:after="120"/>
        <w:rPr>
          <w:rFonts w:ascii="Arial" w:hAnsi="Arial"/>
          <w:b/>
          <w:color w:val="000000"/>
        </w:rPr>
      </w:pPr>
    </w:p>
    <w:p w14:paraId="5752C6CA" w14:textId="77777777" w:rsidR="004A117C" w:rsidRDefault="004A117C" w:rsidP="004A117C">
      <w:pPr>
        <w:rPr>
          <w:rFonts w:eastAsia="Calibri"/>
          <w:i/>
        </w:rPr>
      </w:pPr>
    </w:p>
    <w:p w14:paraId="1DA11C36" w14:textId="77777777" w:rsidR="004A117C" w:rsidRPr="00895898" w:rsidRDefault="004A117C" w:rsidP="004A117C">
      <w:pPr>
        <w:rPr>
          <w:rFonts w:eastAsia="Calibri"/>
          <w:i/>
        </w:rPr>
      </w:pPr>
    </w:p>
    <w:p w14:paraId="48C3FB83" w14:textId="77777777" w:rsidR="004A117C" w:rsidRPr="00895898" w:rsidRDefault="004A117C" w:rsidP="004A117C">
      <w:pPr>
        <w:spacing w:after="120"/>
        <w:rPr>
          <w:rFonts w:eastAsia="Calibri"/>
        </w:rPr>
      </w:pPr>
      <w:r w:rsidRPr="00895898">
        <w:rPr>
          <w:rFonts w:ascii="Arial" w:hAnsi="Arial"/>
          <w:noProof/>
          <w:color w:val="000000"/>
          <w:sz w:val="19"/>
          <w:szCs w:val="48"/>
          <w:lang w:eastAsia="sk-SK"/>
        </w:rPr>
        <mc:AlternateContent>
          <mc:Choice Requires="wpg">
            <w:drawing>
              <wp:anchor distT="0" distB="0" distL="114300" distR="114300" simplePos="0" relativeHeight="251661312" behindDoc="0" locked="0" layoutInCell="1" allowOverlap="1" wp14:anchorId="0AC07C9A" wp14:editId="1578C7CF">
                <wp:simplePos x="0" y="0"/>
                <wp:positionH relativeFrom="column">
                  <wp:posOffset>-4445</wp:posOffset>
                </wp:positionH>
                <wp:positionV relativeFrom="paragraph">
                  <wp:posOffset>238125</wp:posOffset>
                </wp:positionV>
                <wp:extent cx="4529455" cy="445770"/>
                <wp:effectExtent l="0" t="0" r="0" b="0"/>
                <wp:wrapNone/>
                <wp:docPr id="225" name="Skupin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9455" cy="445770"/>
                          <a:chOff x="0" y="0"/>
                          <a:chExt cx="3971925" cy="445770"/>
                        </a:xfrm>
                      </wpg:grpSpPr>
                      <wps:wsp>
                        <wps:cNvPr id="226" name="Textové pole 226"/>
                        <wps:cNvSpPr txBox="1">
                          <a:spLocks noChangeArrowheads="1"/>
                        </wps:cNvSpPr>
                        <wps:spPr bwMode="auto">
                          <a:xfrm>
                            <a:off x="3105150" y="0"/>
                            <a:ext cx="866775" cy="445770"/>
                          </a:xfrm>
                          <a:prstGeom prst="rect">
                            <a:avLst/>
                          </a:prstGeom>
                          <a:solidFill>
                            <a:srgbClr val="92D050"/>
                          </a:solidFill>
                          <a:ln w="9525">
                            <a:noFill/>
                            <a:miter lim="800000"/>
                            <a:headEnd/>
                            <a:tailEnd/>
                          </a:ln>
                        </wps:spPr>
                        <wps:txbx>
                          <w:txbxContent>
                            <w:p w14:paraId="7DC08CAC" w14:textId="77777777" w:rsidR="004A117C" w:rsidRPr="00895898" w:rsidRDefault="004A117C" w:rsidP="004A117C">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wps:txbx>
                        <wps:bodyPr rot="0" vert="horz" wrap="square" lIns="91440" tIns="45720" rIns="91440" bIns="45720" anchor="ctr" anchorCtr="0">
                          <a:noAutofit/>
                        </wps:bodyPr>
                      </wps:wsp>
                      <wpg:grpSp>
                        <wpg:cNvPr id="227" name="Skupina 227"/>
                        <wpg:cNvGrpSpPr/>
                        <wpg:grpSpPr>
                          <a:xfrm>
                            <a:off x="0" y="0"/>
                            <a:ext cx="2874010" cy="445770"/>
                            <a:chOff x="0" y="0"/>
                            <a:chExt cx="2874010" cy="445770"/>
                          </a:xfrm>
                        </wpg:grpSpPr>
                        <wps:wsp>
                          <wps:cNvPr id="228" name="Textové pole 2"/>
                          <wps:cNvSpPr txBox="1">
                            <a:spLocks noChangeArrowheads="1"/>
                          </wps:cNvSpPr>
                          <wps:spPr bwMode="auto">
                            <a:xfrm>
                              <a:off x="790575" y="95250"/>
                              <a:ext cx="100965" cy="304800"/>
                            </a:xfrm>
                            <a:prstGeom prst="rect">
                              <a:avLst/>
                            </a:prstGeom>
                            <a:noFill/>
                            <a:ln w="9525">
                              <a:noFill/>
                              <a:miter lim="800000"/>
                              <a:headEnd/>
                              <a:tailEnd/>
                            </a:ln>
                          </wps:spPr>
                          <wps:txbx>
                            <w:txbxContent>
                              <w:p w14:paraId="128F7BA7" w14:textId="77777777" w:rsidR="004A117C" w:rsidRDefault="004A117C" w:rsidP="004A117C">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29" name="Textové pole 2"/>
                          <wps:cNvSpPr txBox="1">
                            <a:spLocks noChangeArrowheads="1"/>
                          </wps:cNvSpPr>
                          <wps:spPr bwMode="auto">
                            <a:xfrm>
                              <a:off x="1828800" y="85725"/>
                              <a:ext cx="85090" cy="342900"/>
                            </a:xfrm>
                            <a:prstGeom prst="rect">
                              <a:avLst/>
                            </a:prstGeom>
                            <a:noFill/>
                            <a:ln w="9525">
                              <a:noFill/>
                              <a:miter lim="800000"/>
                              <a:headEnd/>
                              <a:tailEnd/>
                            </a:ln>
                          </wps:spPr>
                          <wps:txbx>
                            <w:txbxContent>
                              <w:p w14:paraId="55FC2C12" w14:textId="77777777" w:rsidR="004A117C" w:rsidRDefault="004A117C" w:rsidP="004A117C">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30" name="Textové pole 2"/>
                          <wps:cNvSpPr txBox="1">
                            <a:spLocks noChangeArrowheads="1"/>
                          </wps:cNvSpPr>
                          <wps:spPr bwMode="auto">
                            <a:xfrm>
                              <a:off x="2828925" y="95250"/>
                              <a:ext cx="45085" cy="257175"/>
                            </a:xfrm>
                            <a:prstGeom prst="rect">
                              <a:avLst/>
                            </a:prstGeom>
                            <a:noFill/>
                            <a:ln w="9525">
                              <a:noFill/>
                              <a:miter lim="800000"/>
                              <a:headEnd/>
                              <a:tailEnd/>
                            </a:ln>
                          </wps:spPr>
                          <wps:txbx>
                            <w:txbxContent>
                              <w:p w14:paraId="438211B6" w14:textId="77777777" w:rsidR="004A117C" w:rsidRDefault="004A117C" w:rsidP="004A117C">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31"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22535877" w14:textId="77777777" w:rsidR="004A117C" w:rsidRPr="00895898" w:rsidRDefault="004A117C" w:rsidP="004A117C">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wps:txbx>
                          <wps:bodyPr rot="0" vert="horz" wrap="square" lIns="91440" tIns="45720" rIns="91440" bIns="45720" anchor="ctr" anchorCtr="0">
                            <a:noAutofit/>
                          </wps:bodyPr>
                        </wps:wsp>
                        <wps:wsp>
                          <wps:cNvPr id="232" name="Textové pole 2"/>
                          <wps:cNvSpPr txBox="1">
                            <a:spLocks noChangeArrowheads="1"/>
                          </wps:cNvSpPr>
                          <wps:spPr bwMode="auto">
                            <a:xfrm>
                              <a:off x="1047750" y="0"/>
                              <a:ext cx="733425" cy="445770"/>
                            </a:xfrm>
                            <a:prstGeom prst="rect">
                              <a:avLst/>
                            </a:prstGeom>
                            <a:solidFill>
                              <a:srgbClr val="92D050"/>
                            </a:solidFill>
                            <a:ln w="9525">
                              <a:noFill/>
                              <a:miter lim="800000"/>
                              <a:headEnd/>
                              <a:tailEnd/>
                            </a:ln>
                          </wps:spPr>
                          <wps:txbx>
                            <w:txbxContent>
                              <w:p w14:paraId="234A153C" w14:textId="77777777" w:rsidR="004A117C" w:rsidRPr="00895898" w:rsidRDefault="004A117C" w:rsidP="004A117C">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 xml:space="preserve">Tarifa </w:t>
                                </w:r>
                              </w:p>
                            </w:txbxContent>
                          </wps:txbx>
                          <wps:bodyPr rot="0" vert="horz" wrap="square" lIns="91440" tIns="45720" rIns="91440" bIns="45720" anchor="ctr" anchorCtr="0">
                            <a:noAutofit/>
                          </wps:bodyPr>
                        </wps:wsp>
                        <wps:wsp>
                          <wps:cNvPr id="233" name="Textové pole 2"/>
                          <wps:cNvSpPr txBox="1">
                            <a:spLocks noChangeArrowheads="1"/>
                          </wps:cNvSpPr>
                          <wps:spPr bwMode="auto">
                            <a:xfrm>
                              <a:off x="2066925" y="0"/>
                              <a:ext cx="733425" cy="445770"/>
                            </a:xfrm>
                            <a:prstGeom prst="rect">
                              <a:avLst/>
                            </a:prstGeom>
                            <a:solidFill>
                              <a:srgbClr val="92D050"/>
                            </a:solidFill>
                            <a:ln w="9525">
                              <a:noFill/>
                              <a:miter lim="800000"/>
                              <a:headEnd/>
                              <a:tailEnd/>
                            </a:ln>
                          </wps:spPr>
                          <wps:txbx>
                            <w:txbxContent>
                              <w:p w14:paraId="3F317357" w14:textId="77777777" w:rsidR="004A117C" w:rsidRPr="00895898" w:rsidRDefault="004A117C" w:rsidP="004A117C">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wps:txbx>
                          <wps:bodyPr rot="0" vert="horz" wrap="square" lIns="91440" tIns="45720" rIns="91440" bIns="45720" anchor="ctr" anchorCtr="0">
                            <a:noAutofit/>
                          </wps:bodyPr>
                        </wps:wsp>
                      </wpg:grpSp>
                    </wpg:wgp>
                  </a:graphicData>
                </a:graphic>
                <wp14:sizeRelH relativeFrom="margin">
                  <wp14:pctWidth>0</wp14:pctWidth>
                </wp14:sizeRelH>
                <wp14:sizeRelV relativeFrom="page">
                  <wp14:pctHeight>0</wp14:pctHeight>
                </wp14:sizeRelV>
              </wp:anchor>
            </w:drawing>
          </mc:Choice>
          <mc:Fallback>
            <w:pict>
              <v:group w14:anchorId="0AC07C9A" id="Skupina 119" o:spid="_x0000_s1047" style="position:absolute;margin-left:-.35pt;margin-top:18.75pt;width:356.65pt;height:35.1pt;z-index:251661312;mso-width-relative:margin" coordsize="39719,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">
                <v:shape id="Textové pole 226" o:spid="_x0000_s1048" type="#_x0000_t202" style="position:absolute;left:31051;width:8668;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FWv8QA&#10;AADcAAAADwAAAGRycy9kb3ducmV2LnhtbESP0WrCQBRE3wv+w3ILvohuGkE0dRUptNin0OgHXHZv&#10;k9js3ZBdk/j3XUHwcZiZM8x2P9pG9NT52rGCt0UCglg7U3Op4Hz6nK9B+IBssHFMCm7kYb+bvGwx&#10;M27gH+qLUIoIYZ+hgiqENpPS64os+oVriaP36zqLIcqulKbDIcJtI9MkWUmLNceFClv6qEj/FVer&#10;4Ftf8q8B82Zz6fOC0uVspm9Xpaav4+EdRKAxPMOP9tEoSNMV3M/EI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xVr/EAAAA3AAAAA8AAAAAAAAAAAAAAAAAmAIAAGRycy9k&#10;b3ducmV2LnhtbFBLBQYAAAAABAAEAPUAAACJAwAAAAA=&#10;" fillcolor="#92d050" stroked="f">
                  <v:textbox>
                    <w:txbxContent>
                      <w:p w14:paraId="7DC08CAC" w14:textId="77777777" w:rsidR="004A117C" w:rsidRPr="00895898" w:rsidRDefault="004A117C" w:rsidP="004A117C">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v:textbox>
                </v:shape>
                <v:group id="Skupina 227" o:spid="_x0000_s1049" style="position:absolute;width:28740;height:4457" coordsize="28740,4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Textové pole 2" o:spid="_x0000_s1050" type="#_x0000_t202" style="position:absolute;left:7905;top:952;width:101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u+sIA&#10;AADcAAAADwAAAGRycy9kb3ducmV2LnhtbERPW2vCMBR+H/gfwhH2tiaWbWg1imwIe9pYvYBvh+bY&#10;FpuT0ETb/fvlYbDHj+++2oy2E3fqQ+tYwyxTIIgrZ1quNRz2u6c5iBCRDXaOScMPBdisJw8rLIwb&#10;+JvuZaxFCuFQoIYmRl9IGaqGLIbMeeLEXVxvMSbY19L0OKRw28lcqVdpseXU0KCnt4aqa3mzGo6f&#10;l/PpWX3V7/bFD25Uku1Cav04HbdLEJHG+C/+c38YDXme1qY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i76wgAAANwAAAAPAAAAAAAAAAAAAAAAAJgCAABkcnMvZG93&#10;bnJldi54bWxQSwUGAAAAAAQABAD1AAAAhwMAAAAA&#10;" filled="f" stroked="f">
                    <v:textbox>
                      <w:txbxContent>
                        <w:p w14:paraId="128F7BA7" w14:textId="77777777" w:rsidR="004A117C" w:rsidRDefault="004A117C" w:rsidP="004A117C">
                          <w:pPr>
                            <w:pStyle w:val="Normlnywebov"/>
                            <w:spacing w:after="160" w:line="256" w:lineRule="auto"/>
                          </w:pPr>
                          <w:r>
                            <w:rPr>
                              <w:rFonts w:ascii="Calibri" w:eastAsia="Calibri" w:hAnsi="Calibri"/>
                              <w:sz w:val="22"/>
                              <w:szCs w:val="22"/>
                            </w:rPr>
                            <w:t>x</w:t>
                          </w:r>
                        </w:p>
                      </w:txbxContent>
                    </v:textbox>
                  </v:shape>
                  <v:shape id="Textové pole 2" o:spid="_x0000_s1051" type="#_x0000_t202" style="position:absolute;left:18288;top:857;width:85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LYcQA&#10;AADcAAAADwAAAGRycy9kb3ducmV2LnhtbESPT2vCQBTE7wW/w/KE3ppdQy0a3Yi0CJ4s1bbQ2yP7&#10;8gezb0N2NfHbdwsFj8PM/IZZb0bbiiv1vnGsYZYoEMSFMw1XGj5Pu6cFCB+QDbaOScONPGzyycMa&#10;M+MG/qDrMVQiQthnqKEOocuk9EVNFn3iOuLola63GKLsK2l6HCLctjJV6kVabDgu1NjRa03F+Xix&#10;Gr4O5c/3s3qv3uy8G9yoJNul1PpxOm5XIAKN4R7+b++NhjRd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6i2HEAAAA3AAAAA8AAAAAAAAAAAAAAAAAmAIAAGRycy9k&#10;b3ducmV2LnhtbFBLBQYAAAAABAAEAPUAAACJAwAAAAA=&#10;" filled="f" stroked="f">
                    <v:textbox>
                      <w:txbxContent>
                        <w:p w14:paraId="55FC2C12" w14:textId="77777777" w:rsidR="004A117C" w:rsidRDefault="004A117C" w:rsidP="004A117C">
                          <w:pPr>
                            <w:pStyle w:val="Normlnywebov"/>
                            <w:spacing w:after="160" w:line="256" w:lineRule="auto"/>
                          </w:pPr>
                          <w:r>
                            <w:rPr>
                              <w:rFonts w:ascii="Calibri" w:eastAsia="Calibri" w:hAnsi="Calibri"/>
                              <w:sz w:val="22"/>
                              <w:szCs w:val="22"/>
                            </w:rPr>
                            <w:t>x</w:t>
                          </w:r>
                        </w:p>
                      </w:txbxContent>
                    </v:textbox>
                  </v:shape>
                  <v:shape id="Textové pole 2" o:spid="_x0000_s1052" type="#_x0000_t202" style="position:absolute;left:28289;top:952;width:45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0IcAA&#10;AADcAAAADwAAAGRycy9kb3ducmV2LnhtbERPTYvCMBC9C/6HMIK3NVF3Za1GEUXwpOjuCt6GZmyL&#10;zaQ00Xb/vTkIHh/ve75sbSkeVPvCsYbhQIEgTp0pONPw+7P9+AbhA7LB0jFp+CcPy0W3M8fEuIaP&#10;9DiFTMQQ9glqyEOoEil9mpNFP3AVceSurrYYIqwzaWpsYrgt5UipibRYcGzIsaJ1TuntdLca/vbX&#10;y/lTHbKN/aoa1yrJdiq17vfa1QxEoDa8xS/3zmgYjeP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0IcAAAADcAAAADwAAAAAAAAAAAAAAAACYAgAAZHJzL2Rvd25y&#10;ZXYueG1sUEsFBgAAAAAEAAQA9QAAAIUDAAAAAA==&#10;" filled="f" stroked="f">
                    <v:textbox>
                      <w:txbxContent>
                        <w:p w14:paraId="438211B6" w14:textId="77777777" w:rsidR="004A117C" w:rsidRDefault="004A117C" w:rsidP="004A117C">
                          <w:pPr>
                            <w:pStyle w:val="Normlnywebov"/>
                            <w:spacing w:after="160" w:line="256" w:lineRule="auto"/>
                          </w:pPr>
                          <w:r>
                            <w:rPr>
                              <w:rFonts w:ascii="Calibri" w:eastAsia="Calibri" w:hAnsi="Calibri"/>
                              <w:sz w:val="22"/>
                              <w:szCs w:val="22"/>
                            </w:rPr>
                            <w:t>x</w:t>
                          </w:r>
                        </w:p>
                      </w:txbxContent>
                    </v:textbox>
                  </v:shape>
                  <v:shape id="Textové pole 2" o:spid="_x0000_s1053" type="#_x0000_t202" style="position:absolute;width:7334;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FYFsQA&#10;AADcAAAADwAAAGRycy9kb3ducmV2LnhtbESP0WrCQBRE34X+w3ILfZG6MYJo6ioiKO1TaPQDLru3&#10;SWz2bsiuSfz7riD0cZiZM8xmN9pG9NT52rGC+SwBQaydqblUcDkf31cgfEA22DgmBXfysNu+TDaY&#10;GTfwN/VFKEWEsM9QQRVCm0npdUUW/cy1xNH7cZ3FEGVXStPhEOG2kWmSLKXFmuNChS0dKtK/xc0q&#10;+NLX/DRg3qyvfV5QuphO9f2m1NvruP8AEWgM/+Fn+9MoSBdzeJyJR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BWBbEAAAA3AAAAA8AAAAAAAAAAAAAAAAAmAIAAGRycy9k&#10;b3ducmV2LnhtbFBLBQYAAAAABAAEAPUAAACJAwAAAAA=&#10;" fillcolor="#92d050" stroked="f">
                    <v:textbox>
                      <w:txbxContent>
                        <w:p w14:paraId="22535877" w14:textId="77777777" w:rsidR="004A117C" w:rsidRPr="00895898" w:rsidRDefault="004A117C" w:rsidP="004A117C">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v:textbox>
                  </v:shape>
                  <v:shape id="Textové pole 2" o:spid="_x0000_s1054" type="#_x0000_t202" style="position:absolute;left:10477;width:7334;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GYcQA&#10;AADcAAAADwAAAGRycy9kb3ducmV2LnhtbESP0WrCQBRE3wv+w3ILvohujFA0dRURWuxTMPoBl93b&#10;JDZ7N2TXJP59t1DwcZiZM8x2P9pG9NT52rGC5SIBQaydqblUcL18zNcgfEA22DgmBQ/ysN9NXraY&#10;GTfwmfoilCJC2GeooAqhzaT0uiKLfuFa4uh9u85iiLIrpelwiHDbyDRJ3qTFmuNChS0dK9I/xd0q&#10;+NK3/HPAvNnc+rygdDWb6cddqenreHgHEWgMz/B/+2QUpKsU/s7EI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TxmHEAAAA3AAAAA8AAAAAAAAAAAAAAAAAmAIAAGRycy9k&#10;b3ducmV2LnhtbFBLBQYAAAAABAAEAPUAAACJAwAAAAA=&#10;" fillcolor="#92d050" stroked="f">
                    <v:textbox>
                      <w:txbxContent>
                        <w:p w14:paraId="234A153C" w14:textId="77777777" w:rsidR="004A117C" w:rsidRPr="00895898" w:rsidRDefault="004A117C" w:rsidP="004A117C">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 xml:space="preserve">Tarifa </w:t>
                          </w:r>
                        </w:p>
                      </w:txbxContent>
                    </v:textbox>
                  </v:shape>
                  <v:shape id="Textové pole 2" o:spid="_x0000_s1055" type="#_x0000_t202" style="position:absolute;left:20669;width:7334;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9j+sQA&#10;AADcAAAADwAAAGRycy9kb3ducmV2LnhtbESP0WrCQBRE3wv9h+UKfRHdmECp0VWK0NI+BWM/4LJ7&#10;TaLZuyG7JvHvu4WCj8PMnGG2+8m2YqDeN44VrJYJCGLtTMOVgp/Tx+INhA/IBlvHpOBOHva756ct&#10;5saNfKShDJWIEPY5KqhD6HIpva7Jol+6jjh6Z9dbDFH2lTQ9jhFuW5kmyau02HBcqLGjQ036Wt6s&#10;gm99KT5HLNr1ZShKSrP5XN9vSr3MpvcNiEBTeIT/219GQZpl8HcmH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fY/rEAAAA3AAAAA8AAAAAAAAAAAAAAAAAmAIAAGRycy9k&#10;b3ducmV2LnhtbFBLBQYAAAAABAAEAPUAAACJAwAAAAA=&#10;" fillcolor="#92d050" stroked="f">
                    <v:textbox>
                      <w:txbxContent>
                        <w:p w14:paraId="3F317357" w14:textId="77777777" w:rsidR="004A117C" w:rsidRPr="00895898" w:rsidRDefault="004A117C" w:rsidP="004A117C">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v:textbox>
                  </v:shape>
                </v:group>
              </v:group>
            </w:pict>
          </mc:Fallback>
        </mc:AlternateContent>
      </w:r>
      <w:r w:rsidRPr="00895898">
        <w:rPr>
          <w:rFonts w:eastAsia="Calibri"/>
          <w:i/>
        </w:rPr>
        <w:t xml:space="preserve">Administratívne náklady na celé podnikateľské prostredie </w:t>
      </w:r>
      <w:r w:rsidRPr="00895898">
        <w:rPr>
          <w:rFonts w:eastAsia="Calibri"/>
        </w:rPr>
        <w:t>sú vyčíslené na základe vzorca:</w:t>
      </w:r>
    </w:p>
    <w:p w14:paraId="2194BDC3" w14:textId="77777777" w:rsidR="004A117C" w:rsidRPr="00895898" w:rsidRDefault="004A117C" w:rsidP="004A117C">
      <w:pPr>
        <w:spacing w:after="120"/>
        <w:rPr>
          <w:color w:val="000000"/>
        </w:rPr>
      </w:pPr>
    </w:p>
    <w:p w14:paraId="6240AE44" w14:textId="77777777" w:rsidR="004A117C" w:rsidRPr="00895898" w:rsidRDefault="004A117C" w:rsidP="004A117C">
      <w:pPr>
        <w:spacing w:after="120"/>
        <w:rPr>
          <w:i/>
          <w:color w:val="000000"/>
        </w:rPr>
      </w:pPr>
    </w:p>
    <w:p w14:paraId="666A4B08" w14:textId="77777777" w:rsidR="004A117C" w:rsidRPr="00895898" w:rsidRDefault="004A117C" w:rsidP="004A117C">
      <w:pPr>
        <w:spacing w:after="120"/>
        <w:rPr>
          <w:rFonts w:eastAsia="Calibri"/>
          <w:i/>
        </w:rPr>
      </w:pPr>
    </w:p>
    <w:p w14:paraId="16CD5411" w14:textId="77777777" w:rsidR="004A117C" w:rsidRPr="00895898" w:rsidRDefault="004A117C" w:rsidP="004A117C">
      <w:pPr>
        <w:spacing w:after="120"/>
        <w:rPr>
          <w:rFonts w:eastAsia="Calibri"/>
          <w:i/>
        </w:rPr>
      </w:pPr>
      <w:r w:rsidRPr="00895898">
        <w:rPr>
          <w:rFonts w:ascii="Arial" w:hAnsi="Arial"/>
          <w:noProof/>
          <w:color w:val="000000"/>
          <w:sz w:val="19"/>
          <w:szCs w:val="48"/>
          <w:lang w:eastAsia="sk-SK"/>
        </w:rPr>
        <w:lastRenderedPageBreak/>
        <mc:AlternateContent>
          <mc:Choice Requires="wpg">
            <w:drawing>
              <wp:anchor distT="0" distB="0" distL="114300" distR="114300" simplePos="0" relativeHeight="251662336" behindDoc="0" locked="0" layoutInCell="1" allowOverlap="1" wp14:anchorId="55961BF3" wp14:editId="7ABB2B9D">
                <wp:simplePos x="0" y="0"/>
                <wp:positionH relativeFrom="column">
                  <wp:posOffset>957</wp:posOffset>
                </wp:positionH>
                <wp:positionV relativeFrom="paragraph">
                  <wp:posOffset>237651</wp:posOffset>
                </wp:positionV>
                <wp:extent cx="4428689" cy="486839"/>
                <wp:effectExtent l="0" t="0" r="0" b="8890"/>
                <wp:wrapNone/>
                <wp:docPr id="234" name="Skupina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8689" cy="486839"/>
                          <a:chOff x="0" y="2111"/>
                          <a:chExt cx="4428530" cy="486830"/>
                        </a:xfrm>
                      </wpg:grpSpPr>
                      <wps:wsp>
                        <wps:cNvPr id="235" name="Rectangle 3"/>
                        <wps:cNvSpPr>
                          <a:spLocks noChangeArrowheads="1"/>
                        </wps:cNvSpPr>
                        <wps:spPr bwMode="auto">
                          <a:xfrm>
                            <a:off x="3042113" y="13921"/>
                            <a:ext cx="1386417" cy="457325"/>
                          </a:xfrm>
                          <a:prstGeom prst="rect">
                            <a:avLst/>
                          </a:prstGeom>
                          <a:solidFill>
                            <a:srgbClr val="81BC00"/>
                          </a:solidFill>
                          <a:ln w="9525">
                            <a:noFill/>
                            <a:miter lim="800000"/>
                            <a:headEnd/>
                            <a:tailEnd/>
                          </a:ln>
                        </wps:spPr>
                        <wps:txbx>
                          <w:txbxContent>
                            <w:p w14:paraId="35C9C1EB" w14:textId="77777777" w:rsidR="004A117C" w:rsidRPr="00714F21" w:rsidRDefault="004A117C" w:rsidP="004A117C">
                              <w:pPr>
                                <w:pStyle w:val="Normlnywebov"/>
                                <w:jc w:val="center"/>
                                <w:textAlignment w:val="baseline"/>
                              </w:pPr>
                              <w:r w:rsidRPr="00895898">
                                <w:rPr>
                                  <w:rFonts w:ascii="Arial" w:hAnsi="Arial"/>
                                  <w:color w:val="FFFFFF"/>
                                  <w:kern w:val="24"/>
                                  <w:sz w:val="16"/>
                                  <w:szCs w:val="16"/>
                                </w:rPr>
                                <w:t>Administratívne náklady na celé podnikateľské prostredie</w:t>
                              </w:r>
                            </w:p>
                          </w:txbxContent>
                        </wps:txbx>
                        <wps:bodyPr wrap="square" lIns="36000" tIns="36000" rIns="36000" bIns="36000" anchor="ctr"/>
                      </wps:wsp>
                      <wps:wsp>
                        <wps:cNvPr id="236" name="Rectangle 3"/>
                        <wps:cNvSpPr>
                          <a:spLocks noChangeArrowheads="1"/>
                        </wps:cNvSpPr>
                        <wps:spPr bwMode="auto">
                          <a:xfrm>
                            <a:off x="0" y="2111"/>
                            <a:ext cx="1428750" cy="486830"/>
                          </a:xfrm>
                          <a:prstGeom prst="rect">
                            <a:avLst/>
                          </a:prstGeom>
                          <a:solidFill>
                            <a:srgbClr val="0070C0"/>
                          </a:solidFill>
                          <a:ln w="9525">
                            <a:noFill/>
                            <a:miter lim="800000"/>
                            <a:headEnd/>
                            <a:tailEnd/>
                          </a:ln>
                        </wps:spPr>
                        <wps:txbx>
                          <w:txbxContent>
                            <w:p w14:paraId="49BD78E5" w14:textId="77777777" w:rsidR="004A117C" w:rsidRPr="00714F21" w:rsidRDefault="004A117C" w:rsidP="004A117C">
                              <w:pPr>
                                <w:pStyle w:val="Normlnywebov"/>
                                <w:jc w:val="center"/>
                                <w:textAlignment w:val="baseline"/>
                              </w:pPr>
                              <w:r w:rsidRPr="00895898">
                                <w:rPr>
                                  <w:rFonts w:ascii="Arial" w:hAnsi="Arial"/>
                                  <w:color w:val="FFFFFF"/>
                                  <w:kern w:val="24"/>
                                  <w:sz w:val="16"/>
                                  <w:szCs w:val="16"/>
                                </w:rPr>
                                <w:t>Priame finančné náklady (dane, odvody, clá</w:t>
                              </w:r>
                              <w:r>
                                <w:rPr>
                                  <w:rFonts w:ascii="Arial" w:hAnsi="Arial"/>
                                  <w:color w:val="FFFFFF"/>
                                  <w:kern w:val="24"/>
                                  <w:sz w:val="16"/>
                                  <w:szCs w:val="16"/>
                                </w:rPr>
                                <w:t>, poplatky</w:t>
                              </w:r>
                              <w:r w:rsidRPr="00895898">
                                <w:rPr>
                                  <w:rFonts w:ascii="Arial" w:hAnsi="Arial"/>
                                  <w:color w:val="FFFFFF"/>
                                  <w:kern w:val="24"/>
                                  <w:sz w:val="16"/>
                                  <w:szCs w:val="16"/>
                                </w:rPr>
                                <w:t xml:space="preserve">) – ročný vplyv </w:t>
                              </w:r>
                            </w:p>
                          </w:txbxContent>
                        </wps:txbx>
                        <wps:bodyPr wrap="square" lIns="36000" tIns="36000" rIns="36000" bIns="36000" anchor="ctr"/>
                      </wps:wsp>
                      <wps:wsp>
                        <wps:cNvPr id="238" name="Rectangle 3"/>
                        <wps:cNvSpPr>
                          <a:spLocks noChangeArrowheads="1"/>
                        </wps:cNvSpPr>
                        <wps:spPr bwMode="auto">
                          <a:xfrm>
                            <a:off x="1620193" y="13922"/>
                            <a:ext cx="1261539" cy="475019"/>
                          </a:xfrm>
                          <a:prstGeom prst="rect">
                            <a:avLst/>
                          </a:prstGeom>
                          <a:solidFill>
                            <a:srgbClr val="00A1DE"/>
                          </a:solidFill>
                          <a:ln w="9525">
                            <a:noFill/>
                            <a:miter lim="800000"/>
                            <a:headEnd/>
                            <a:tailEnd/>
                          </a:ln>
                        </wps:spPr>
                        <wps:txbx>
                          <w:txbxContent>
                            <w:p w14:paraId="4C694A82" w14:textId="77777777" w:rsidR="004A117C" w:rsidRPr="00714F21" w:rsidRDefault="004A117C" w:rsidP="004A117C">
                              <w:pPr>
                                <w:pStyle w:val="Normlnywebov"/>
                                <w:jc w:val="center"/>
                                <w:textAlignment w:val="baseline"/>
                              </w:pPr>
                              <w:r w:rsidRPr="00895898">
                                <w:rPr>
                                  <w:rFonts w:ascii="Arial" w:hAnsi="Arial"/>
                                  <w:color w:val="FFFFFF"/>
                                  <w:kern w:val="24"/>
                                  <w:sz w:val="16"/>
                                  <w:szCs w:val="16"/>
                                </w:rPr>
                                <w:t>Nepriame finančné náklady na celé podnikateľské prostredie</w:t>
                              </w:r>
                            </w:p>
                          </w:txbxContent>
                        </wps:txbx>
                        <wps:bodyPr wrap="square" lIns="36000" tIns="36000" rIns="36000" bIns="36000" anchor="ctr"/>
                      </wps:wsp>
                      <wps:wsp>
                        <wps:cNvPr id="239" name="BlokTextu 62"/>
                        <wps:cNvSpPr txBox="1"/>
                        <wps:spPr>
                          <a:xfrm>
                            <a:off x="1365251" y="76198"/>
                            <a:ext cx="254942" cy="264560"/>
                          </a:xfrm>
                          <a:prstGeom prst="rect">
                            <a:avLst/>
                          </a:prstGeom>
                          <a:noFill/>
                          <a:ln>
                            <a:noFill/>
                          </a:ln>
                          <a:effectLst/>
                        </wps:spPr>
                        <wps:txbx>
                          <w:txbxContent>
                            <w:p w14:paraId="319FA586" w14:textId="77777777" w:rsidR="004A117C" w:rsidRDefault="004A117C" w:rsidP="004A117C">
                              <w:pPr>
                                <w:pStyle w:val="Normlnywebov"/>
                              </w:pPr>
                              <w:r w:rsidRPr="00895898">
                                <w:rPr>
                                  <w:rFonts w:ascii="Calibri" w:hAnsi="Calibri"/>
                                  <w:color w:val="000000"/>
                                  <w:sz w:val="22"/>
                                  <w:szCs w:val="22"/>
                                </w:rPr>
                                <w:t>+</w:t>
                              </w:r>
                            </w:p>
                          </w:txbxContent>
                        </wps:txbx>
                        <wps:bodyPr wrap="none" rtlCol="0" anchor="t">
                          <a:spAutoFit/>
                        </wps:bodyPr>
                      </wps:wsp>
                      <wps:wsp>
                        <wps:cNvPr id="241" name="BlokTextu 64"/>
                        <wps:cNvSpPr txBox="1"/>
                        <wps:spPr>
                          <a:xfrm>
                            <a:off x="2844806" y="111481"/>
                            <a:ext cx="254000" cy="264560"/>
                          </a:xfrm>
                          <a:prstGeom prst="rect">
                            <a:avLst/>
                          </a:prstGeom>
                          <a:noFill/>
                          <a:ln>
                            <a:noFill/>
                          </a:ln>
                          <a:effectLst/>
                        </wps:spPr>
                        <wps:txbx>
                          <w:txbxContent>
                            <w:p w14:paraId="44CBE310" w14:textId="77777777" w:rsidR="004A117C" w:rsidRDefault="004A117C" w:rsidP="004A117C">
                              <w:pPr>
                                <w:pStyle w:val="Normlnywebov"/>
                              </w:pPr>
                              <w:r w:rsidRPr="00895898">
                                <w:rPr>
                                  <w:rFonts w:ascii="Calibri" w:hAnsi="Calibri"/>
                                  <w:color w:val="000000"/>
                                  <w:sz w:val="22"/>
                                  <w:szCs w:val="22"/>
                                </w:rPr>
                                <w:t>+</w:t>
                              </w:r>
                            </w:p>
                          </w:txbxContent>
                        </wps:txbx>
                        <wps:bodyPr wrap="square" rtlCol="0" anchor="t">
                          <a:spAutoFit/>
                        </wps:bodyPr>
                      </wps:wsp>
                    </wpg:wgp>
                  </a:graphicData>
                </a:graphic>
                <wp14:sizeRelH relativeFrom="page">
                  <wp14:pctWidth>0</wp14:pctWidth>
                </wp14:sizeRelH>
                <wp14:sizeRelV relativeFrom="page">
                  <wp14:pctHeight>0</wp14:pctHeight>
                </wp14:sizeRelV>
              </wp:anchor>
            </w:drawing>
          </mc:Choice>
          <mc:Fallback>
            <w:pict>
              <v:group w14:anchorId="55961BF3" id="Skupina 22" o:spid="_x0000_s1056" style="position:absolute;margin-left:.1pt;margin-top:18.7pt;width:348.7pt;height:38.35pt;z-index:251662336" coordorigin=",21" coordsize="44285,4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">
                <v:rect id="Rectangle 3" o:spid="_x0000_s1057" style="position:absolute;left:30421;top:139;width:13864;height: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m7cUA&#10;AADcAAAADwAAAGRycy9kb3ducmV2LnhtbESPQWvCQBSE7wX/w/KEXkrdNKKV6CpFEQVBaFro9ZF9&#10;JsHs25jdJvHfu4LgcZiZb5jFqjeVaKlxpWUFH6MIBHFmdcm5gt+f7fsMhPPIGivLpOBKDlbLwcsC&#10;E207/qY29bkIEHYJKii8rxMpXVaQQTeyNXHwTrYx6INscqkb7ALcVDKOoqk0WHJYKLCmdUHZOf03&#10;Co6pn75t4uPn+HLpDq2h3Z+dsFKvw/5rDsJT75/hR3uvFcTjCdzPh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btxQAAANwAAAAPAAAAAAAAAAAAAAAAAJgCAABkcnMv&#10;ZG93bnJldi54bWxQSwUGAAAAAAQABAD1AAAAigMAAAAA&#10;" fillcolor="#81bc00" stroked="f">
                  <v:textbox inset="1mm,1mm,1mm,1mm">
                    <w:txbxContent>
                      <w:p w14:paraId="35C9C1EB" w14:textId="77777777" w:rsidR="004A117C" w:rsidRPr="00714F21" w:rsidRDefault="004A117C" w:rsidP="004A117C">
                        <w:pPr>
                          <w:pStyle w:val="Normlnywebov"/>
                          <w:jc w:val="center"/>
                          <w:textAlignment w:val="baseline"/>
                        </w:pPr>
                        <w:r w:rsidRPr="00895898">
                          <w:rPr>
                            <w:rFonts w:ascii="Arial" w:hAnsi="Arial"/>
                            <w:color w:val="FFFFFF"/>
                            <w:kern w:val="24"/>
                            <w:sz w:val="16"/>
                            <w:szCs w:val="16"/>
                          </w:rPr>
                          <w:t>Administratívne náklady na celé podnikateľské prostredie</w:t>
                        </w:r>
                      </w:p>
                    </w:txbxContent>
                  </v:textbox>
                </v:rect>
                <v:rect id="Rectangle 3" o:spid="_x0000_s1058" style="position:absolute;top:21;width:14287;height:4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5h8ccA&#10;AADcAAAADwAAAGRycy9kb3ducmV2LnhtbESPT2vCQBTE7wW/w/KE3uqmaf3T1FVqwSL1ZBTs8ZF9&#10;Jkuzb2N2q6mf3i0UPA4z8xtmOu9sLU7UeuNYweMgAUFcOG24VLDbLh8mIHxA1lg7JgW/5GE+691N&#10;MdPuzBs65aEUEcI+QwVVCE0mpS8qsugHriGO3sG1FkOUbSl1i+cIt7VMk2QkLRqOCxU29F5R8Z3/&#10;WAXj49dlst4sPofpS/lxeTbG7A+5Uvf97u0VRKAu3ML/7ZVWkD6N4O9MP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eYfHHAAAA3AAAAA8AAAAAAAAAAAAAAAAAmAIAAGRy&#10;cy9kb3ducmV2LnhtbFBLBQYAAAAABAAEAPUAAACMAwAAAAA=&#10;" fillcolor="#0070c0" stroked="f">
                  <v:textbox inset="1mm,1mm,1mm,1mm">
                    <w:txbxContent>
                      <w:p w14:paraId="49BD78E5" w14:textId="77777777" w:rsidR="004A117C" w:rsidRPr="00714F21" w:rsidRDefault="004A117C" w:rsidP="004A117C">
                        <w:pPr>
                          <w:pStyle w:val="Normlnywebov"/>
                          <w:jc w:val="center"/>
                          <w:textAlignment w:val="baseline"/>
                        </w:pPr>
                        <w:r w:rsidRPr="00895898">
                          <w:rPr>
                            <w:rFonts w:ascii="Arial" w:hAnsi="Arial"/>
                            <w:color w:val="FFFFFF"/>
                            <w:kern w:val="24"/>
                            <w:sz w:val="16"/>
                            <w:szCs w:val="16"/>
                          </w:rPr>
                          <w:t>Priame finančné náklady (dane, odvody, clá</w:t>
                        </w:r>
                        <w:r>
                          <w:rPr>
                            <w:rFonts w:ascii="Arial" w:hAnsi="Arial"/>
                            <w:color w:val="FFFFFF"/>
                            <w:kern w:val="24"/>
                            <w:sz w:val="16"/>
                            <w:szCs w:val="16"/>
                          </w:rPr>
                          <w:t>, poplatky</w:t>
                        </w:r>
                        <w:r w:rsidRPr="00895898">
                          <w:rPr>
                            <w:rFonts w:ascii="Arial" w:hAnsi="Arial"/>
                            <w:color w:val="FFFFFF"/>
                            <w:kern w:val="24"/>
                            <w:sz w:val="16"/>
                            <w:szCs w:val="16"/>
                          </w:rPr>
                          <w:t xml:space="preserve">) – ročný vplyv </w:t>
                        </w:r>
                      </w:p>
                    </w:txbxContent>
                  </v:textbox>
                </v:rect>
                <v:rect id="Rectangle 3" o:spid="_x0000_s1059" style="position:absolute;left:16201;top:139;width:12616;height:4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4jIb0A&#10;AADcAAAADwAAAGRycy9kb3ducmV2LnhtbERPSwrCMBDdC94hjOBOUxX8VKOIIlR3fg4wNGNbbSal&#10;ibbe3iwEl4/3X21aU4o31a6wrGA0jEAQp1YXnCm4XQ+DOQjnkTWWlknBhxxs1t3OCmNtGz7T++Iz&#10;EULYxagg976KpXRpTgbd0FbEgbvb2qAPsM6krrEJ4aaU4yiaSoMFh4YcK9rllD4vL6Pg8Mj2j7Lh&#10;RZscZ8nJLJKRLaxS/V67XYLw1Pq/+OdOtILxJKwN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X4jIb0AAADcAAAADwAAAAAAAAAAAAAAAACYAgAAZHJzL2Rvd25yZXYu&#10;eG1sUEsFBgAAAAAEAAQA9QAAAIIDAAAAAA==&#10;" fillcolor="#00a1de" stroked="f">
                  <v:textbox inset="1mm,1mm,1mm,1mm">
                    <w:txbxContent>
                      <w:p w14:paraId="4C694A82" w14:textId="77777777" w:rsidR="004A117C" w:rsidRPr="00714F21" w:rsidRDefault="004A117C" w:rsidP="004A117C">
                        <w:pPr>
                          <w:pStyle w:val="Normlnywebov"/>
                          <w:jc w:val="center"/>
                          <w:textAlignment w:val="baseline"/>
                        </w:pPr>
                        <w:r w:rsidRPr="00895898">
                          <w:rPr>
                            <w:rFonts w:ascii="Arial" w:hAnsi="Arial"/>
                            <w:color w:val="FFFFFF"/>
                            <w:kern w:val="24"/>
                            <w:sz w:val="16"/>
                            <w:szCs w:val="16"/>
                          </w:rPr>
                          <w:t>Nepriame finančné náklady na celé podnikateľské prostredie</w:t>
                        </w:r>
                      </w:p>
                    </w:txbxContent>
                  </v:textbox>
                </v:rect>
                <v:shape id="BlokTextu 62" o:spid="_x0000_s1060" type="#_x0000_t202" style="position:absolute;left:13652;top:761;width:2549;height:26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HlqcQA&#10;AADcAAAADwAAAGRycy9kb3ducmV2LnhtbESPwW7CMBBE75X4B2uRuBWHQBGkGIQoSNwKtB+wirdx&#10;SLyOYhcCX4+RKvU4mpk3msWqs7W4UOtLxwpGwwQEce50yYWC76/d6wyED8gaa8ek4EYeVsveywIz&#10;7a58pMspFCJC2GeowITQZFL63JBFP3QNcfR+XGsxRNkWUrd4jXBbyzRJptJiyXHBYEMbQ3l1+rUK&#10;Zon9rKp5evB2ch+9mc2H2zZnpQb9bv0OIlAX/sN/7b1WkI7n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h5anEAAAA3AAAAA8AAAAAAAAAAAAAAAAAmAIAAGRycy9k&#10;b3ducmV2LnhtbFBLBQYAAAAABAAEAPUAAACJAwAAAAA=&#10;" filled="f" stroked="f">
                  <v:textbox style="mso-fit-shape-to-text:t">
                    <w:txbxContent>
                      <w:p w14:paraId="319FA586" w14:textId="77777777" w:rsidR="004A117C" w:rsidRDefault="004A117C" w:rsidP="004A117C">
                        <w:pPr>
                          <w:pStyle w:val="Normlnywebov"/>
                        </w:pPr>
                        <w:r w:rsidRPr="00895898">
                          <w:rPr>
                            <w:rFonts w:ascii="Calibri" w:hAnsi="Calibri"/>
                            <w:color w:val="000000"/>
                            <w:sz w:val="22"/>
                            <w:szCs w:val="22"/>
                          </w:rPr>
                          <w:t>+</w:t>
                        </w:r>
                      </w:p>
                    </w:txbxContent>
                  </v:textbox>
                </v:shape>
                <v:shape id="BlokTextu 64" o:spid="_x0000_s1061" type="#_x0000_t202" style="position:absolute;left:28448;top:1114;width:2540;height:2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fP3sIA&#10;AADcAAAADwAAAGRycy9kb3ducmV2LnhtbESPQWvCQBSE74X+h+UJvdVNpC0luorUFjz0Uk3vj+wz&#10;G8y+Ddmnif/eFQSPw8x8wyxWo2/VmfrYBDaQTzNQxFWwDdcGyv3P6yeoKMgW28Bk4EIRVsvnpwUW&#10;Ngz8R+ed1CpBOBZowIl0hdaxcuQxTkNHnLxD6D1Kkn2tbY9DgvtWz7LsQ3tsOC047OjLUXXcnbwB&#10;EbvOL+W3j9v/8XczuKx6x9KYl8m4noMSGuURvre31sDsLYf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18/ewgAAANwAAAAPAAAAAAAAAAAAAAAAAJgCAABkcnMvZG93&#10;bnJldi54bWxQSwUGAAAAAAQABAD1AAAAhwMAAAAA&#10;" filled="f" stroked="f">
                  <v:textbox style="mso-fit-shape-to-text:t">
                    <w:txbxContent>
                      <w:p w14:paraId="44CBE310" w14:textId="77777777" w:rsidR="004A117C" w:rsidRDefault="004A117C" w:rsidP="004A117C">
                        <w:pPr>
                          <w:pStyle w:val="Normlnywebov"/>
                        </w:pPr>
                        <w:r w:rsidRPr="00895898">
                          <w:rPr>
                            <w:rFonts w:ascii="Calibri" w:hAnsi="Calibri"/>
                            <w:color w:val="000000"/>
                            <w:sz w:val="22"/>
                            <w:szCs w:val="22"/>
                          </w:rPr>
                          <w:t>+</w:t>
                        </w:r>
                      </w:p>
                    </w:txbxContent>
                  </v:textbox>
                </v:shape>
              </v:group>
            </w:pict>
          </mc:Fallback>
        </mc:AlternateContent>
      </w:r>
      <w:r w:rsidRPr="00895898">
        <w:rPr>
          <w:rFonts w:eastAsia="Calibri"/>
          <w:i/>
        </w:rPr>
        <w:t xml:space="preserve">Celkové náklady na celé podnikateľské prostredie </w:t>
      </w:r>
      <w:r w:rsidRPr="00895898">
        <w:rPr>
          <w:rFonts w:eastAsia="Calibri"/>
        </w:rPr>
        <w:t>sú vyčíslené na základe vzorca:</w:t>
      </w:r>
    </w:p>
    <w:p w14:paraId="5E1EC1B4" w14:textId="77777777" w:rsidR="004A117C" w:rsidRPr="00895898" w:rsidRDefault="004A117C" w:rsidP="004A117C">
      <w:pPr>
        <w:spacing w:after="120"/>
        <w:rPr>
          <w:rFonts w:ascii="Arial" w:hAnsi="Arial"/>
          <w:color w:val="000000"/>
        </w:rPr>
      </w:pPr>
    </w:p>
    <w:p w14:paraId="5CF9F2B3" w14:textId="77777777" w:rsidR="004A117C" w:rsidRPr="00895898" w:rsidRDefault="004A117C" w:rsidP="004A117C">
      <w:pPr>
        <w:spacing w:after="120"/>
        <w:jc w:val="both"/>
        <w:rPr>
          <w:rFonts w:eastAsia="Calibri"/>
        </w:rPr>
      </w:pPr>
    </w:p>
    <w:p w14:paraId="7BE0B4D6" w14:textId="77777777" w:rsidR="004A117C" w:rsidRPr="00895898" w:rsidRDefault="004A117C" w:rsidP="004A117C">
      <w:pPr>
        <w:spacing w:after="120" w:line="276" w:lineRule="auto"/>
        <w:jc w:val="both"/>
        <w:rPr>
          <w:rFonts w:eastAsia="Calibri"/>
          <w:b/>
        </w:rPr>
      </w:pPr>
    </w:p>
    <w:p w14:paraId="76866096" w14:textId="77777777" w:rsidR="004A117C" w:rsidRPr="00895898" w:rsidRDefault="004A117C" w:rsidP="004A117C">
      <w:pPr>
        <w:spacing w:after="120" w:line="276" w:lineRule="auto"/>
        <w:jc w:val="both"/>
        <w:rPr>
          <w:rFonts w:eastAsia="Calibri"/>
          <w:b/>
        </w:rPr>
      </w:pPr>
    </w:p>
    <w:p w14:paraId="1C345B99" w14:textId="77777777" w:rsidR="004A117C" w:rsidRPr="001F1B43" w:rsidRDefault="004A117C" w:rsidP="004A117C">
      <w:pPr>
        <w:rPr>
          <w:rFonts w:eastAsia="Calibri"/>
          <w:b/>
        </w:rPr>
      </w:pPr>
      <w:r w:rsidRPr="001F1B43">
        <w:rPr>
          <w:rFonts w:eastAsia="Calibri"/>
          <w:b/>
        </w:rPr>
        <w:t>Stanovenie frekvencie plnenia povinnosti sa určí pomocou nasledovných koeficientov:</w:t>
      </w:r>
    </w:p>
    <w:p w14:paraId="1FAAAEDC" w14:textId="77777777" w:rsidR="004A117C" w:rsidRPr="004D20CB" w:rsidRDefault="004A117C" w:rsidP="004A117C">
      <w:pPr>
        <w:spacing w:after="240" w:line="276" w:lineRule="auto"/>
        <w:jc w:val="both"/>
        <w:rPr>
          <w:rFonts w:eastAsia="Calibri"/>
        </w:rPr>
      </w:pPr>
      <w:r w:rsidRPr="001F1B43">
        <w:rPr>
          <w:rFonts w:eastAsia="Calibri"/>
        </w:rPr>
        <w:t xml:space="preserve">Východiskom, ktorým je stanovovaná frekvencia plnenia povinnosti, je obdobie 1 roka. Povinnosti môžu byť plnené pravidelne na ročnej báze, polročne, kvartálne, raz za niekoľko rokov, prípadne jednorazovo (napr. povinnosti v súvislosti so vznikom a ukončením podnikania) alebo nepravidelne (v prípade zriedkavého výskytu určitej udalosti, napr. vznik priemyselnej havárie). Koeficienty pre výpočet nákladov regulácie zodpovedajúce frekvencii plnenia sú uvedené v tabuľke. Koeficient „jednorazovo“ vychádza z dĺžky volebného obdobia (4 roky), v rámci ktorého je ambícia, aby vláda stihla odstrániť jednorazovú záťaž, ktorú vytvorí. </w:t>
      </w:r>
    </w:p>
    <w:p w14:paraId="72030330" w14:textId="77777777" w:rsidR="004A117C" w:rsidRPr="00895898" w:rsidRDefault="004A117C" w:rsidP="004A117C">
      <w:pPr>
        <w:spacing w:line="276" w:lineRule="auto"/>
        <w:ind w:left="1134"/>
        <w:rPr>
          <w:i/>
          <w:color w:val="000000"/>
        </w:rPr>
      </w:pPr>
      <w:r w:rsidRPr="00895898">
        <w:rPr>
          <w:i/>
          <w:color w:val="000000"/>
        </w:rPr>
        <w:t>Tabuľka koeficientov frekvencie</w:t>
      </w:r>
    </w:p>
    <w:tbl>
      <w:tblPr>
        <w:tblW w:w="6920" w:type="dxa"/>
        <w:jc w:val="center"/>
        <w:tblCellMar>
          <w:left w:w="0" w:type="dxa"/>
          <w:right w:w="0" w:type="dxa"/>
        </w:tblCellMar>
        <w:tblLook w:val="04A0" w:firstRow="1" w:lastRow="0" w:firstColumn="1" w:lastColumn="0" w:noHBand="0" w:noVBand="1"/>
      </w:tblPr>
      <w:tblGrid>
        <w:gridCol w:w="2292"/>
        <w:gridCol w:w="1138"/>
        <w:gridCol w:w="2411"/>
        <w:gridCol w:w="1079"/>
      </w:tblGrid>
      <w:tr w:rsidR="004A117C" w:rsidRPr="00895898" w14:paraId="1E9C2156" w14:textId="77777777" w:rsidTr="00470E9B">
        <w:trPr>
          <w:trHeight w:val="459"/>
          <w:jc w:val="center"/>
        </w:trPr>
        <w:tc>
          <w:tcPr>
            <w:tcW w:w="2292" w:type="dxa"/>
            <w:tcBorders>
              <w:top w:val="single" w:sz="2" w:space="0" w:color="81BC00"/>
              <w:left w:val="single" w:sz="2" w:space="0" w:color="81BC00"/>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789E3D66" w14:textId="77777777" w:rsidR="004A117C" w:rsidRPr="00895898" w:rsidRDefault="004A117C" w:rsidP="00470E9B">
            <w:pPr>
              <w:jc w:val="center"/>
              <w:rPr>
                <w:color w:val="FFFFFF"/>
                <w:lang w:val="en-US"/>
              </w:rPr>
            </w:pPr>
            <w:r w:rsidRPr="00895898">
              <w:rPr>
                <w:bCs/>
                <w:color w:val="FFFFFF"/>
              </w:rPr>
              <w:t>Frekvencia plnenia povinnosti</w:t>
            </w:r>
          </w:p>
        </w:tc>
        <w:tc>
          <w:tcPr>
            <w:tcW w:w="1138"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69A660B9" w14:textId="77777777" w:rsidR="004A117C" w:rsidRPr="00895898" w:rsidRDefault="004A117C" w:rsidP="00470E9B">
            <w:pPr>
              <w:jc w:val="center"/>
              <w:rPr>
                <w:color w:val="FFFFFF"/>
                <w:lang w:val="en-US"/>
              </w:rPr>
            </w:pPr>
            <w:r w:rsidRPr="00895898">
              <w:rPr>
                <w:bCs/>
                <w:color w:val="FFFFFF"/>
              </w:rPr>
              <w:t>Koeficient frekvencie</w:t>
            </w:r>
          </w:p>
        </w:tc>
        <w:tc>
          <w:tcPr>
            <w:tcW w:w="2411"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2ED97DFD" w14:textId="77777777" w:rsidR="004A117C" w:rsidRPr="00895898" w:rsidRDefault="004A117C" w:rsidP="00470E9B">
            <w:pPr>
              <w:jc w:val="center"/>
              <w:rPr>
                <w:color w:val="FFFFFF"/>
                <w:lang w:val="en-US"/>
              </w:rPr>
            </w:pPr>
            <w:r w:rsidRPr="00895898">
              <w:rPr>
                <w:bCs/>
                <w:color w:val="FFFFFF"/>
              </w:rPr>
              <w:t>Frekvencia plnenia povinnosti</w:t>
            </w:r>
          </w:p>
        </w:tc>
        <w:tc>
          <w:tcPr>
            <w:tcW w:w="1079" w:type="dxa"/>
            <w:tcBorders>
              <w:top w:val="single" w:sz="2" w:space="0" w:color="81BC00"/>
              <w:left w:val="single" w:sz="4" w:space="0" w:color="FFFFFF"/>
              <w:bottom w:val="single" w:sz="2" w:space="0" w:color="81BC00"/>
              <w:right w:val="single" w:sz="2" w:space="0" w:color="81BC00"/>
            </w:tcBorders>
            <w:shd w:val="clear" w:color="auto" w:fill="81BC00"/>
            <w:tcMar>
              <w:top w:w="28" w:type="dxa"/>
              <w:left w:w="28" w:type="dxa"/>
              <w:bottom w:w="28" w:type="dxa"/>
              <w:right w:w="28" w:type="dxa"/>
            </w:tcMar>
            <w:vAlign w:val="center"/>
            <w:hideMark/>
          </w:tcPr>
          <w:p w14:paraId="68C31226" w14:textId="77777777" w:rsidR="004A117C" w:rsidRPr="00895898" w:rsidRDefault="004A117C" w:rsidP="00470E9B">
            <w:pPr>
              <w:jc w:val="center"/>
              <w:rPr>
                <w:color w:val="FFFFFF"/>
                <w:lang w:val="en-US"/>
              </w:rPr>
            </w:pPr>
            <w:r w:rsidRPr="00895898">
              <w:rPr>
                <w:bCs/>
                <w:color w:val="FFFFFF"/>
              </w:rPr>
              <w:t>Koeficient frekvencie</w:t>
            </w:r>
          </w:p>
        </w:tc>
      </w:tr>
      <w:tr w:rsidR="004A117C" w:rsidRPr="00895898" w14:paraId="0D37F03E" w14:textId="77777777" w:rsidTr="00470E9B">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66B79870" w14:textId="77777777" w:rsidR="004A117C" w:rsidRPr="00895898" w:rsidRDefault="004A117C" w:rsidP="00470E9B">
            <w:pPr>
              <w:rPr>
                <w:color w:val="000000"/>
                <w:sz w:val="20"/>
                <w:szCs w:val="20"/>
                <w:lang w:val="en-US"/>
              </w:rPr>
            </w:pPr>
            <w:r w:rsidRPr="00895898">
              <w:rPr>
                <w:bCs/>
                <w:color w:val="000000"/>
                <w:sz w:val="20"/>
                <w:szCs w:val="20"/>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2C5FE35F" w14:textId="77777777" w:rsidR="004A117C" w:rsidRPr="00895898" w:rsidRDefault="004A117C" w:rsidP="00470E9B">
            <w:pPr>
              <w:jc w:val="right"/>
              <w:rPr>
                <w:color w:val="000000"/>
                <w:sz w:val="20"/>
                <w:szCs w:val="20"/>
                <w:lang w:val="en-US"/>
              </w:rPr>
            </w:pPr>
            <w:r w:rsidRPr="00895898">
              <w:rPr>
                <w:color w:val="000000"/>
                <w:sz w:val="20"/>
                <w:szCs w:val="20"/>
              </w:rPr>
              <w:t>1</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75A26F74" w14:textId="77777777" w:rsidR="004A117C" w:rsidRPr="00895898" w:rsidRDefault="004A117C" w:rsidP="00470E9B">
            <w:pPr>
              <w:rPr>
                <w:color w:val="000000"/>
                <w:sz w:val="20"/>
                <w:szCs w:val="20"/>
                <w:lang w:val="en-US"/>
              </w:rPr>
            </w:pPr>
            <w:r w:rsidRPr="00895898">
              <w:rPr>
                <w:color w:val="000000"/>
                <w:sz w:val="20"/>
                <w:szCs w:val="20"/>
              </w:rPr>
              <w:t>každé 2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739A9AF7" w14:textId="77777777" w:rsidR="004A117C" w:rsidRPr="00895898" w:rsidRDefault="004A117C" w:rsidP="00470E9B">
            <w:pPr>
              <w:jc w:val="right"/>
              <w:rPr>
                <w:color w:val="000000"/>
                <w:sz w:val="20"/>
                <w:szCs w:val="20"/>
                <w:lang w:val="en-US"/>
              </w:rPr>
            </w:pPr>
            <w:r w:rsidRPr="00895898">
              <w:rPr>
                <w:color w:val="000000"/>
                <w:sz w:val="20"/>
                <w:szCs w:val="20"/>
              </w:rPr>
              <w:t>0,5</w:t>
            </w:r>
            <w:r w:rsidRPr="00895898">
              <w:rPr>
                <w:color w:val="000000"/>
                <w:sz w:val="20"/>
                <w:szCs w:val="20"/>
                <w:lang w:val="en-US"/>
              </w:rPr>
              <w:t>0</w:t>
            </w:r>
          </w:p>
        </w:tc>
      </w:tr>
      <w:tr w:rsidR="004A117C" w:rsidRPr="00895898" w14:paraId="1280019F" w14:textId="77777777" w:rsidTr="00470E9B">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36082D67" w14:textId="77777777" w:rsidR="004A117C" w:rsidRPr="00895898" w:rsidRDefault="004A117C" w:rsidP="00470E9B">
            <w:pPr>
              <w:rPr>
                <w:color w:val="000000"/>
                <w:sz w:val="20"/>
                <w:szCs w:val="20"/>
                <w:lang w:val="en-US"/>
              </w:rPr>
            </w:pPr>
            <w:r w:rsidRPr="00895898">
              <w:rPr>
                <w:bCs/>
                <w:color w:val="000000"/>
                <w:sz w:val="20"/>
                <w:szCs w:val="20"/>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72C288B4" w14:textId="77777777" w:rsidR="004A117C" w:rsidRPr="00895898" w:rsidRDefault="004A117C" w:rsidP="00470E9B">
            <w:pPr>
              <w:jc w:val="right"/>
              <w:rPr>
                <w:color w:val="000000"/>
                <w:sz w:val="20"/>
                <w:szCs w:val="20"/>
                <w:lang w:val="en-US"/>
              </w:rPr>
            </w:pPr>
            <w:r w:rsidRPr="00895898">
              <w:rPr>
                <w:color w:val="000000"/>
                <w:sz w:val="20"/>
                <w:szCs w:val="20"/>
              </w:rPr>
              <w:t>2</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2C035BC0" w14:textId="77777777" w:rsidR="004A117C" w:rsidRPr="00895898" w:rsidRDefault="004A117C" w:rsidP="00470E9B">
            <w:pPr>
              <w:rPr>
                <w:color w:val="000000"/>
                <w:sz w:val="20"/>
                <w:szCs w:val="20"/>
                <w:lang w:val="en-US"/>
              </w:rPr>
            </w:pPr>
            <w:r w:rsidRPr="00895898">
              <w:rPr>
                <w:color w:val="000000"/>
                <w:sz w:val="20"/>
                <w:szCs w:val="20"/>
              </w:rPr>
              <w:t>každé 3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17E3A00E" w14:textId="77777777" w:rsidR="004A117C" w:rsidRPr="00895898" w:rsidRDefault="004A117C" w:rsidP="00470E9B">
            <w:pPr>
              <w:jc w:val="right"/>
              <w:rPr>
                <w:color w:val="000000"/>
                <w:sz w:val="20"/>
                <w:szCs w:val="20"/>
              </w:rPr>
            </w:pPr>
            <w:r w:rsidRPr="00895898">
              <w:rPr>
                <w:color w:val="000000"/>
                <w:sz w:val="20"/>
                <w:szCs w:val="20"/>
              </w:rPr>
              <w:t>0,33</w:t>
            </w:r>
          </w:p>
        </w:tc>
      </w:tr>
      <w:tr w:rsidR="004A117C" w:rsidRPr="00895898" w14:paraId="41A32707" w14:textId="77777777" w:rsidTr="00470E9B">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53CADDA5" w14:textId="77777777" w:rsidR="004A117C" w:rsidRPr="00895898" w:rsidRDefault="004A117C" w:rsidP="00470E9B">
            <w:pPr>
              <w:rPr>
                <w:color w:val="000000"/>
                <w:sz w:val="20"/>
                <w:szCs w:val="20"/>
                <w:lang w:val="en-US"/>
              </w:rPr>
            </w:pPr>
            <w:r w:rsidRPr="00895898">
              <w:rPr>
                <w:bCs/>
                <w:color w:val="000000"/>
                <w:sz w:val="20"/>
                <w:szCs w:val="20"/>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28A5D537" w14:textId="77777777" w:rsidR="004A117C" w:rsidRPr="00895898" w:rsidRDefault="004A117C" w:rsidP="00470E9B">
            <w:pPr>
              <w:jc w:val="right"/>
              <w:rPr>
                <w:color w:val="000000"/>
                <w:sz w:val="20"/>
                <w:szCs w:val="20"/>
                <w:lang w:val="en-US"/>
              </w:rPr>
            </w:pPr>
            <w:r w:rsidRPr="00895898">
              <w:rPr>
                <w:color w:val="000000"/>
                <w:sz w:val="20"/>
                <w:szCs w:val="20"/>
              </w:rPr>
              <w:t>3</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7CF16363" w14:textId="77777777" w:rsidR="004A117C" w:rsidRPr="00895898" w:rsidRDefault="004A117C" w:rsidP="00470E9B">
            <w:pPr>
              <w:rPr>
                <w:color w:val="000000"/>
                <w:sz w:val="20"/>
                <w:szCs w:val="20"/>
                <w:lang w:val="en-US"/>
              </w:rPr>
            </w:pPr>
            <w:r w:rsidRPr="00895898">
              <w:rPr>
                <w:color w:val="000000"/>
                <w:sz w:val="20"/>
                <w:szCs w:val="20"/>
              </w:rPr>
              <w:t>každé 4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537EC6F2" w14:textId="77777777" w:rsidR="004A117C" w:rsidRPr="00895898" w:rsidRDefault="004A117C" w:rsidP="00470E9B">
            <w:pPr>
              <w:jc w:val="right"/>
              <w:rPr>
                <w:color w:val="000000"/>
                <w:sz w:val="20"/>
                <w:szCs w:val="20"/>
              </w:rPr>
            </w:pPr>
            <w:r w:rsidRPr="00895898">
              <w:rPr>
                <w:color w:val="000000"/>
                <w:sz w:val="20"/>
                <w:szCs w:val="20"/>
              </w:rPr>
              <w:t>0,25</w:t>
            </w:r>
          </w:p>
        </w:tc>
      </w:tr>
      <w:tr w:rsidR="004A117C" w:rsidRPr="00895898" w14:paraId="4D84B4B3" w14:textId="77777777" w:rsidTr="00470E9B">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2B1D0DB6" w14:textId="77777777" w:rsidR="004A117C" w:rsidRPr="00895898" w:rsidRDefault="004A117C" w:rsidP="00470E9B">
            <w:pPr>
              <w:rPr>
                <w:color w:val="000000"/>
                <w:sz w:val="20"/>
                <w:szCs w:val="20"/>
                <w:lang w:val="en-US"/>
              </w:rPr>
            </w:pPr>
            <w:r w:rsidRPr="00895898">
              <w:rPr>
                <w:bCs/>
                <w:color w:val="000000"/>
                <w:sz w:val="20"/>
                <w:szCs w:val="20"/>
              </w:rPr>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14A3D49D" w14:textId="77777777" w:rsidR="004A117C" w:rsidRPr="00895898" w:rsidRDefault="004A117C" w:rsidP="00470E9B">
            <w:pPr>
              <w:jc w:val="right"/>
              <w:rPr>
                <w:color w:val="000000"/>
                <w:sz w:val="20"/>
                <w:szCs w:val="20"/>
                <w:lang w:val="en-US"/>
              </w:rPr>
            </w:pPr>
            <w:r w:rsidRPr="00895898">
              <w:rPr>
                <w:color w:val="000000"/>
                <w:sz w:val="20"/>
                <w:szCs w:val="20"/>
              </w:rPr>
              <w:t>4</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6C20482D" w14:textId="77777777" w:rsidR="004A117C" w:rsidRPr="00895898" w:rsidRDefault="004A117C" w:rsidP="00470E9B">
            <w:pPr>
              <w:rPr>
                <w:color w:val="000000"/>
                <w:sz w:val="20"/>
                <w:szCs w:val="20"/>
                <w:lang w:val="en-US"/>
              </w:rPr>
            </w:pPr>
            <w:r w:rsidRPr="00895898">
              <w:rPr>
                <w:color w:val="000000"/>
                <w:sz w:val="20"/>
                <w:szCs w:val="20"/>
              </w:rPr>
              <w:t>každých 5 rokov</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2D7DC895" w14:textId="77777777" w:rsidR="004A117C" w:rsidRPr="00895898" w:rsidRDefault="004A117C" w:rsidP="00470E9B">
            <w:pPr>
              <w:jc w:val="right"/>
              <w:rPr>
                <w:color w:val="000000"/>
                <w:sz w:val="20"/>
                <w:szCs w:val="20"/>
              </w:rPr>
            </w:pPr>
            <w:r w:rsidRPr="00895898">
              <w:rPr>
                <w:color w:val="000000"/>
                <w:sz w:val="20"/>
                <w:szCs w:val="20"/>
              </w:rPr>
              <w:t>0,20</w:t>
            </w:r>
          </w:p>
        </w:tc>
      </w:tr>
      <w:tr w:rsidR="004A117C" w:rsidRPr="00895898" w14:paraId="71F56AE6" w14:textId="77777777" w:rsidTr="00470E9B">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hideMark/>
          </w:tcPr>
          <w:p w14:paraId="7715162F" w14:textId="77777777" w:rsidR="004A117C" w:rsidRPr="00895898" w:rsidRDefault="004A117C" w:rsidP="00470E9B">
            <w:pPr>
              <w:rPr>
                <w:color w:val="000000"/>
                <w:sz w:val="20"/>
                <w:szCs w:val="20"/>
                <w:lang w:val="en-US"/>
              </w:rPr>
            </w:pPr>
            <w:r w:rsidRPr="00895898">
              <w:rPr>
                <w:bCs/>
                <w:color w:val="000000"/>
                <w:sz w:val="20"/>
                <w:szCs w:val="20"/>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14:paraId="7F00FD22" w14:textId="77777777" w:rsidR="004A117C" w:rsidRPr="00895898" w:rsidRDefault="004A117C" w:rsidP="00470E9B">
            <w:pPr>
              <w:jc w:val="right"/>
              <w:rPr>
                <w:color w:val="000000"/>
                <w:sz w:val="20"/>
                <w:szCs w:val="20"/>
                <w:lang w:val="en-US"/>
              </w:rPr>
            </w:pPr>
            <w:r w:rsidRPr="00895898">
              <w:rPr>
                <w:color w:val="000000"/>
                <w:sz w:val="20"/>
                <w:szCs w:val="20"/>
              </w:rPr>
              <w:t>12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hideMark/>
          </w:tcPr>
          <w:p w14:paraId="63FC0F7D" w14:textId="77777777" w:rsidR="004A117C" w:rsidRPr="00895898" w:rsidRDefault="004A117C" w:rsidP="00470E9B">
            <w:pPr>
              <w:rPr>
                <w:color w:val="000000"/>
                <w:sz w:val="20"/>
                <w:szCs w:val="20"/>
                <w:lang w:val="en-US"/>
              </w:rPr>
            </w:pPr>
            <w:r w:rsidRPr="00895898">
              <w:rPr>
                <w:color w:val="000000"/>
                <w:sz w:val="20"/>
                <w:szCs w:val="20"/>
              </w:rPr>
              <w:t>nepravidelne/ jednorazovo</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hideMark/>
          </w:tcPr>
          <w:p w14:paraId="57EB1E47" w14:textId="77777777" w:rsidR="004A117C" w:rsidRPr="00895898" w:rsidRDefault="004A117C" w:rsidP="00470E9B">
            <w:pPr>
              <w:jc w:val="right"/>
              <w:rPr>
                <w:color w:val="000000"/>
                <w:sz w:val="20"/>
                <w:szCs w:val="20"/>
              </w:rPr>
            </w:pPr>
            <w:r w:rsidRPr="00895898">
              <w:rPr>
                <w:color w:val="000000"/>
                <w:sz w:val="20"/>
                <w:szCs w:val="20"/>
              </w:rPr>
              <w:t>0,25</w:t>
            </w:r>
          </w:p>
        </w:tc>
      </w:tr>
    </w:tbl>
    <w:p w14:paraId="6F12E2FA" w14:textId="77777777" w:rsidR="004A117C" w:rsidRPr="00895898" w:rsidRDefault="004A117C" w:rsidP="004A117C">
      <w:pPr>
        <w:spacing w:after="120" w:line="276" w:lineRule="auto"/>
        <w:jc w:val="both"/>
        <w:rPr>
          <w:color w:val="000000"/>
        </w:rPr>
      </w:pPr>
    </w:p>
    <w:p w14:paraId="429A808A" w14:textId="77777777" w:rsidR="004A117C" w:rsidRPr="001F1B43" w:rsidRDefault="004A117C" w:rsidP="004A117C">
      <w:pPr>
        <w:spacing w:after="120" w:line="276" w:lineRule="auto"/>
        <w:jc w:val="both"/>
        <w:rPr>
          <w:rFonts w:eastAsia="Calibri"/>
          <w:b/>
        </w:rPr>
      </w:pPr>
      <w:r w:rsidRPr="001F1B43">
        <w:rPr>
          <w:rFonts w:eastAsia="Calibri"/>
          <w:b/>
        </w:rPr>
        <w:t>Stanovenie časovej náročnosti pri administratívnych nákladoch</w:t>
      </w:r>
    </w:p>
    <w:p w14:paraId="3C420161" w14:textId="77777777" w:rsidR="004A117C" w:rsidRPr="001F1B43" w:rsidRDefault="004A117C" w:rsidP="004A117C">
      <w:pPr>
        <w:spacing w:after="120" w:line="276" w:lineRule="auto"/>
        <w:jc w:val="both"/>
        <w:rPr>
          <w:rFonts w:eastAsia="Calibri"/>
        </w:rPr>
      </w:pPr>
      <w:r w:rsidRPr="001F1B43">
        <w:rPr>
          <w:color w:val="000000"/>
        </w:rPr>
        <w:t>Kalkulácia nákladov vychádza z metodiky štandardného nákladového modelu (SCM).</w:t>
      </w:r>
      <w:r w:rsidRPr="001F1B43">
        <w:rPr>
          <w:rFonts w:eastAsia="Calibri"/>
        </w:rPr>
        <w:t xml:space="preserve"> Jej podstatou je rozklad regulácie a paragrafového znenia do súboru menších, ľahšie merateľných komponentov – jednotlivých regulácií, s následným nákladovým vyjadrením ich plnenia. </w:t>
      </w:r>
    </w:p>
    <w:p w14:paraId="4B3BB882" w14:textId="77777777" w:rsidR="004A117C" w:rsidRPr="001F1B43" w:rsidRDefault="004A117C" w:rsidP="004A117C">
      <w:pPr>
        <w:spacing w:after="120"/>
        <w:jc w:val="both"/>
        <w:rPr>
          <w:rFonts w:eastAsia="Calibri"/>
        </w:rPr>
      </w:pPr>
    </w:p>
    <w:p w14:paraId="4D223E00" w14:textId="77777777" w:rsidR="004A117C" w:rsidRDefault="004A117C" w:rsidP="004A117C">
      <w:pPr>
        <w:spacing w:after="120"/>
        <w:jc w:val="both"/>
        <w:rPr>
          <w:rFonts w:eastAsia="Calibri"/>
        </w:rPr>
      </w:pPr>
      <w:r w:rsidRPr="001F1B43">
        <w:rPr>
          <w:rFonts w:eastAsia="Calibri"/>
        </w:rPr>
        <w:t>Pri priraďovaní časovej náročnosti plnenia povinnosti je možné použiť dva základné prístupy:</w:t>
      </w:r>
    </w:p>
    <w:p w14:paraId="35B1599F" w14:textId="77777777" w:rsidR="004A117C" w:rsidRPr="001F1B43" w:rsidRDefault="004A117C" w:rsidP="004A117C">
      <w:pPr>
        <w:jc w:val="both"/>
        <w:rPr>
          <w:rFonts w:eastAsia="Calibri"/>
        </w:rPr>
      </w:pPr>
    </w:p>
    <w:p w14:paraId="6FC7F782" w14:textId="77777777" w:rsidR="004A117C" w:rsidRPr="001F1B43" w:rsidRDefault="004A117C" w:rsidP="004A117C">
      <w:pPr>
        <w:numPr>
          <w:ilvl w:val="0"/>
          <w:numId w:val="2"/>
        </w:numPr>
        <w:spacing w:after="120"/>
        <w:rPr>
          <w:rFonts w:eastAsia="Calibri"/>
          <w:i/>
        </w:rPr>
      </w:pPr>
      <w:r w:rsidRPr="001F1B43">
        <w:rPr>
          <w:rFonts w:eastAsia="Calibri"/>
          <w:i/>
        </w:rPr>
        <w:t xml:space="preserve">Expertný odhad trvania povinnosti (v min.) </w:t>
      </w:r>
    </w:p>
    <w:p w14:paraId="656F32C1" w14:textId="77777777" w:rsidR="004A117C" w:rsidRDefault="004A117C" w:rsidP="004A117C">
      <w:pPr>
        <w:spacing w:after="120" w:line="276" w:lineRule="auto"/>
        <w:ind w:left="720"/>
        <w:jc w:val="both"/>
      </w:pPr>
      <w:r w:rsidRPr="00BD0EF7">
        <w:t xml:space="preserve">Odhad predkladateľa trvania povinnosti (v min.) Ak predkladateľ disponuje údajmi o trvaní povinnosti získanými na základe vlastných meraní alebo reprezentatívnym prieskumom medzi zainteresovanými subjektmi tieto údaje môže predkladateľ použiť pre výpočet nákladov regulácie. Rovnako postupuje ak identifikuje špecifické povinnosti, ku ktorým nie je možné priradiť žiadnu z vyššie uvedených typických informačných povinností. Predkladateľ je povinný zverejniť všetky vstupné údaje, ktoré využil pri odhade trvania povinnosti a pri kvantifikácii časovej náročnosti vychádza z porovnania budúceho stavu so súčasným stavom. V kvantifikácii je potrebné zohľadniť časové parametre (trvanie spracovaniam, čas potrebný na zaslanie), kvantitatívne </w:t>
      </w:r>
      <w:r w:rsidRPr="00BD0EF7">
        <w:lastRenderedPageBreak/>
        <w:t>parametre (výška poplatku, materiálne náklady na podanie) a kvalitatívne parametre (prínos alebo náklad zavedenia predpisu, ktoré nie je možné zohľadniť v iných kategóriách).“</w:t>
      </w:r>
    </w:p>
    <w:p w14:paraId="75FB121E" w14:textId="77777777" w:rsidR="004A117C" w:rsidRDefault="004A117C" w:rsidP="004A117C">
      <w:pPr>
        <w:spacing w:after="120" w:line="276" w:lineRule="auto"/>
        <w:ind w:left="720"/>
        <w:jc w:val="both"/>
      </w:pPr>
    </w:p>
    <w:p w14:paraId="3BF2FA57" w14:textId="77777777" w:rsidR="004A117C" w:rsidRPr="001F1B43" w:rsidRDefault="004A117C" w:rsidP="004A117C">
      <w:pPr>
        <w:spacing w:after="120" w:line="276" w:lineRule="auto"/>
        <w:ind w:left="720"/>
        <w:jc w:val="both"/>
      </w:pPr>
    </w:p>
    <w:p w14:paraId="737AB5BE" w14:textId="77777777" w:rsidR="004A117C" w:rsidRPr="001F1B43" w:rsidRDefault="004A117C" w:rsidP="004A117C">
      <w:pPr>
        <w:numPr>
          <w:ilvl w:val="0"/>
          <w:numId w:val="2"/>
        </w:numPr>
        <w:spacing w:after="120"/>
        <w:jc w:val="both"/>
        <w:rPr>
          <w:rFonts w:eastAsia="Calibri"/>
          <w:i/>
        </w:rPr>
      </w:pPr>
      <w:r w:rsidRPr="001F1B43">
        <w:rPr>
          <w:rFonts w:eastAsia="Calibri"/>
          <w:i/>
        </w:rPr>
        <w:t xml:space="preserve">Štandardná časová náročnosť povinnosti (min.)  </w:t>
      </w:r>
    </w:p>
    <w:p w14:paraId="459B2792" w14:textId="77777777" w:rsidR="004A117C" w:rsidRDefault="004A117C" w:rsidP="004A117C">
      <w:pPr>
        <w:spacing w:after="120" w:line="276" w:lineRule="auto"/>
        <w:ind w:left="708"/>
        <w:jc w:val="both"/>
        <w:rPr>
          <w:rFonts w:eastAsia="Calibri"/>
        </w:rPr>
      </w:pPr>
      <w:r w:rsidRPr="001F1B43">
        <w:rPr>
          <w:rFonts w:eastAsia="Calibri"/>
        </w:rPr>
        <w:t>Ak predkladateľ nevie odhadnúť trvanie administratívnej povinnosti presnejšie, tak si</w:t>
      </w:r>
      <w:r>
        <w:rPr>
          <w:rFonts w:eastAsia="Calibri"/>
        </w:rPr>
        <w:t> </w:t>
      </w:r>
      <w:r w:rsidRPr="001F1B43">
        <w:rPr>
          <w:rFonts w:eastAsia="Calibri"/>
        </w:rPr>
        <w:t xml:space="preserve">môže pomôcť výberom z 10 typických informačných povinností, ktorým sú priradené štandardizované časové náročnosti uvedené v tabuľke. </w:t>
      </w:r>
    </w:p>
    <w:p w14:paraId="6C49D517" w14:textId="77777777" w:rsidR="004A117C" w:rsidRPr="00EC0704" w:rsidRDefault="004A117C" w:rsidP="004A117C">
      <w:pPr>
        <w:spacing w:after="120" w:line="276" w:lineRule="auto"/>
        <w:ind w:left="708"/>
        <w:jc w:val="both"/>
        <w:rPr>
          <w:rFonts w:eastAsia="Calibri"/>
        </w:rPr>
      </w:pPr>
      <w:r w:rsidRPr="00EC0704">
        <w:rPr>
          <w:rFonts w:eastAsia="Calibri"/>
        </w:rPr>
        <w:t xml:space="preserve">Tabuľka štandardných časových náročností typických informačných povinností podľa veľkosti podniku </w:t>
      </w:r>
      <w:r>
        <w:rPr>
          <w:rFonts w:eastAsia="Calibri"/>
        </w:rPr>
        <w:t>je uvedená v Kalkulačke vplyvov na PP, časti „</w:t>
      </w:r>
      <w:r w:rsidRPr="00EC0704">
        <w:rPr>
          <w:rFonts w:eastAsia="Calibri"/>
        </w:rPr>
        <w:t>Vysvetlivky ku kroku 1</w:t>
      </w:r>
      <w:r>
        <w:rPr>
          <w:rFonts w:eastAsia="Calibri"/>
        </w:rPr>
        <w:t>“.</w:t>
      </w:r>
    </w:p>
    <w:p w14:paraId="6780D761" w14:textId="77777777" w:rsidR="004A117C" w:rsidRPr="00340CFD" w:rsidRDefault="004A117C" w:rsidP="004A117C">
      <w:pPr>
        <w:spacing w:after="120" w:line="276" w:lineRule="auto"/>
        <w:ind w:left="708"/>
        <w:jc w:val="both"/>
        <w:rPr>
          <w:rFonts w:eastAsia="Calibri"/>
        </w:rPr>
      </w:pPr>
      <w:r w:rsidRPr="00340CFD">
        <w:rPr>
          <w:rFonts w:eastAsia="Calibri"/>
        </w:rPr>
        <w:t>Uvedené časové náročnosti budú zo strany Ministerstva hospodárstva SR v primeraných časových intervaloch aktualizované.“. Odôvodnenie: Pravidelná aktualizácia časových hodnôt zabezpečí exaktnejšiu kvantifikáciu nákladov na podnikateľské prostredie. Využívanie neaktuálnych hodnôt časovej náročnosti môže pri kvantifikácii vplyvu na celé podnikateľské prostredie vytvárať veľké rozdiely kvantifikované v eurách.</w:t>
      </w:r>
    </w:p>
    <w:p w14:paraId="54D3802D" w14:textId="77777777" w:rsidR="004A117C" w:rsidRPr="00895898" w:rsidRDefault="004A117C" w:rsidP="004A117C">
      <w:pPr>
        <w:ind w:right="-426"/>
        <w:rPr>
          <w:i/>
          <w:color w:val="000000"/>
          <w:sz w:val="20"/>
          <w:szCs w:val="20"/>
        </w:rPr>
      </w:pPr>
    </w:p>
    <w:p w14:paraId="50E91351" w14:textId="77777777" w:rsidR="004A117C" w:rsidRPr="00D8247C" w:rsidRDefault="004A117C" w:rsidP="004A117C">
      <w:pPr>
        <w:pBdr>
          <w:top w:val="single" w:sz="4" w:space="1" w:color="auto"/>
          <w:left w:val="single" w:sz="4" w:space="4" w:color="auto"/>
          <w:bottom w:val="single" w:sz="4" w:space="1" w:color="auto"/>
          <w:right w:val="single" w:sz="4" w:space="4" w:color="auto"/>
        </w:pBdr>
        <w:jc w:val="both"/>
        <w:rPr>
          <w:rFonts w:eastAsia="Calibri"/>
          <w:b/>
        </w:rPr>
      </w:pPr>
      <w:r w:rsidRPr="00D8247C">
        <w:rPr>
          <w:rFonts w:eastAsia="Calibri"/>
          <w:b/>
        </w:rPr>
        <w:t>3.2 Vyhodnotenie konzultácií s podnikateľskými subjektmi</w:t>
      </w:r>
    </w:p>
    <w:p w14:paraId="1896E385" w14:textId="77777777" w:rsidR="004A117C" w:rsidRPr="00D8247C" w:rsidRDefault="004A117C" w:rsidP="004A117C">
      <w:pPr>
        <w:jc w:val="both"/>
        <w:rPr>
          <w:rFonts w:eastAsia="Calibri"/>
        </w:rPr>
      </w:pPr>
    </w:p>
    <w:p w14:paraId="6FA317AA" w14:textId="77777777" w:rsidR="004A117C" w:rsidRPr="00D8247C" w:rsidRDefault="004A117C" w:rsidP="004A117C">
      <w:pPr>
        <w:jc w:val="both"/>
        <w:rPr>
          <w:rFonts w:eastAsia="Calibri"/>
          <w:bCs/>
        </w:rPr>
      </w:pPr>
      <w:r w:rsidRPr="00D8247C">
        <w:rPr>
          <w:rFonts w:eastAsia="Calibri"/>
        </w:rPr>
        <w:t xml:space="preserve">Alternatívne namiesto vypĺňania bodu 3.2 môžete uviesť ako samostatnú prílohu tejto analýzy </w:t>
      </w:r>
      <w:r w:rsidRPr="00D8247C">
        <w:rPr>
          <w:rFonts w:eastAsia="Calibri"/>
          <w:b/>
        </w:rPr>
        <w:t>Záznam z konzultácií</w:t>
      </w:r>
      <w:r w:rsidRPr="00D8247C">
        <w:rPr>
          <w:rFonts w:eastAsia="Calibri"/>
        </w:rPr>
        <w:t>, musí však obsahovať všetky požadované informácie.</w:t>
      </w:r>
      <w:r w:rsidRPr="00D8247C">
        <w:rPr>
          <w:rFonts w:eastAsia="Calibri"/>
          <w:bCs/>
        </w:rPr>
        <w:t xml:space="preserve"> </w:t>
      </w:r>
    </w:p>
    <w:p w14:paraId="5ECFD75B" w14:textId="77777777" w:rsidR="004A117C" w:rsidRPr="00D8247C" w:rsidRDefault="004A117C" w:rsidP="004A117C">
      <w:pPr>
        <w:jc w:val="both"/>
        <w:rPr>
          <w:rFonts w:eastAsia="Calibri"/>
          <w:bCs/>
        </w:rPr>
      </w:pPr>
      <w:r w:rsidRPr="00D8247C">
        <w:rPr>
          <w:rFonts w:eastAsia="Calibri"/>
          <w:bCs/>
        </w:rPr>
        <w:t xml:space="preserve">Predkladateľ do tejto časti uvedie </w:t>
      </w:r>
      <w:r w:rsidRPr="00D8247C">
        <w:rPr>
          <w:rFonts w:eastAsia="Calibri"/>
          <w:bCs/>
          <w:i/>
        </w:rPr>
        <w:t>tieto informácie:</w:t>
      </w:r>
    </w:p>
    <w:p w14:paraId="6685AEF9" w14:textId="77777777" w:rsidR="004A117C" w:rsidRPr="00D8247C" w:rsidRDefault="004A117C" w:rsidP="004A117C">
      <w:pPr>
        <w:numPr>
          <w:ilvl w:val="0"/>
          <w:numId w:val="3"/>
        </w:numPr>
        <w:spacing w:after="160" w:line="259" w:lineRule="auto"/>
        <w:contextualSpacing/>
        <w:jc w:val="both"/>
        <w:rPr>
          <w:rFonts w:eastAsia="Calibri"/>
          <w:bCs/>
        </w:rPr>
      </w:pPr>
      <w:r w:rsidRPr="00D8247C">
        <w:rPr>
          <w:rFonts w:eastAsia="Calibri"/>
          <w:bCs/>
        </w:rPr>
        <w:t>či a akou formou sa k predkladanému materiálu konali konzultácie s</w:t>
      </w:r>
      <w:r>
        <w:rPr>
          <w:rFonts w:eastAsia="Calibri"/>
          <w:bCs/>
        </w:rPr>
        <w:t> </w:t>
      </w:r>
      <w:r w:rsidRPr="00D8247C">
        <w:rPr>
          <w:rFonts w:eastAsia="Calibri"/>
          <w:bCs/>
        </w:rPr>
        <w:t>podnikateľskými subjektmi</w:t>
      </w:r>
    </w:p>
    <w:p w14:paraId="31967C65" w14:textId="77777777" w:rsidR="004A117C" w:rsidRPr="00D8247C" w:rsidRDefault="004A117C" w:rsidP="004A117C">
      <w:pPr>
        <w:numPr>
          <w:ilvl w:val="0"/>
          <w:numId w:val="3"/>
        </w:numPr>
        <w:spacing w:after="160" w:line="259" w:lineRule="auto"/>
        <w:contextualSpacing/>
        <w:rPr>
          <w:rFonts w:eastAsia="Calibri"/>
          <w:bCs/>
        </w:rPr>
      </w:pPr>
      <w:r w:rsidRPr="00D8247C">
        <w:rPr>
          <w:rFonts w:eastAsia="Calibri"/>
          <w:bCs/>
        </w:rPr>
        <w:t>link na webovú stránku, na ktorej boli konzultácie zverejnené</w:t>
      </w:r>
    </w:p>
    <w:p w14:paraId="752F04C8" w14:textId="77777777" w:rsidR="004A117C" w:rsidRPr="00D8247C" w:rsidRDefault="004A117C" w:rsidP="004A117C">
      <w:pPr>
        <w:numPr>
          <w:ilvl w:val="0"/>
          <w:numId w:val="3"/>
        </w:numPr>
        <w:spacing w:after="160" w:line="259" w:lineRule="auto"/>
        <w:contextualSpacing/>
        <w:jc w:val="both"/>
        <w:rPr>
          <w:rFonts w:eastAsia="Calibri"/>
          <w:bCs/>
        </w:rPr>
      </w:pPr>
      <w:r w:rsidRPr="00D8247C">
        <w:rPr>
          <w:rFonts w:eastAsia="Calibri"/>
          <w:bCs/>
        </w:rPr>
        <w:t xml:space="preserve">zdôvodnenie výberu formy, vrátane údaju o spôsobe oslovenia dotknutých subjektov </w:t>
      </w:r>
    </w:p>
    <w:p w14:paraId="27D7618C" w14:textId="77777777" w:rsidR="004A117C" w:rsidRPr="00D8247C" w:rsidRDefault="004A117C" w:rsidP="004A117C">
      <w:pPr>
        <w:numPr>
          <w:ilvl w:val="0"/>
          <w:numId w:val="3"/>
        </w:numPr>
        <w:spacing w:after="160" w:line="259" w:lineRule="auto"/>
        <w:contextualSpacing/>
        <w:jc w:val="both"/>
        <w:rPr>
          <w:rFonts w:eastAsia="Calibri"/>
          <w:bCs/>
        </w:rPr>
      </w:pPr>
      <w:r w:rsidRPr="00D8247C">
        <w:rPr>
          <w:rFonts w:eastAsia="Calibri"/>
          <w:bCs/>
        </w:rPr>
        <w:t>trvanie konzultácií (od – do) a prípadné termín/y stretnutí</w:t>
      </w:r>
    </w:p>
    <w:p w14:paraId="0CC5F920" w14:textId="77777777" w:rsidR="004A117C" w:rsidRPr="00D8247C" w:rsidRDefault="004A117C" w:rsidP="004A117C">
      <w:pPr>
        <w:numPr>
          <w:ilvl w:val="0"/>
          <w:numId w:val="3"/>
        </w:numPr>
        <w:spacing w:after="160" w:line="259" w:lineRule="auto"/>
        <w:contextualSpacing/>
        <w:jc w:val="both"/>
        <w:rPr>
          <w:rFonts w:eastAsia="Calibri"/>
          <w:bCs/>
        </w:rPr>
      </w:pPr>
      <w:r w:rsidRPr="00D8247C">
        <w:rPr>
          <w:rFonts w:eastAsia="Calibri"/>
          <w:bCs/>
        </w:rPr>
        <w:t>zoznam konzultujúcich subjektov</w:t>
      </w:r>
    </w:p>
    <w:p w14:paraId="21F2FC1F" w14:textId="77777777" w:rsidR="004A117C" w:rsidRPr="00D8247C" w:rsidRDefault="004A117C" w:rsidP="004A117C">
      <w:pPr>
        <w:numPr>
          <w:ilvl w:val="0"/>
          <w:numId w:val="3"/>
        </w:numPr>
        <w:spacing w:after="160" w:line="259" w:lineRule="auto"/>
        <w:contextualSpacing/>
        <w:jc w:val="both"/>
        <w:rPr>
          <w:rFonts w:eastAsia="Calibri"/>
          <w:bCs/>
        </w:rPr>
      </w:pPr>
      <w:r w:rsidRPr="00D8247C">
        <w:rPr>
          <w:rFonts w:eastAsia="Calibri"/>
          <w:bCs/>
        </w:rPr>
        <w:t>hlavné body konzultácií a ich závery</w:t>
      </w:r>
    </w:p>
    <w:p w14:paraId="01BEED49" w14:textId="77777777" w:rsidR="004A117C" w:rsidRPr="00D8247C" w:rsidRDefault="004A117C" w:rsidP="004A117C">
      <w:pPr>
        <w:numPr>
          <w:ilvl w:val="0"/>
          <w:numId w:val="3"/>
        </w:numPr>
        <w:spacing w:after="160" w:line="259" w:lineRule="auto"/>
        <w:contextualSpacing/>
        <w:jc w:val="both"/>
        <w:rPr>
          <w:rFonts w:eastAsia="Calibri"/>
          <w:bCs/>
        </w:rPr>
      </w:pPr>
      <w:r w:rsidRPr="00D8247C">
        <w:rPr>
          <w:rFonts w:eastAsia="Calibri"/>
          <w:bCs/>
        </w:rPr>
        <w:t xml:space="preserve">zoznam predložených alternatívnych riešení problematiky </w:t>
      </w:r>
      <w:r w:rsidRPr="00D8247C">
        <w:rPr>
          <w:rFonts w:eastAsia="Calibri"/>
        </w:rPr>
        <w:t>od konzultujúcich subjektov</w:t>
      </w:r>
    </w:p>
    <w:p w14:paraId="14A1A998" w14:textId="77777777" w:rsidR="004A117C" w:rsidRPr="00D8247C" w:rsidRDefault="004A117C" w:rsidP="004A117C">
      <w:pPr>
        <w:numPr>
          <w:ilvl w:val="0"/>
          <w:numId w:val="3"/>
        </w:numPr>
        <w:spacing w:after="160" w:line="259" w:lineRule="auto"/>
        <w:contextualSpacing/>
        <w:jc w:val="both"/>
        <w:rPr>
          <w:rFonts w:eastAsia="Calibri"/>
          <w:bCs/>
        </w:rPr>
      </w:pPr>
      <w:r w:rsidRPr="00D8247C">
        <w:rPr>
          <w:rFonts w:eastAsia="Calibri"/>
        </w:rPr>
        <w:t xml:space="preserve">zoznam navrhnutých opatrení na zníženie nákladov regulácií na PP od konzultujúcich subjektov (uveďte konkrétne), ktoré neboli akceptované a dôvod ich neakceptovania. </w:t>
      </w:r>
    </w:p>
    <w:p w14:paraId="18F3D5CF" w14:textId="77777777" w:rsidR="004A117C" w:rsidRPr="00D8247C" w:rsidRDefault="004A117C" w:rsidP="004A117C">
      <w:pPr>
        <w:jc w:val="both"/>
        <w:rPr>
          <w:rFonts w:eastAsia="Calibri"/>
          <w:bCs/>
        </w:rPr>
      </w:pPr>
      <w:r w:rsidRPr="00D8247C">
        <w:rPr>
          <w:rFonts w:eastAsia="Calibri"/>
          <w:bCs/>
        </w:rPr>
        <w:t>Pre uskutočnenie konzultácií predkladateľ postupuje podľa bodu 5. Jednotnej metodiky na</w:t>
      </w:r>
      <w:r>
        <w:rPr>
          <w:rFonts w:eastAsia="Calibri"/>
          <w:bCs/>
        </w:rPr>
        <w:t> </w:t>
      </w:r>
      <w:r w:rsidRPr="00D8247C">
        <w:rPr>
          <w:rFonts w:eastAsia="Calibri"/>
          <w:bCs/>
        </w:rPr>
        <w:t>posudzovanie vybraných vplyvov ako aj podľa odporúčaní ku konzultáciám v časti III. Jednotnej metodiky na posudzovanie vybraných vplyvov.</w:t>
      </w:r>
    </w:p>
    <w:p w14:paraId="5D5E2969" w14:textId="77777777" w:rsidR="004A117C" w:rsidRPr="00D8247C" w:rsidRDefault="004A117C" w:rsidP="004A117C">
      <w:pPr>
        <w:jc w:val="both"/>
        <w:rPr>
          <w:rFonts w:eastAsia="Calibri"/>
          <w:bCs/>
        </w:rPr>
      </w:pPr>
    </w:p>
    <w:p w14:paraId="0067785E" w14:textId="77777777" w:rsidR="004A117C" w:rsidRPr="00D8247C" w:rsidRDefault="004A117C" w:rsidP="004A117C">
      <w:pPr>
        <w:jc w:val="both"/>
        <w:rPr>
          <w:rFonts w:eastAsia="Calibri"/>
          <w:bCs/>
        </w:rPr>
      </w:pPr>
    </w:p>
    <w:p w14:paraId="1C814BBF" w14:textId="77777777" w:rsidR="004A117C" w:rsidRPr="00D8247C" w:rsidRDefault="004A117C" w:rsidP="004A117C">
      <w:pPr>
        <w:pBdr>
          <w:top w:val="single" w:sz="4" w:space="1" w:color="auto"/>
          <w:left w:val="single" w:sz="4" w:space="4" w:color="auto"/>
          <w:bottom w:val="single" w:sz="4" w:space="1" w:color="auto"/>
          <w:right w:val="single" w:sz="4" w:space="4" w:color="auto"/>
        </w:pBdr>
        <w:jc w:val="both"/>
        <w:rPr>
          <w:rFonts w:eastAsia="Calibri"/>
          <w:b/>
        </w:rPr>
      </w:pPr>
      <w:r w:rsidRPr="00D8247C">
        <w:rPr>
          <w:rFonts w:eastAsia="Calibri"/>
          <w:b/>
        </w:rPr>
        <w:t>3.3 Vplyvy na konkurencieschopnosť a produktivitu</w:t>
      </w:r>
    </w:p>
    <w:p w14:paraId="2743AE90" w14:textId="77777777" w:rsidR="004A117C" w:rsidRPr="00D8247C" w:rsidRDefault="004A117C" w:rsidP="004A117C">
      <w:pPr>
        <w:jc w:val="both"/>
        <w:rPr>
          <w:rFonts w:eastAsia="Calibri"/>
          <w:i/>
        </w:rPr>
      </w:pPr>
    </w:p>
    <w:p w14:paraId="6A8C99CF" w14:textId="77777777" w:rsidR="004A117C" w:rsidRPr="00D8247C" w:rsidRDefault="004A117C" w:rsidP="004A117C">
      <w:pPr>
        <w:jc w:val="both"/>
        <w:rPr>
          <w:rFonts w:eastAsia="Calibri"/>
          <w:b/>
        </w:rPr>
      </w:pPr>
      <w:r w:rsidRPr="00D8247C">
        <w:rPr>
          <w:rFonts w:eastAsia="Calibri"/>
          <w:b/>
        </w:rPr>
        <w:lastRenderedPageBreak/>
        <w:t xml:space="preserve">Konkurencieschopnosť </w:t>
      </w:r>
    </w:p>
    <w:p w14:paraId="2EF58FB0" w14:textId="77777777" w:rsidR="004A117C" w:rsidRPr="00D8247C" w:rsidRDefault="004A117C" w:rsidP="004A117C">
      <w:pPr>
        <w:jc w:val="both"/>
        <w:rPr>
          <w:rFonts w:eastAsia="Calibri"/>
          <w:b/>
        </w:rPr>
      </w:pPr>
    </w:p>
    <w:p w14:paraId="1D962596" w14:textId="77777777" w:rsidR="004A117C" w:rsidRPr="00D8247C" w:rsidRDefault="004A117C" w:rsidP="004A117C">
      <w:pPr>
        <w:jc w:val="both"/>
        <w:rPr>
          <w:rFonts w:eastAsia="Calibri"/>
          <w:bCs/>
        </w:rPr>
      </w:pPr>
      <w:r w:rsidRPr="00D8247C">
        <w:rPr>
          <w:rFonts w:eastAsia="Calibri"/>
          <w:bCs/>
        </w:rPr>
        <w:t xml:space="preserve">Predkladateľ na základe odpovedí na uvedené otázky vyberie, aký vplyv má predkladaný materiál na </w:t>
      </w:r>
      <w:r w:rsidRPr="00D8247C">
        <w:rPr>
          <w:rFonts w:eastAsia="Calibri"/>
          <w:b/>
          <w:bCs/>
        </w:rPr>
        <w:t xml:space="preserve">konkurencieschopnosť </w:t>
      </w:r>
      <w:r w:rsidRPr="00D8247C">
        <w:rPr>
          <w:rFonts w:eastAsia="Calibri"/>
          <w:bCs/>
        </w:rPr>
        <w:t>(zvyšuje, nemení, znižuje konkurencieschopnosť) a napíše zdôvodnenie obsahujúce zároveň aj odpovede na otázky uvedené v texte.</w:t>
      </w:r>
    </w:p>
    <w:p w14:paraId="242CAC62" w14:textId="77777777" w:rsidR="004A117C" w:rsidRPr="00D8247C" w:rsidRDefault="004A117C" w:rsidP="004A117C">
      <w:pPr>
        <w:jc w:val="both"/>
        <w:rPr>
          <w:rFonts w:eastAsia="Calibri"/>
          <w:bCs/>
        </w:rPr>
      </w:pPr>
    </w:p>
    <w:p w14:paraId="60DDEA9D" w14:textId="77777777" w:rsidR="004A117C" w:rsidRPr="00D8247C" w:rsidRDefault="004A117C" w:rsidP="004A117C">
      <w:pPr>
        <w:jc w:val="both"/>
        <w:rPr>
          <w:rFonts w:eastAsia="Calibri"/>
        </w:rPr>
      </w:pPr>
      <w:r w:rsidRPr="00D8247C">
        <w:rPr>
          <w:rFonts w:eastAsia="Calibri"/>
          <w:bCs/>
        </w:rPr>
        <w:t>V princípe existujú tri možnosti, ako môžu regulácie ovplyvniť fungovanie podnikateľských subjektov na trhu</w:t>
      </w:r>
      <w:r w:rsidRPr="00D8247C">
        <w:rPr>
          <w:rFonts w:eastAsia="Calibri"/>
        </w:rPr>
        <w:t>:</w:t>
      </w:r>
    </w:p>
    <w:p w14:paraId="3C7E8006" w14:textId="77777777" w:rsidR="004A117C" w:rsidRPr="00D8247C" w:rsidRDefault="004A117C" w:rsidP="004A117C">
      <w:pPr>
        <w:spacing w:after="120"/>
        <w:ind w:left="340" w:hanging="340"/>
        <w:jc w:val="both"/>
        <w:rPr>
          <w:rFonts w:eastAsia="Calibri"/>
        </w:rPr>
      </w:pPr>
      <w:r w:rsidRPr="00D8247C">
        <w:rPr>
          <w:rFonts w:eastAsia="Calibri"/>
        </w:rPr>
        <w:t>a)</w:t>
      </w:r>
      <w:r w:rsidRPr="00D8247C">
        <w:rPr>
          <w:rFonts w:eastAsia="Calibri"/>
        </w:rPr>
        <w:tab/>
      </w:r>
      <w:r w:rsidRPr="00D8247C">
        <w:rPr>
          <w:rFonts w:eastAsia="Calibri"/>
          <w:i/>
        </w:rPr>
        <w:t>stanovením resp. zmenou podmienok pre vstup na trh a začatie podnikania</w:t>
      </w:r>
      <w:r w:rsidRPr="00D8247C">
        <w:rPr>
          <w:rFonts w:eastAsia="Calibri"/>
        </w:rPr>
        <w:t xml:space="preserve"> – napríklad problém s otvorením prevádzkarne, vysoké vstupné náklady, náročné administratívne procedúry a pod.,</w:t>
      </w:r>
    </w:p>
    <w:p w14:paraId="5C022ABD" w14:textId="77777777" w:rsidR="004A117C" w:rsidRPr="00D8247C" w:rsidRDefault="004A117C" w:rsidP="004A117C">
      <w:pPr>
        <w:spacing w:after="120"/>
        <w:ind w:left="340" w:hanging="340"/>
        <w:jc w:val="both"/>
        <w:rPr>
          <w:rFonts w:eastAsia="Calibri"/>
        </w:rPr>
      </w:pPr>
      <w:r w:rsidRPr="00D8247C">
        <w:rPr>
          <w:rFonts w:eastAsia="Calibri"/>
        </w:rPr>
        <w:t>b)</w:t>
      </w:r>
      <w:r w:rsidRPr="00D8247C">
        <w:rPr>
          <w:rFonts w:eastAsia="Calibri"/>
        </w:rPr>
        <w:tab/>
      </w:r>
      <w:r w:rsidRPr="00D8247C">
        <w:rPr>
          <w:rFonts w:eastAsia="Calibri"/>
          <w:i/>
        </w:rPr>
        <w:t>stanovením resp. zmenou podmienok pre správanie sa na trhu</w:t>
      </w:r>
      <w:r w:rsidRPr="00D8247C">
        <w:rPr>
          <w:rFonts w:eastAsia="Calibri"/>
        </w:rPr>
        <w:t xml:space="preserve"> – nové povinnosti a požiadavky pre existujúcich podnikateľov môžu znamenať obmedzenie rozsahu podnikania pre podnikateľské subjekty, čo im môže spôsobovať ťažkosti pri profilovaní sa na trhu alebo až stratu istého segmentu trhu,</w:t>
      </w:r>
    </w:p>
    <w:p w14:paraId="5A2E7637" w14:textId="77777777" w:rsidR="004A117C" w:rsidRPr="00D8247C" w:rsidRDefault="004A117C" w:rsidP="004A117C">
      <w:pPr>
        <w:spacing w:after="120"/>
        <w:ind w:left="340" w:hanging="340"/>
        <w:jc w:val="both"/>
        <w:rPr>
          <w:rFonts w:eastAsia="Calibri"/>
        </w:rPr>
      </w:pPr>
      <w:r w:rsidRPr="00D8247C">
        <w:rPr>
          <w:rFonts w:eastAsia="Calibri"/>
        </w:rPr>
        <w:t>c)</w:t>
      </w:r>
      <w:r w:rsidRPr="00D8247C">
        <w:rPr>
          <w:rFonts w:eastAsia="Calibri"/>
        </w:rPr>
        <w:tab/>
      </w:r>
      <w:r w:rsidRPr="00D8247C">
        <w:rPr>
          <w:rFonts w:eastAsia="Calibri"/>
          <w:i/>
        </w:rPr>
        <w:t>stanovením resp. zmenou podmienok, ktoré vedú k zmenám v štruktúre trhu</w:t>
      </w:r>
      <w:r w:rsidRPr="00D8247C">
        <w:rPr>
          <w:rFonts w:eastAsia="Calibri"/>
        </w:rPr>
        <w:t xml:space="preserve"> – spravidla ide o také opatrenia, ktoré postihujú iba veľké podnikateľské subjekty.</w:t>
      </w:r>
    </w:p>
    <w:p w14:paraId="437A08DA" w14:textId="77777777" w:rsidR="004A117C" w:rsidRPr="00D8247C" w:rsidRDefault="004A117C" w:rsidP="004A117C">
      <w:pPr>
        <w:jc w:val="both"/>
        <w:rPr>
          <w:rFonts w:eastAsia="Calibri"/>
          <w:bCs/>
        </w:rPr>
      </w:pPr>
      <w:r w:rsidRPr="00D8247C">
        <w:rPr>
          <w:rFonts w:eastAsia="Calibri"/>
          <w:bCs/>
        </w:rPr>
        <w:t>Predkladateľ v tejto časti  preto uvedie, či dochádza k vytvoreniu resp. zmene bariér pre vstup na trh pre nových výrobcov, dodávateľov, poskytovateľov či odberateľov tovarov alebo služieb</w:t>
      </w:r>
      <w:r w:rsidRPr="00D8247C">
        <w:rPr>
          <w:rFonts w:ascii="Calibri" w:eastAsia="Calibri" w:hAnsi="Calibri"/>
        </w:rPr>
        <w:t xml:space="preserve"> </w:t>
      </w:r>
      <w:r w:rsidRPr="00D8247C">
        <w:rPr>
          <w:rFonts w:eastAsia="Calibri"/>
          <w:bCs/>
        </w:rPr>
        <w:t xml:space="preserve">a či dôjde k sprísneniu regulácie správania sa pre niektoré podniky. </w:t>
      </w:r>
    </w:p>
    <w:p w14:paraId="3BB26A1D" w14:textId="77777777" w:rsidR="004A117C" w:rsidRPr="00D8247C" w:rsidRDefault="004A117C" w:rsidP="004A117C">
      <w:pPr>
        <w:jc w:val="both"/>
        <w:rPr>
          <w:rFonts w:eastAsia="Calibri"/>
        </w:rPr>
      </w:pPr>
      <w:r w:rsidRPr="00D8247C">
        <w:rPr>
          <w:rFonts w:eastAsia="Calibri"/>
        </w:rPr>
        <w:t>Predkladateľ opíše tiež situácie, kedy sa bude zaobchádzať s niektorými podnikmi alebo produktmi v porovnateľnej situácii rôzne</w:t>
      </w:r>
      <w:r w:rsidRPr="00D8247C">
        <w:rPr>
          <w:rFonts w:eastAsia="Calibri"/>
          <w:i/>
        </w:rPr>
        <w:t xml:space="preserve"> </w:t>
      </w:r>
      <w:r w:rsidRPr="00D8247C">
        <w:rPr>
          <w:rFonts w:eastAsia="Calibri"/>
        </w:rPr>
        <w:t>(napríklad špeciálne režimy pre MSP alebo vytvorenie povinného produktu zo zákona).</w:t>
      </w:r>
    </w:p>
    <w:p w14:paraId="469DA8FC" w14:textId="77777777" w:rsidR="004A117C" w:rsidRPr="00D8247C" w:rsidRDefault="004A117C" w:rsidP="004A117C">
      <w:pPr>
        <w:jc w:val="both"/>
        <w:rPr>
          <w:rFonts w:eastAsia="Calibri"/>
        </w:rPr>
      </w:pPr>
      <w:r w:rsidRPr="00D8247C">
        <w:rPr>
          <w:rFonts w:eastAsia="Calibri"/>
        </w:rPr>
        <w:t>Predkladateľ opíše, či a aký vplyv má návrh na prekážky pri vývoze alebo dovoze z tretích krajín a či ovplyvní cezhraničné investície (príliv/odliv zahraničných investícií resp. uplatnenie slovenských podnikov na zahraničných trhoch).</w:t>
      </w:r>
    </w:p>
    <w:p w14:paraId="2968AC35" w14:textId="77777777" w:rsidR="004A117C" w:rsidRPr="00D8247C" w:rsidRDefault="004A117C" w:rsidP="004A117C">
      <w:pPr>
        <w:jc w:val="both"/>
        <w:rPr>
          <w:rFonts w:eastAsia="Calibri"/>
        </w:rPr>
      </w:pPr>
      <w:r w:rsidRPr="00D8247C">
        <w:rPr>
          <w:rFonts w:eastAsia="Calibri"/>
        </w:rPr>
        <w:t xml:space="preserve">Predkladateľ zároveň posúdi  priame aj nepriame vplyvy so zameraním na dostupnosť zdrojov financovania, pracovnej sily, surovín, polotovarov, súčiastok, strojov a zariadení, energií a pod. Z hľadiska prístupu k financiám uvedie, či sa vytvárajú nové možnosti financovania aktivít pre podnikateľov, napríklad vo forme dotácií, úverov, alebo zjednodušuje prístup k existujúcim nástrojom financovania. </w:t>
      </w:r>
    </w:p>
    <w:p w14:paraId="2FA32CDF" w14:textId="77777777" w:rsidR="004A117C" w:rsidRPr="00D8247C" w:rsidRDefault="004A117C" w:rsidP="004A117C">
      <w:pPr>
        <w:jc w:val="both"/>
        <w:rPr>
          <w:rFonts w:eastAsia="Calibri"/>
        </w:rPr>
      </w:pPr>
      <w:r w:rsidRPr="00D8247C">
        <w:rPr>
          <w:rFonts w:eastAsia="Calibri"/>
          <w:iCs/>
        </w:rPr>
        <w:t xml:space="preserve">Predkladateľ na záver tejto časti uvedie, či a ako prispieva zmena regulácie k cieľu Slovenska mať najlepšie podnikateľské prostredie spomedzi susediacich krajín EÚ. Jedným z cieľov zmien regulácie je, aby sa Slovensko stalo najkonkurencieschopnejšou krajinou v regióne a to hlavne v porovnaní so susednými krajinami EÚ (Rakúsko, Česká republika, Poľsko, Maďarsko). Z tohto dôvodu odporúčame predkladateľom zaoberať sa nastavením regulácií v susedných krajinách a navrhovať ich zmeny tak, aby sme ich vo vzťahu k podnikateľskému prostrediu mali lepšie ako susedné štáty. V prípade, že predkladateľ vie o lepšom nastavení regulácie v niektorej </w:t>
      </w:r>
      <w:r>
        <w:rPr>
          <w:rFonts w:eastAsia="Calibri"/>
          <w:iCs/>
        </w:rPr>
        <w:t>z</w:t>
      </w:r>
      <w:r w:rsidRPr="00D8247C">
        <w:rPr>
          <w:rFonts w:eastAsia="Calibri"/>
          <w:iCs/>
        </w:rPr>
        <w:t>o susedných krajín, tak to popíše v tejto časti.</w:t>
      </w:r>
    </w:p>
    <w:p w14:paraId="21FD22A8" w14:textId="77777777" w:rsidR="004A117C" w:rsidRPr="00D8247C" w:rsidRDefault="004A117C" w:rsidP="004A117C">
      <w:pPr>
        <w:jc w:val="both"/>
        <w:rPr>
          <w:rFonts w:eastAsia="Calibri"/>
          <w:b/>
        </w:rPr>
      </w:pPr>
      <w:r w:rsidRPr="00D8247C">
        <w:rPr>
          <w:rFonts w:eastAsia="Calibri"/>
          <w:b/>
        </w:rPr>
        <w:t xml:space="preserve">Produktivita </w:t>
      </w:r>
    </w:p>
    <w:p w14:paraId="072750FD" w14:textId="77777777" w:rsidR="004A117C" w:rsidRPr="00D8247C" w:rsidRDefault="004A117C" w:rsidP="004A117C">
      <w:pPr>
        <w:jc w:val="both"/>
        <w:rPr>
          <w:rFonts w:eastAsia="Calibri"/>
        </w:rPr>
      </w:pPr>
      <w:r w:rsidRPr="00D8247C">
        <w:rPr>
          <w:rFonts w:eastAsia="Calibri"/>
        </w:rPr>
        <w:t xml:space="preserve">Predkladateľ na základe odpovede na uvedenú otázku vyberie, aký vplyv má predkladaný materiál na produktivitu (zvyšuje, nemení, znižuje produktivitu) a napíše zdôvodnenie. Produktivita predstavuje pomer medzi vyprodukovaným množstvom a vstupmi použitými pri výrobe vo finančnom vyjadrení. Zvýšiť ju je možné takou zmenou regulácií, ktorá zníži podnikom náklady alebo umožní produkovať viac pri nezmenených nákladoch alebo kombinovaným spôsobom prispieva k zlepšeniu pomeru medzi produkciou a nákladmi podnikov. </w:t>
      </w:r>
    </w:p>
    <w:p w14:paraId="0A5AB81B" w14:textId="77777777" w:rsidR="004A117C" w:rsidRPr="00D8247C" w:rsidRDefault="004A117C" w:rsidP="004A117C">
      <w:pPr>
        <w:jc w:val="both"/>
        <w:rPr>
          <w:rFonts w:eastAsia="Calibri"/>
          <w:i/>
        </w:rPr>
      </w:pPr>
      <w:r w:rsidRPr="00D8247C">
        <w:rPr>
          <w:rFonts w:eastAsia="Calibri"/>
          <w:bCs/>
          <w:i/>
        </w:rPr>
        <w:lastRenderedPageBreak/>
        <w:t xml:space="preserve">Napríklad: Ak ide o zmenu regulácie, ktorá znižuje náklady podnikateľom a nemá negatívny vplyv na veľkosť produkcie, tak dochádza k zvýšeniu produktivity. Ak ide o zmenu regulácie, ktorá zvyšuje náklady podnikateľom a nemá iný väčší pozitívny vplyv na zvýšenie produkcie, tak dochádza k zníženiu produktivity. Ak sa zmenou regulácie zavedie povinná elektronizácia niektorého z procesov, ale na druhej strane sa tým vo väčšej miere zvýši produkcia podnikov, tak dochádza k zvýšeniu produktivity. </w:t>
      </w:r>
    </w:p>
    <w:p w14:paraId="55558E24" w14:textId="77777777" w:rsidR="004A117C" w:rsidRPr="00D8247C" w:rsidRDefault="004A117C" w:rsidP="004A117C">
      <w:pPr>
        <w:jc w:val="both"/>
        <w:rPr>
          <w:rFonts w:eastAsia="Calibri"/>
          <w:i/>
        </w:rPr>
      </w:pPr>
    </w:p>
    <w:p w14:paraId="4E3AECF8" w14:textId="77777777" w:rsidR="004A117C" w:rsidRPr="00D8247C" w:rsidRDefault="004A117C" w:rsidP="004A117C">
      <w:pPr>
        <w:pBdr>
          <w:top w:val="single" w:sz="4" w:space="1" w:color="auto"/>
          <w:left w:val="single" w:sz="4" w:space="4" w:color="auto"/>
          <w:bottom w:val="single" w:sz="4" w:space="1" w:color="auto"/>
          <w:right w:val="single" w:sz="4" w:space="4" w:color="auto"/>
        </w:pBdr>
        <w:jc w:val="both"/>
        <w:rPr>
          <w:rFonts w:eastAsia="Calibri"/>
          <w:b/>
        </w:rPr>
      </w:pPr>
      <w:r w:rsidRPr="00D8247C">
        <w:rPr>
          <w:rFonts w:eastAsia="Calibri"/>
          <w:b/>
        </w:rPr>
        <w:t>3.4  Iné vplyvy na podnikateľské prostredie</w:t>
      </w:r>
    </w:p>
    <w:p w14:paraId="45A1C388" w14:textId="77777777" w:rsidR="004A117C" w:rsidRPr="00D8247C" w:rsidRDefault="004A117C" w:rsidP="004A117C">
      <w:pPr>
        <w:jc w:val="both"/>
        <w:rPr>
          <w:rFonts w:eastAsia="Calibri"/>
          <w:iCs/>
        </w:rPr>
      </w:pPr>
    </w:p>
    <w:p w14:paraId="69D6FF49" w14:textId="77777777" w:rsidR="004A117C" w:rsidRDefault="004A117C" w:rsidP="004A117C">
      <w:pPr>
        <w:jc w:val="both"/>
        <w:rPr>
          <w:rFonts w:eastAsia="Calibri"/>
          <w:iCs/>
        </w:rPr>
      </w:pPr>
      <w:r>
        <w:rPr>
          <w:rFonts w:eastAsia="Calibri"/>
          <w:iCs/>
        </w:rPr>
        <w:t>Predkladateľ do tejto časti uvedie a popíše nasledovné informácie:</w:t>
      </w:r>
    </w:p>
    <w:p w14:paraId="780C8D46" w14:textId="77777777" w:rsidR="004A117C" w:rsidRPr="001D1083" w:rsidRDefault="004A117C" w:rsidP="004A117C">
      <w:pPr>
        <w:numPr>
          <w:ilvl w:val="0"/>
          <w:numId w:val="6"/>
        </w:numPr>
        <w:spacing w:line="256" w:lineRule="auto"/>
        <w:contextualSpacing/>
        <w:jc w:val="both"/>
        <w:rPr>
          <w:rFonts w:eastAsia="Calibri"/>
          <w:bCs/>
          <w:iCs/>
        </w:rPr>
      </w:pPr>
      <w:r w:rsidRPr="001D1083">
        <w:rPr>
          <w:rFonts w:eastAsia="Calibri"/>
          <w:bCs/>
          <w:iCs/>
        </w:rPr>
        <w:t xml:space="preserve">Pri </w:t>
      </w:r>
      <w:r w:rsidRPr="001D1083">
        <w:rPr>
          <w:rFonts w:eastAsia="Calibri"/>
          <w:b/>
          <w:iCs/>
        </w:rPr>
        <w:t>sankciách a pokutách</w:t>
      </w:r>
      <w:r w:rsidRPr="001D1083">
        <w:rPr>
          <w:rFonts w:eastAsia="Calibri"/>
          <w:bCs/>
          <w:iCs/>
        </w:rPr>
        <w:t xml:space="preserve"> uveďte tie zmeny, ktoré budú mať vplyv na podnikateľské prostredie. Nie je potrebné odhadovať ich celkový ročný výber alebo inak kvantifikovať celkový ročný vplyv, dôležité je však kvalitatívne popísať vplyv ich zmeny na podnikateľské prostredie. </w:t>
      </w:r>
    </w:p>
    <w:p w14:paraId="1494BD01" w14:textId="77777777" w:rsidR="004A117C" w:rsidRPr="001D1083" w:rsidRDefault="004A117C" w:rsidP="004A117C">
      <w:pPr>
        <w:numPr>
          <w:ilvl w:val="0"/>
          <w:numId w:val="6"/>
        </w:numPr>
        <w:spacing w:line="256" w:lineRule="auto"/>
        <w:contextualSpacing/>
        <w:jc w:val="both"/>
        <w:rPr>
          <w:rFonts w:eastAsia="Calibri"/>
          <w:bCs/>
          <w:iCs/>
        </w:rPr>
      </w:pPr>
      <w:r w:rsidRPr="001D1083">
        <w:rPr>
          <w:rFonts w:eastAsia="Calibri"/>
          <w:bCs/>
          <w:iCs/>
        </w:rPr>
        <w:t xml:space="preserve">Pri </w:t>
      </w:r>
      <w:r w:rsidRPr="001D1083">
        <w:rPr>
          <w:rFonts w:eastAsia="Calibri"/>
          <w:b/>
          <w:iCs/>
        </w:rPr>
        <w:t>dotáciách, fondoch, štátnej pomoci a iných formách podpory</w:t>
      </w:r>
      <w:r w:rsidRPr="001D1083">
        <w:rPr>
          <w:rFonts w:eastAsia="Calibri"/>
          <w:bCs/>
          <w:iCs/>
        </w:rPr>
        <w:t xml:space="preserve"> zo strany štátu kvalitatívne popíšte pozitívne a negatívne vplyvy na podnikateľské prostredie. V prípade zmeny administratívnej náročnosti kvantifikujte vplyv</w:t>
      </w:r>
      <w:r>
        <w:rPr>
          <w:rFonts w:eastAsia="Calibri"/>
          <w:bCs/>
          <w:iCs/>
        </w:rPr>
        <w:t>y</w:t>
      </w:r>
      <w:r w:rsidRPr="001D1083">
        <w:rPr>
          <w:rFonts w:eastAsia="Calibri"/>
          <w:bCs/>
          <w:iCs/>
        </w:rPr>
        <w:t xml:space="preserve"> na modelovom príklade. </w:t>
      </w:r>
    </w:p>
    <w:p w14:paraId="29238B88" w14:textId="77777777" w:rsidR="004A117C" w:rsidRPr="001D1083" w:rsidRDefault="004A117C" w:rsidP="004A117C">
      <w:pPr>
        <w:numPr>
          <w:ilvl w:val="0"/>
          <w:numId w:val="6"/>
        </w:numPr>
        <w:spacing w:line="256" w:lineRule="auto"/>
        <w:contextualSpacing/>
        <w:jc w:val="both"/>
        <w:rPr>
          <w:rFonts w:eastAsia="Calibri"/>
          <w:bCs/>
          <w:iCs/>
        </w:rPr>
      </w:pPr>
      <w:r w:rsidRPr="001D1083">
        <w:rPr>
          <w:rFonts w:eastAsia="Calibri"/>
          <w:bCs/>
          <w:iCs/>
        </w:rPr>
        <w:t xml:space="preserve">Pri </w:t>
      </w:r>
      <w:r w:rsidRPr="001D1083">
        <w:rPr>
          <w:rFonts w:eastAsia="Calibri"/>
          <w:b/>
          <w:iCs/>
        </w:rPr>
        <w:t>regulovaných c</w:t>
      </w:r>
      <w:r>
        <w:rPr>
          <w:rFonts w:eastAsia="Calibri"/>
          <w:b/>
          <w:iCs/>
        </w:rPr>
        <w:t>enách</w:t>
      </w:r>
      <w:r w:rsidRPr="001D1083">
        <w:rPr>
          <w:rFonts w:eastAsia="Calibri"/>
          <w:bCs/>
          <w:iCs/>
        </w:rPr>
        <w:t xml:space="preserve"> odhadnite ročný finančný vplyv na podnikateľské prostredie. </w:t>
      </w:r>
    </w:p>
    <w:p w14:paraId="53ACB4C6" w14:textId="77777777" w:rsidR="004A117C" w:rsidRPr="001D1083" w:rsidRDefault="004A117C" w:rsidP="004A117C">
      <w:pPr>
        <w:numPr>
          <w:ilvl w:val="0"/>
          <w:numId w:val="6"/>
        </w:numPr>
        <w:spacing w:line="256" w:lineRule="auto"/>
        <w:contextualSpacing/>
        <w:jc w:val="both"/>
        <w:rPr>
          <w:rFonts w:eastAsia="Calibri"/>
          <w:bCs/>
          <w:iCs/>
        </w:rPr>
      </w:pPr>
      <w:r w:rsidRPr="001D1083">
        <w:rPr>
          <w:rFonts w:eastAsia="Calibri"/>
          <w:bCs/>
          <w:iCs/>
        </w:rPr>
        <w:t xml:space="preserve">Pri </w:t>
      </w:r>
      <w:r w:rsidRPr="001D1083">
        <w:rPr>
          <w:rFonts w:eastAsia="Calibri"/>
          <w:b/>
          <w:iCs/>
        </w:rPr>
        <w:t>iných vplyvoch</w:t>
      </w:r>
      <w:r w:rsidRPr="001D1083">
        <w:rPr>
          <w:rFonts w:eastAsia="Calibri"/>
          <w:bCs/>
          <w:iCs/>
        </w:rPr>
        <w:t xml:space="preserve"> využite kvalitatívne a kvantitatívne metódy tak, aby bolo zrejmé ako pozitívne a ako negatívne budú pôsobiť na podnikateľské prostredie. </w:t>
      </w:r>
    </w:p>
    <w:p w14:paraId="239FFE00" w14:textId="77777777" w:rsidR="004A117C" w:rsidRPr="00895898" w:rsidRDefault="004A117C" w:rsidP="004A117C">
      <w:pPr>
        <w:jc w:val="both"/>
        <w:rPr>
          <w:rFonts w:eastAsia="Calibri"/>
          <w:bCs/>
          <w:i/>
          <w:iCs/>
        </w:rPr>
      </w:pPr>
      <w:r w:rsidRPr="00895898">
        <w:rPr>
          <w:rFonts w:eastAsia="Calibri"/>
          <w:bCs/>
          <w:i/>
          <w:iCs/>
        </w:rPr>
        <w:t xml:space="preserve">Príklady: </w:t>
      </w:r>
    </w:p>
    <w:p w14:paraId="4BE01952" w14:textId="77777777" w:rsidR="004A117C" w:rsidRPr="00895898" w:rsidRDefault="004A117C" w:rsidP="004A117C">
      <w:pPr>
        <w:jc w:val="both"/>
        <w:rPr>
          <w:rFonts w:eastAsia="Calibri"/>
          <w:bCs/>
          <w:i/>
          <w:iCs/>
        </w:rPr>
      </w:pPr>
      <w:r w:rsidRPr="00895898">
        <w:rPr>
          <w:rFonts w:eastAsia="Calibri"/>
          <w:bCs/>
          <w:i/>
          <w:iCs/>
        </w:rPr>
        <w:t>- predĺženie lehoty na prihlásenie zamestnanca do Sociálnej poisťovne pred nástupom do zamestnania,</w:t>
      </w:r>
    </w:p>
    <w:p w14:paraId="6F383807" w14:textId="77777777" w:rsidR="004A117C" w:rsidRPr="00895898" w:rsidRDefault="004A117C" w:rsidP="004A117C">
      <w:pPr>
        <w:jc w:val="both"/>
        <w:rPr>
          <w:rFonts w:eastAsia="Calibri"/>
          <w:bCs/>
          <w:i/>
          <w:iCs/>
        </w:rPr>
      </w:pPr>
      <w:r w:rsidRPr="00895898">
        <w:rPr>
          <w:rFonts w:eastAsia="Calibri"/>
          <w:bCs/>
          <w:i/>
          <w:iCs/>
        </w:rPr>
        <w:t xml:space="preserve">- sprísnenie dôvodov pre umožnenie odkladu daňového priznania, </w:t>
      </w:r>
    </w:p>
    <w:p w14:paraId="5ACA4B32" w14:textId="77777777" w:rsidR="004A117C" w:rsidRDefault="004A117C" w:rsidP="004A117C">
      <w:pPr>
        <w:jc w:val="both"/>
        <w:rPr>
          <w:rFonts w:eastAsia="Calibri"/>
          <w:bCs/>
          <w:i/>
          <w:iCs/>
        </w:rPr>
      </w:pPr>
      <w:r w:rsidRPr="00895898">
        <w:rPr>
          <w:rFonts w:eastAsia="Calibri"/>
          <w:bCs/>
          <w:i/>
          <w:iCs/>
        </w:rPr>
        <w:t xml:space="preserve">- zmena výšky alebo mechanizmu udeľovania pokút, </w:t>
      </w:r>
    </w:p>
    <w:p w14:paraId="1DB39150" w14:textId="77777777" w:rsidR="004A117C" w:rsidRPr="00895898" w:rsidRDefault="004A117C" w:rsidP="004A117C">
      <w:pPr>
        <w:jc w:val="both"/>
        <w:rPr>
          <w:rFonts w:eastAsia="Calibri"/>
          <w:bCs/>
          <w:i/>
          <w:iCs/>
        </w:rPr>
      </w:pPr>
      <w:r>
        <w:rPr>
          <w:rFonts w:eastAsia="Calibri"/>
          <w:bCs/>
          <w:i/>
          <w:iCs/>
        </w:rPr>
        <w:t xml:space="preserve">- </w:t>
      </w:r>
      <w:r w:rsidRPr="007E24B2">
        <w:rPr>
          <w:rFonts w:eastAsia="Calibri"/>
          <w:bCs/>
          <w:i/>
          <w:iCs/>
        </w:rPr>
        <w:t xml:space="preserve">náklady znečisťovateľov vyplývajúce z povinností odstraňovania znečistenia, ktoré predstavuje </w:t>
      </w:r>
      <w:r>
        <w:rPr>
          <w:rFonts w:eastAsia="Calibri"/>
          <w:bCs/>
          <w:i/>
          <w:iCs/>
        </w:rPr>
        <w:t xml:space="preserve">  </w:t>
      </w:r>
      <w:r w:rsidRPr="007E24B2">
        <w:rPr>
          <w:rFonts w:eastAsia="Calibri"/>
          <w:bCs/>
          <w:i/>
          <w:iCs/>
        </w:rPr>
        <w:t>závažné riziko pre niektorú zložku životného prostredia, chránené časti krajiny, chránené živočíchy alebo rastliny alebo ľudské zdravie</w:t>
      </w:r>
    </w:p>
    <w:p w14:paraId="0CDA5CDE" w14:textId="77777777" w:rsidR="004A117C" w:rsidRDefault="004A117C" w:rsidP="004A117C">
      <w:pPr>
        <w:jc w:val="both"/>
        <w:rPr>
          <w:rFonts w:eastAsia="Calibri"/>
          <w:bCs/>
          <w:i/>
          <w:iCs/>
        </w:rPr>
      </w:pPr>
      <w:r w:rsidRPr="00895898">
        <w:rPr>
          <w:rFonts w:eastAsia="Calibri"/>
          <w:bCs/>
          <w:i/>
          <w:iCs/>
        </w:rPr>
        <w:t>- zabezpečenie právnej istoty</w:t>
      </w:r>
    </w:p>
    <w:p w14:paraId="302969F8" w14:textId="77777777" w:rsidR="004A117C" w:rsidRDefault="004A117C" w:rsidP="004A117C">
      <w:pPr>
        <w:jc w:val="both"/>
        <w:rPr>
          <w:rFonts w:eastAsia="Calibri"/>
          <w:bCs/>
          <w:i/>
          <w:iCs/>
        </w:rPr>
      </w:pPr>
      <w:r>
        <w:rPr>
          <w:rFonts w:eastAsia="Calibri"/>
          <w:bCs/>
          <w:i/>
          <w:iCs/>
        </w:rPr>
        <w:t>- zmeny na tlačivách a v povinných prílohách v rámci žiadostí o dotácie</w:t>
      </w:r>
    </w:p>
    <w:p w14:paraId="3FD32736" w14:textId="77777777" w:rsidR="004A117C" w:rsidRPr="00391648" w:rsidRDefault="004A117C" w:rsidP="004A117C">
      <w:pPr>
        <w:jc w:val="both"/>
        <w:rPr>
          <w:rFonts w:eastAsia="Calibri"/>
          <w:bCs/>
          <w:i/>
          <w:iCs/>
        </w:rPr>
      </w:pPr>
      <w:r>
        <w:rPr>
          <w:rFonts w:eastAsia="Calibri"/>
          <w:bCs/>
          <w:i/>
          <w:iCs/>
        </w:rPr>
        <w:t>- zmeny regulovaných cien, napríklad v oblasti telekomunikácií, energetiky, financií a iných</w:t>
      </w:r>
    </w:p>
    <w:p w14:paraId="22940D79" w14:textId="77777777" w:rsidR="004A117C" w:rsidRPr="00B043B4" w:rsidRDefault="004A117C" w:rsidP="004A117C">
      <w:pPr>
        <w:spacing w:after="200" w:line="360" w:lineRule="auto"/>
        <w:jc w:val="both"/>
        <w:rPr>
          <w:sz w:val="20"/>
          <w:szCs w:val="20"/>
          <w:lang w:eastAsia="sk-SK"/>
        </w:rPr>
      </w:pPr>
    </w:p>
    <w:p w14:paraId="24D5A00B" w14:textId="77777777" w:rsidR="004A117C" w:rsidRDefault="004A117C" w:rsidP="004A117C"/>
    <w:p w14:paraId="766B2B82" w14:textId="2EFCDEE0" w:rsidR="004A117C" w:rsidRDefault="004A117C">
      <w:pPr>
        <w:spacing w:after="160" w:line="259" w:lineRule="auto"/>
      </w:pPr>
      <w:r>
        <w:br w:type="page"/>
      </w:r>
    </w:p>
    <w:p w14:paraId="5BD56A19" w14:textId="77777777" w:rsidR="004A117C" w:rsidRPr="00FA63B4" w:rsidRDefault="004A117C" w:rsidP="004A117C">
      <w:pPr>
        <w:jc w:val="center"/>
        <w:rPr>
          <w:b/>
          <w:bCs/>
          <w:color w:val="000000"/>
          <w:lang w:eastAsia="sk-SK"/>
        </w:rPr>
      </w:pPr>
      <w:r w:rsidRPr="00FA63B4">
        <w:rPr>
          <w:b/>
          <w:bCs/>
          <w:color w:val="000000"/>
          <w:lang w:eastAsia="sk-SK"/>
        </w:rPr>
        <w:lastRenderedPageBreak/>
        <w:t>DOLOŽKA ZLUČITEĽNOSTI</w:t>
      </w:r>
    </w:p>
    <w:p w14:paraId="255432FA" w14:textId="77777777" w:rsidR="004A117C" w:rsidRPr="00FA63B4" w:rsidRDefault="004A117C" w:rsidP="004A117C">
      <w:pPr>
        <w:jc w:val="center"/>
        <w:rPr>
          <w:b/>
          <w:bCs/>
          <w:color w:val="000000"/>
          <w:lang w:eastAsia="sk-SK"/>
        </w:rPr>
      </w:pPr>
      <w:r w:rsidRPr="00FA63B4">
        <w:rPr>
          <w:b/>
          <w:bCs/>
          <w:color w:val="000000"/>
          <w:lang w:eastAsia="sk-SK"/>
        </w:rPr>
        <w:t xml:space="preserve">návrhu zákona </w:t>
      </w:r>
    </w:p>
    <w:p w14:paraId="2A3457E5" w14:textId="77777777" w:rsidR="004A117C" w:rsidRPr="00FA63B4" w:rsidRDefault="004A117C" w:rsidP="004A117C">
      <w:pPr>
        <w:pBdr>
          <w:bottom w:val="single" w:sz="12" w:space="1" w:color="auto"/>
        </w:pBdr>
        <w:jc w:val="center"/>
        <w:rPr>
          <w:b/>
          <w:bCs/>
          <w:color w:val="000000"/>
          <w:lang w:eastAsia="sk-SK"/>
        </w:rPr>
      </w:pPr>
      <w:r w:rsidRPr="00FA63B4">
        <w:rPr>
          <w:b/>
          <w:bCs/>
          <w:color w:val="000000"/>
          <w:lang w:eastAsia="sk-SK"/>
        </w:rPr>
        <w:t>s právom Európskej únie</w:t>
      </w:r>
    </w:p>
    <w:p w14:paraId="351CB313" w14:textId="77777777" w:rsidR="004A117C" w:rsidRPr="00FA63B4" w:rsidRDefault="004A117C" w:rsidP="004A117C">
      <w:pPr>
        <w:rPr>
          <w:color w:val="000000"/>
          <w:sz w:val="27"/>
          <w:szCs w:val="27"/>
          <w:lang w:eastAsia="sk-SK"/>
        </w:rPr>
      </w:pPr>
    </w:p>
    <w:p w14:paraId="290EB34D" w14:textId="77777777" w:rsidR="004A117C" w:rsidRPr="00FA63B4" w:rsidRDefault="004A117C" w:rsidP="004A117C">
      <w:pPr>
        <w:rPr>
          <w:color w:val="000000"/>
          <w:sz w:val="27"/>
          <w:szCs w:val="27"/>
          <w:lang w:eastAsia="sk-SK"/>
        </w:rPr>
      </w:pPr>
    </w:p>
    <w:p w14:paraId="34014AD1" w14:textId="77777777" w:rsidR="004A117C" w:rsidRPr="00FA63B4" w:rsidRDefault="004A117C" w:rsidP="004A117C">
      <w:pPr>
        <w:pStyle w:val="Odsekzoznamu"/>
        <w:numPr>
          <w:ilvl w:val="0"/>
          <w:numId w:val="7"/>
        </w:numPr>
        <w:spacing w:after="0" w:line="240" w:lineRule="auto"/>
        <w:ind w:left="426" w:hanging="426"/>
        <w:rPr>
          <w:rFonts w:ascii="Times New Roman" w:eastAsia="Times New Roman" w:hAnsi="Times New Roman" w:cs="Times New Roman"/>
          <w:color w:val="000000"/>
          <w:sz w:val="27"/>
          <w:szCs w:val="27"/>
          <w:lang w:eastAsia="sk-SK"/>
        </w:rPr>
      </w:pPr>
      <w:r w:rsidRPr="00FA63B4">
        <w:rPr>
          <w:rFonts w:ascii="Times New Roman" w:eastAsia="Times New Roman" w:hAnsi="Times New Roman" w:cs="Times New Roman"/>
          <w:b/>
          <w:bCs/>
          <w:color w:val="000000"/>
          <w:sz w:val="24"/>
          <w:szCs w:val="24"/>
          <w:lang w:eastAsia="sk-SK"/>
        </w:rPr>
        <w:t>Navrhovateľ zákona:</w:t>
      </w:r>
    </w:p>
    <w:p w14:paraId="30A01675" w14:textId="77777777" w:rsidR="004A117C" w:rsidRPr="00FA63B4" w:rsidRDefault="004A117C" w:rsidP="004A117C">
      <w:pPr>
        <w:rPr>
          <w:color w:val="000000"/>
          <w:lang w:eastAsia="sk-SK"/>
        </w:rPr>
      </w:pPr>
      <w:r w:rsidRPr="00FA63B4">
        <w:rPr>
          <w:color w:val="000000"/>
          <w:lang w:eastAsia="sk-SK"/>
        </w:rPr>
        <w:t>Vláda Slovenskej republiky.</w:t>
      </w:r>
    </w:p>
    <w:p w14:paraId="088A5AE0" w14:textId="77777777" w:rsidR="004A117C" w:rsidRPr="00FA63B4" w:rsidRDefault="004A117C" w:rsidP="004A117C">
      <w:pPr>
        <w:rPr>
          <w:color w:val="000000"/>
          <w:sz w:val="27"/>
          <w:szCs w:val="27"/>
          <w:lang w:eastAsia="sk-SK"/>
        </w:rPr>
      </w:pPr>
    </w:p>
    <w:p w14:paraId="3ECD0B15" w14:textId="77777777" w:rsidR="004A117C" w:rsidRPr="00FA63B4" w:rsidRDefault="004A117C" w:rsidP="004A117C">
      <w:pPr>
        <w:pStyle w:val="Odsekzoznamu"/>
        <w:numPr>
          <w:ilvl w:val="0"/>
          <w:numId w:val="7"/>
        </w:numPr>
        <w:spacing w:after="0" w:line="240" w:lineRule="auto"/>
        <w:ind w:left="426" w:hanging="426"/>
        <w:rPr>
          <w:rFonts w:ascii="Times New Roman" w:eastAsia="Times New Roman" w:hAnsi="Times New Roman" w:cs="Times New Roman"/>
          <w:color w:val="000000"/>
          <w:sz w:val="27"/>
          <w:szCs w:val="27"/>
          <w:lang w:eastAsia="sk-SK"/>
        </w:rPr>
      </w:pPr>
      <w:r w:rsidRPr="00FA63B4">
        <w:rPr>
          <w:rFonts w:ascii="Times New Roman" w:eastAsia="Times New Roman" w:hAnsi="Times New Roman" w:cs="Times New Roman"/>
          <w:b/>
          <w:bCs/>
          <w:color w:val="000000"/>
          <w:sz w:val="24"/>
          <w:szCs w:val="24"/>
          <w:lang w:eastAsia="sk-SK"/>
        </w:rPr>
        <w:t>Názov návrhu zákona:</w:t>
      </w:r>
    </w:p>
    <w:p w14:paraId="5B2EF7F3" w14:textId="77777777" w:rsidR="004A117C" w:rsidRPr="00FA63B4" w:rsidRDefault="004A117C" w:rsidP="004A117C">
      <w:pPr>
        <w:jc w:val="both"/>
        <w:rPr>
          <w:color w:val="000000"/>
          <w:lang w:eastAsia="sk-SK"/>
        </w:rPr>
      </w:pPr>
      <w:r w:rsidRPr="00FA63B4">
        <w:rPr>
          <w:color w:val="000000"/>
          <w:lang w:eastAsia="sk-SK"/>
        </w:rPr>
        <w:t>Návrh</w:t>
      </w:r>
      <w:r w:rsidRPr="00FA63B4">
        <w:rPr>
          <w:color w:val="000000"/>
          <w:spacing w:val="51"/>
          <w:lang w:eastAsia="sk-SK"/>
        </w:rPr>
        <w:t xml:space="preserve"> </w:t>
      </w:r>
      <w:r w:rsidRPr="00FA63B4">
        <w:rPr>
          <w:color w:val="000000"/>
          <w:lang w:eastAsia="sk-SK"/>
        </w:rPr>
        <w:t>zákona,</w:t>
      </w:r>
      <w:r w:rsidRPr="00FA63B4">
        <w:rPr>
          <w:color w:val="000000"/>
          <w:spacing w:val="51"/>
          <w:lang w:eastAsia="sk-SK"/>
        </w:rPr>
        <w:t xml:space="preserve"> </w:t>
      </w:r>
      <w:r w:rsidRPr="00FA63B4">
        <w:rPr>
          <w:color w:val="000000"/>
          <w:lang w:eastAsia="sk-SK"/>
        </w:rPr>
        <w:t>ktorým sa mení a dopĺňa zákon č. 371/2014 Z. z. o riešení krízových situácií na finančnom trhu a o zmene a doplnení niektorých zákonov v znení neskorších predpisov a ktorým sa menia a dopĺňajú niektoré zákony.</w:t>
      </w:r>
    </w:p>
    <w:p w14:paraId="33EAFE85" w14:textId="77777777" w:rsidR="004A117C" w:rsidRPr="00FA63B4" w:rsidRDefault="004A117C" w:rsidP="004A117C">
      <w:pPr>
        <w:jc w:val="both"/>
        <w:rPr>
          <w:color w:val="000000"/>
          <w:sz w:val="27"/>
          <w:szCs w:val="27"/>
          <w:lang w:eastAsia="sk-SK"/>
        </w:rPr>
      </w:pPr>
    </w:p>
    <w:p w14:paraId="5932F49B" w14:textId="77777777" w:rsidR="004A117C" w:rsidRPr="00FA63B4" w:rsidRDefault="004A117C" w:rsidP="004A117C">
      <w:pPr>
        <w:pStyle w:val="Odsekzoznamu"/>
        <w:numPr>
          <w:ilvl w:val="0"/>
          <w:numId w:val="7"/>
        </w:numPr>
        <w:spacing w:after="0" w:line="240" w:lineRule="auto"/>
        <w:ind w:left="426" w:hanging="426"/>
        <w:rPr>
          <w:rFonts w:ascii="Times New Roman" w:eastAsia="Times New Roman" w:hAnsi="Times New Roman" w:cs="Times New Roman"/>
          <w:color w:val="000000"/>
          <w:sz w:val="27"/>
          <w:szCs w:val="27"/>
          <w:lang w:eastAsia="sk-SK"/>
        </w:rPr>
      </w:pPr>
      <w:r w:rsidRPr="00FA63B4">
        <w:rPr>
          <w:rFonts w:ascii="Times New Roman" w:eastAsia="Times New Roman" w:hAnsi="Times New Roman" w:cs="Times New Roman"/>
          <w:b/>
          <w:bCs/>
          <w:color w:val="000000"/>
          <w:sz w:val="24"/>
          <w:szCs w:val="24"/>
          <w:lang w:eastAsia="sk-SK"/>
        </w:rPr>
        <w:t>Predmet návrhu zákona je upravený v práve Európskej únie:</w:t>
      </w:r>
    </w:p>
    <w:p w14:paraId="12DEB24E" w14:textId="77777777" w:rsidR="004A117C" w:rsidRPr="00FA63B4" w:rsidRDefault="004A117C" w:rsidP="004A117C">
      <w:pPr>
        <w:pStyle w:val="Odsekzoznamu"/>
        <w:numPr>
          <w:ilvl w:val="0"/>
          <w:numId w:val="8"/>
        </w:numPr>
        <w:spacing w:after="0" w:line="240" w:lineRule="auto"/>
        <w:rPr>
          <w:rFonts w:ascii="Times New Roman" w:eastAsia="Times New Roman" w:hAnsi="Times New Roman" w:cs="Times New Roman"/>
          <w:color w:val="000000"/>
          <w:sz w:val="24"/>
          <w:szCs w:val="24"/>
          <w:lang w:eastAsia="sk-SK"/>
        </w:rPr>
      </w:pPr>
      <w:r w:rsidRPr="00FA63B4">
        <w:rPr>
          <w:rFonts w:ascii="Times New Roman" w:eastAsia="Times New Roman" w:hAnsi="Times New Roman" w:cs="Times New Roman"/>
          <w:color w:val="000000"/>
          <w:sz w:val="24"/>
          <w:szCs w:val="24"/>
          <w:lang w:eastAsia="sk-SK"/>
        </w:rPr>
        <w:t>v primárnom práve</w:t>
      </w:r>
    </w:p>
    <w:p w14:paraId="046B2591" w14:textId="77777777" w:rsidR="004A117C" w:rsidRPr="00FA63B4" w:rsidRDefault="004A117C" w:rsidP="004A117C">
      <w:pPr>
        <w:pStyle w:val="Odsekzoznamu"/>
        <w:numPr>
          <w:ilvl w:val="0"/>
          <w:numId w:val="9"/>
        </w:numPr>
        <w:spacing w:after="0" w:line="240" w:lineRule="auto"/>
        <w:jc w:val="both"/>
        <w:rPr>
          <w:rFonts w:ascii="Times New Roman" w:eastAsia="Times New Roman" w:hAnsi="Times New Roman" w:cs="Times New Roman"/>
          <w:color w:val="000000"/>
          <w:sz w:val="24"/>
          <w:szCs w:val="24"/>
          <w:lang w:eastAsia="sk-SK"/>
        </w:rPr>
      </w:pPr>
      <w:r w:rsidRPr="00FA63B4">
        <w:rPr>
          <w:rFonts w:ascii="Times New Roman" w:eastAsia="Times New Roman" w:hAnsi="Times New Roman" w:cs="Times New Roman"/>
          <w:color w:val="000000"/>
          <w:sz w:val="24"/>
          <w:szCs w:val="24"/>
          <w:lang w:eastAsia="sk-SK"/>
        </w:rPr>
        <w:t>čl. 3 ods. 1 písm. b), čl. 4, čl. 26 ods. 2, čl. 54 až 66 Zmluvy o fungovaní Európskej únie</w:t>
      </w:r>
      <w:r w:rsidRPr="00FA63B4">
        <w:rPr>
          <w:rFonts w:ascii="Times New Roman" w:hAnsi="Times New Roman" w:cs="Times New Roman"/>
          <w:sz w:val="24"/>
          <w:szCs w:val="24"/>
        </w:rPr>
        <w:t xml:space="preserve"> (Ú. v. EÚ C 202, 7.6. 2016) v platnom znení,</w:t>
      </w:r>
    </w:p>
    <w:p w14:paraId="1D8CED3E" w14:textId="77777777" w:rsidR="004A117C" w:rsidRPr="00FA63B4" w:rsidRDefault="004A117C" w:rsidP="004A117C">
      <w:pPr>
        <w:rPr>
          <w:b/>
          <w:bCs/>
          <w:i/>
          <w:iCs/>
          <w:color w:val="000000"/>
          <w:lang w:eastAsia="sk-SK"/>
        </w:rPr>
      </w:pPr>
    </w:p>
    <w:p w14:paraId="42761487" w14:textId="77777777" w:rsidR="004A117C" w:rsidRPr="00FA63B4" w:rsidRDefault="004A117C" w:rsidP="004A117C">
      <w:pPr>
        <w:pStyle w:val="Odsekzoznamu"/>
        <w:numPr>
          <w:ilvl w:val="0"/>
          <w:numId w:val="8"/>
        </w:numPr>
        <w:spacing w:after="0" w:line="240" w:lineRule="auto"/>
        <w:rPr>
          <w:rFonts w:ascii="Times New Roman" w:eastAsia="Times New Roman" w:hAnsi="Times New Roman" w:cs="Times New Roman"/>
          <w:color w:val="000000"/>
          <w:sz w:val="24"/>
          <w:szCs w:val="24"/>
          <w:lang w:eastAsia="sk-SK"/>
        </w:rPr>
      </w:pPr>
      <w:r w:rsidRPr="00FA63B4">
        <w:rPr>
          <w:rFonts w:ascii="Times New Roman" w:eastAsia="Times New Roman" w:hAnsi="Times New Roman" w:cs="Times New Roman"/>
          <w:color w:val="000000"/>
          <w:sz w:val="24"/>
          <w:szCs w:val="24"/>
          <w:lang w:eastAsia="sk-SK"/>
        </w:rPr>
        <w:t>v sekundárnom práve</w:t>
      </w:r>
    </w:p>
    <w:p w14:paraId="46FE50F1" w14:textId="77777777" w:rsidR="004A117C" w:rsidRPr="00FA63B4" w:rsidRDefault="004A117C" w:rsidP="004A117C">
      <w:pPr>
        <w:pStyle w:val="Odsekzoznamu"/>
        <w:numPr>
          <w:ilvl w:val="0"/>
          <w:numId w:val="9"/>
        </w:numPr>
        <w:spacing w:after="0" w:line="240" w:lineRule="auto"/>
        <w:jc w:val="both"/>
        <w:rPr>
          <w:rFonts w:ascii="Times New Roman" w:eastAsia="Times New Roman" w:hAnsi="Times New Roman" w:cs="Times New Roman"/>
          <w:color w:val="000000"/>
          <w:sz w:val="24"/>
          <w:szCs w:val="24"/>
          <w:lang w:eastAsia="sk-SK"/>
        </w:rPr>
      </w:pPr>
      <w:r w:rsidRPr="00FA63B4">
        <w:rPr>
          <w:rFonts w:ascii="Times New Roman" w:eastAsia="Times New Roman" w:hAnsi="Times New Roman" w:cs="Times New Roman"/>
          <w:color w:val="000000"/>
          <w:sz w:val="24"/>
          <w:szCs w:val="24"/>
          <w:lang w:eastAsia="sk-SK"/>
        </w:rPr>
        <w:t>delegovaná smernica Komisie (EÚ) 2021/1270 z 21. apríla 2021, ktorou sa mení smernica 2010/43/EÚ, pokiaľ ide o riziká ohrozujúce udržateľnosť a faktory udržateľnosti, ktoré sa majú zohľadniť v súvislosti s podnikmi kolektívneho investovania do prevoditeľných cenných papierov (PKIPCP) (Ú. v. EÚ L 277, 2.8.2021), gestor: zatiaľ nebol určený,</w:t>
      </w:r>
    </w:p>
    <w:p w14:paraId="2573F57C" w14:textId="77777777" w:rsidR="004A117C" w:rsidRPr="00FA63B4" w:rsidRDefault="004A117C" w:rsidP="004A117C">
      <w:pPr>
        <w:pStyle w:val="Odsekzoznamu"/>
        <w:numPr>
          <w:ilvl w:val="0"/>
          <w:numId w:val="9"/>
        </w:numPr>
        <w:spacing w:after="0" w:line="240" w:lineRule="auto"/>
        <w:jc w:val="both"/>
        <w:rPr>
          <w:rFonts w:ascii="Times New Roman" w:eastAsia="Times New Roman" w:hAnsi="Times New Roman" w:cs="Times New Roman"/>
          <w:color w:val="000000"/>
          <w:sz w:val="24"/>
          <w:szCs w:val="24"/>
          <w:lang w:eastAsia="sk-SK"/>
        </w:rPr>
      </w:pPr>
      <w:r w:rsidRPr="00FA63B4">
        <w:rPr>
          <w:rFonts w:ascii="Times New Roman" w:eastAsia="Times New Roman" w:hAnsi="Times New Roman" w:cs="Times New Roman"/>
          <w:color w:val="000000"/>
          <w:sz w:val="24"/>
          <w:szCs w:val="24"/>
          <w:lang w:eastAsia="sk-SK"/>
        </w:rPr>
        <w:t>delegovaná smernica Komisie (EÚ) 2021/1269 z 21. apríla 2021, ktorou sa mení delegovaná smernica (EÚ) 2017/593, pokiaľ ide o začlenenie faktorov udržateľnosti do povinností v oblasti riadenia produktov (Ú. v. EÚ L 277, 2.8.2021), gestor: zatiaľ nebol určený,</w:t>
      </w:r>
    </w:p>
    <w:p w14:paraId="6C9D57E8" w14:textId="77777777" w:rsidR="004A117C" w:rsidRPr="00FA63B4" w:rsidRDefault="004A117C" w:rsidP="004A117C">
      <w:pPr>
        <w:pStyle w:val="Odsekzoznamu"/>
        <w:numPr>
          <w:ilvl w:val="0"/>
          <w:numId w:val="9"/>
        </w:numPr>
        <w:spacing w:after="0" w:line="240" w:lineRule="auto"/>
        <w:jc w:val="both"/>
        <w:rPr>
          <w:rFonts w:ascii="Times New Roman" w:eastAsia="Times New Roman" w:hAnsi="Times New Roman" w:cs="Times New Roman"/>
          <w:color w:val="000000"/>
          <w:sz w:val="24"/>
          <w:szCs w:val="24"/>
          <w:lang w:eastAsia="sk-SK"/>
        </w:rPr>
      </w:pPr>
      <w:r w:rsidRPr="00FA63B4">
        <w:rPr>
          <w:rFonts w:ascii="Times New Roman" w:hAnsi="Times New Roman" w:cs="Times New Roman"/>
          <w:sz w:val="24"/>
          <w:szCs w:val="24"/>
          <w:shd w:val="clear" w:color="auto" w:fill="FFFFFF"/>
        </w:rPr>
        <w:t>smernica Európskeho parlamentu a Rady (EÚ) 2019/1160 z 20. júna 2019, ktorou sa mení smernica 2009/65/ES a smernica 2011/61/EÚ, pokiaľ ide o cezhraničnú distribúciu podnikov kolektívneho investovania (</w:t>
      </w:r>
      <w:r w:rsidRPr="00FA63B4">
        <w:rPr>
          <w:rFonts w:ascii="Times New Roman" w:hAnsi="Times New Roman" w:cs="Times New Roman"/>
          <w:iCs/>
          <w:sz w:val="24"/>
          <w:szCs w:val="24"/>
          <w:shd w:val="clear" w:color="auto" w:fill="FFFFFF"/>
        </w:rPr>
        <w:t xml:space="preserve">Ú. v. EÚ L 188, 12.7.2019), </w:t>
      </w:r>
      <w:r w:rsidRPr="00FA63B4">
        <w:rPr>
          <w:rFonts w:ascii="Times New Roman" w:eastAsia="Times New Roman" w:hAnsi="Times New Roman" w:cs="Times New Roman"/>
          <w:sz w:val="24"/>
          <w:szCs w:val="24"/>
          <w:lang w:eastAsia="sk-SK"/>
        </w:rPr>
        <w:t xml:space="preserve">gestor: </w:t>
      </w:r>
      <w:r w:rsidRPr="00FA63B4">
        <w:rPr>
          <w:rFonts w:ascii="Times New Roman" w:hAnsi="Times New Roman" w:cs="Times New Roman"/>
          <w:bCs/>
          <w:iCs/>
          <w:sz w:val="24"/>
          <w:szCs w:val="24"/>
        </w:rPr>
        <w:t>MF SR, spolugestor: NBS,</w:t>
      </w:r>
    </w:p>
    <w:p w14:paraId="6B425285" w14:textId="77777777" w:rsidR="004A117C" w:rsidRPr="00FA63B4" w:rsidRDefault="004A117C" w:rsidP="004A117C">
      <w:pPr>
        <w:pStyle w:val="Odsekzoznamu"/>
        <w:numPr>
          <w:ilvl w:val="0"/>
          <w:numId w:val="9"/>
        </w:numPr>
        <w:spacing w:after="0" w:line="240" w:lineRule="auto"/>
        <w:jc w:val="both"/>
        <w:rPr>
          <w:rFonts w:ascii="Times New Roman" w:eastAsia="Times New Roman" w:hAnsi="Times New Roman" w:cs="Times New Roman"/>
          <w:color w:val="000000"/>
          <w:sz w:val="24"/>
          <w:szCs w:val="24"/>
          <w:lang w:eastAsia="sk-SK"/>
        </w:rPr>
      </w:pPr>
      <w:r w:rsidRPr="00FA63B4">
        <w:rPr>
          <w:rFonts w:ascii="Times New Roman" w:hAnsi="Times New Roman" w:cs="Times New Roman"/>
          <w:bCs/>
          <w:sz w:val="24"/>
          <w:szCs w:val="24"/>
        </w:rPr>
        <w:t xml:space="preserve">smernica Európskeho parlamentu a Rady 2014/65/EÚ z 15. mája 2014 o trhoch s finančnými nástrojmi, ktorou sa mení smernica 2002/92/ES a smernica 2011/61/EÚ </w:t>
      </w:r>
      <w:r>
        <w:rPr>
          <w:rFonts w:ascii="Times New Roman" w:hAnsi="Times New Roman" w:cs="Times New Roman"/>
          <w:bCs/>
          <w:sz w:val="24"/>
          <w:szCs w:val="24"/>
        </w:rPr>
        <w:t xml:space="preserve">(prepracované znenie) </w:t>
      </w:r>
      <w:r w:rsidRPr="00FA63B4">
        <w:rPr>
          <w:rFonts w:ascii="Times New Roman" w:hAnsi="Times New Roman" w:cs="Times New Roman"/>
          <w:bCs/>
          <w:sz w:val="24"/>
          <w:szCs w:val="24"/>
        </w:rPr>
        <w:t>(</w:t>
      </w:r>
      <w:r w:rsidRPr="00FA63B4">
        <w:rPr>
          <w:rFonts w:ascii="Times New Roman" w:hAnsi="Times New Roman" w:cs="Times New Roman"/>
          <w:bCs/>
          <w:iCs/>
          <w:sz w:val="24"/>
          <w:szCs w:val="24"/>
        </w:rPr>
        <w:t>Ú. v. EÚ L 173, 12.6.2014) v platnom znení, gestor: MF SR, spolugestor: NBS,</w:t>
      </w:r>
    </w:p>
    <w:p w14:paraId="6A64A03D" w14:textId="77777777" w:rsidR="004A117C" w:rsidRPr="00FA63B4" w:rsidRDefault="004A117C" w:rsidP="004A117C">
      <w:pPr>
        <w:pStyle w:val="Odsekzoznamu"/>
        <w:numPr>
          <w:ilvl w:val="0"/>
          <w:numId w:val="9"/>
        </w:numPr>
        <w:spacing w:after="0" w:line="240" w:lineRule="auto"/>
        <w:jc w:val="both"/>
        <w:rPr>
          <w:rFonts w:ascii="Times New Roman" w:eastAsia="Times New Roman" w:hAnsi="Times New Roman" w:cs="Times New Roman"/>
          <w:color w:val="000000"/>
          <w:sz w:val="24"/>
          <w:szCs w:val="24"/>
          <w:lang w:eastAsia="sk-SK"/>
        </w:rPr>
      </w:pPr>
      <w:r w:rsidRPr="00FA63B4">
        <w:rPr>
          <w:rFonts w:ascii="Times New Roman" w:eastAsia="Times New Roman" w:hAnsi="Times New Roman" w:cs="Times New Roman"/>
          <w:color w:val="000000"/>
          <w:sz w:val="24"/>
          <w:szCs w:val="24"/>
          <w:lang w:eastAsia="sk-SK"/>
        </w:rPr>
        <w:t xml:space="preserve">smernica 2001/34/ES Európskeho parlamentu a Rady z 28. mája 2001 o prijímaní cenných papierov na kótovanie na burze cenných papierov a o informáciách, ktoré sa o týchto cenných papieroch musia zverejňovať (Ú. v. ES L 184, 6.7.2001; </w:t>
      </w:r>
      <w:r w:rsidRPr="00FA63B4">
        <w:rPr>
          <w:rFonts w:ascii="Times New Roman" w:hAnsi="Times New Roman" w:cs="Times New Roman"/>
          <w:sz w:val="24"/>
          <w:szCs w:val="24"/>
        </w:rPr>
        <w:t xml:space="preserve">Mimoriadne vydanie Ú. v. EÚ, kap. </w:t>
      </w:r>
      <w:r w:rsidRPr="00FA63B4">
        <w:rPr>
          <w:rStyle w:val="Zvraznenie"/>
          <w:rFonts w:ascii="Times New Roman" w:hAnsi="Times New Roman"/>
          <w:sz w:val="24"/>
          <w:szCs w:val="24"/>
        </w:rPr>
        <w:t>6/zv. 4</w:t>
      </w:r>
      <w:r w:rsidRPr="00FA63B4">
        <w:rPr>
          <w:rFonts w:ascii="Times New Roman" w:eastAsia="Times New Roman" w:hAnsi="Times New Roman" w:cs="Times New Roman"/>
          <w:color w:val="000000"/>
          <w:sz w:val="24"/>
          <w:szCs w:val="24"/>
          <w:lang w:eastAsia="sk-SK"/>
        </w:rPr>
        <w:t xml:space="preserve">) </w:t>
      </w:r>
      <w:r w:rsidRPr="00FA63B4">
        <w:rPr>
          <w:rFonts w:ascii="Times New Roman" w:hAnsi="Times New Roman" w:cs="Times New Roman"/>
          <w:sz w:val="24"/>
          <w:szCs w:val="24"/>
        </w:rPr>
        <w:t>v platnom znení, gestor: MF SR, spolugestor: NBS,</w:t>
      </w:r>
    </w:p>
    <w:p w14:paraId="316441F7" w14:textId="77777777" w:rsidR="004A117C" w:rsidRPr="00FA63B4" w:rsidRDefault="004A117C" w:rsidP="004A117C">
      <w:pPr>
        <w:pStyle w:val="Odsekzoznamu"/>
        <w:numPr>
          <w:ilvl w:val="0"/>
          <w:numId w:val="9"/>
        </w:numPr>
        <w:spacing w:after="0" w:line="240" w:lineRule="auto"/>
        <w:jc w:val="both"/>
        <w:rPr>
          <w:rFonts w:ascii="Times New Roman" w:eastAsia="Times New Roman" w:hAnsi="Times New Roman" w:cs="Times New Roman"/>
          <w:color w:val="000000"/>
          <w:sz w:val="24"/>
          <w:szCs w:val="24"/>
          <w:lang w:eastAsia="sk-SK"/>
        </w:rPr>
      </w:pPr>
      <w:r w:rsidRPr="00FA63B4">
        <w:rPr>
          <w:rFonts w:ascii="Times New Roman" w:eastAsia="Times New Roman" w:hAnsi="Times New Roman" w:cs="Times New Roman"/>
          <w:color w:val="000000"/>
          <w:sz w:val="24"/>
          <w:szCs w:val="24"/>
          <w:lang w:eastAsia="sk-SK"/>
        </w:rPr>
        <w:t xml:space="preserve">smernica Európskeho parlamentu a Rady 2011/61/EÚ z  8. júna 2011 o správcoch alternatívnych investičných fondov a o zmene a doplnení smerníc 2003/41/ES a 2009/65/ES a nariadení (ES) č. 1060/2009 a (EÚ) č. 1095/2010 (Ú. v. EÚ L 174, 1.7.2011) </w:t>
      </w:r>
      <w:r w:rsidRPr="00FA63B4">
        <w:rPr>
          <w:rFonts w:ascii="Times New Roman" w:hAnsi="Times New Roman" w:cs="Times New Roman"/>
          <w:sz w:val="24"/>
          <w:szCs w:val="24"/>
        </w:rPr>
        <w:t>v platnom znení, gestor:</w:t>
      </w:r>
      <w:r w:rsidRPr="00FA63B4">
        <w:rPr>
          <w:rFonts w:ascii="Times New Roman" w:eastAsia="Times New Roman" w:hAnsi="Times New Roman" w:cs="Times New Roman"/>
          <w:color w:val="000000"/>
          <w:sz w:val="24"/>
          <w:szCs w:val="24"/>
          <w:lang w:eastAsia="sk-SK"/>
        </w:rPr>
        <w:t xml:space="preserve"> MF SR, spolugestor: NBS, MPSVR SR,</w:t>
      </w:r>
    </w:p>
    <w:p w14:paraId="6E437998" w14:textId="77777777" w:rsidR="004A117C" w:rsidRPr="00FA63B4" w:rsidRDefault="004A117C" w:rsidP="004A117C">
      <w:pPr>
        <w:pStyle w:val="Odsekzoznamu"/>
        <w:numPr>
          <w:ilvl w:val="0"/>
          <w:numId w:val="9"/>
        </w:numPr>
        <w:spacing w:after="0" w:line="240" w:lineRule="auto"/>
        <w:jc w:val="both"/>
        <w:rPr>
          <w:rFonts w:ascii="Times New Roman" w:eastAsia="Times New Roman" w:hAnsi="Times New Roman" w:cs="Times New Roman"/>
          <w:color w:val="000000"/>
          <w:sz w:val="24"/>
          <w:szCs w:val="24"/>
          <w:lang w:eastAsia="sk-SK"/>
        </w:rPr>
      </w:pPr>
      <w:r w:rsidRPr="00FA63B4">
        <w:rPr>
          <w:rFonts w:ascii="Times New Roman" w:eastAsia="Times New Roman" w:hAnsi="Times New Roman" w:cs="Times New Roman"/>
          <w:color w:val="000000"/>
          <w:sz w:val="24"/>
          <w:szCs w:val="24"/>
          <w:lang w:eastAsia="sk-SK"/>
        </w:rPr>
        <w:t xml:space="preserve">nariadenie Európskeho parlamentu a Rady (EÚ) 2021/23 zo 16. decembra 2020 o rámci na ozdravenie a riešenie krízových situácií centrálnych protistrán a o zmene nariadení (EÚ) č. 1095/2010, (EÚ) č. 648/2012, (EÚ) č. 600/2014, (EÚ) č. 806/2014 </w:t>
      </w:r>
      <w:r w:rsidRPr="00FA63B4">
        <w:rPr>
          <w:rFonts w:ascii="Times New Roman" w:eastAsia="Times New Roman" w:hAnsi="Times New Roman" w:cs="Times New Roman"/>
          <w:color w:val="000000"/>
          <w:sz w:val="24"/>
          <w:szCs w:val="24"/>
          <w:lang w:eastAsia="sk-SK"/>
        </w:rPr>
        <w:lastRenderedPageBreak/>
        <w:t>a (EÚ) 2015/2365 a smerníc 2002/47/ES, 2004/25/ES, 2007/36/ES, 2014/59/EÚ a (EÚ) 2017/1132 (Ú. v. EÚ L 22, 22.1.2021), gestor: MF SR, NBS,</w:t>
      </w:r>
    </w:p>
    <w:p w14:paraId="2D9CA665" w14:textId="77777777" w:rsidR="004A117C" w:rsidRPr="00FA63B4" w:rsidRDefault="004A117C" w:rsidP="004A117C">
      <w:pPr>
        <w:pStyle w:val="Odsekzoznamu"/>
        <w:numPr>
          <w:ilvl w:val="0"/>
          <w:numId w:val="9"/>
        </w:numPr>
        <w:spacing w:after="0" w:line="240" w:lineRule="auto"/>
        <w:jc w:val="both"/>
        <w:rPr>
          <w:rFonts w:ascii="Times New Roman" w:eastAsia="Times New Roman" w:hAnsi="Times New Roman" w:cs="Times New Roman"/>
          <w:color w:val="000000"/>
          <w:sz w:val="24"/>
          <w:szCs w:val="24"/>
          <w:lang w:eastAsia="sk-SK"/>
        </w:rPr>
      </w:pPr>
      <w:r w:rsidRPr="00FA63B4">
        <w:rPr>
          <w:rFonts w:ascii="Times New Roman" w:eastAsia="Times New Roman" w:hAnsi="Times New Roman" w:cs="Times New Roman"/>
          <w:color w:val="000000"/>
          <w:sz w:val="24"/>
          <w:szCs w:val="24"/>
          <w:lang w:eastAsia="sk-SK"/>
        </w:rPr>
        <w:t>nariadenie Európskeho parlamentu a Rady (EÚ) 2019/2088 z 27. novembra 2019 o zverejňovaní informácií o udržateľnosti v sektore finančných služieb (Ú. v. EÚ L 317, 9.12.2019) v platnom znení, gestor: MF SR, NBS, MPSVR SR,</w:t>
      </w:r>
    </w:p>
    <w:p w14:paraId="6DA83300" w14:textId="77777777" w:rsidR="004A117C" w:rsidRPr="00FA63B4" w:rsidRDefault="004A117C" w:rsidP="004A117C">
      <w:pPr>
        <w:pStyle w:val="Odsekzoznamu"/>
        <w:numPr>
          <w:ilvl w:val="0"/>
          <w:numId w:val="9"/>
        </w:numPr>
        <w:spacing w:after="0" w:line="240" w:lineRule="auto"/>
        <w:jc w:val="both"/>
        <w:rPr>
          <w:rFonts w:ascii="Times New Roman" w:eastAsia="Times New Roman" w:hAnsi="Times New Roman" w:cs="Times New Roman"/>
          <w:color w:val="000000"/>
          <w:sz w:val="24"/>
          <w:szCs w:val="24"/>
          <w:lang w:eastAsia="sk-SK"/>
        </w:rPr>
      </w:pPr>
      <w:r w:rsidRPr="00FA63B4">
        <w:rPr>
          <w:rFonts w:ascii="Times New Roman" w:eastAsia="Times New Roman" w:hAnsi="Times New Roman" w:cs="Times New Roman"/>
          <w:color w:val="000000"/>
          <w:sz w:val="24"/>
          <w:szCs w:val="24"/>
          <w:lang w:eastAsia="sk-SK"/>
        </w:rPr>
        <w:t>nariadenie Európskeho parlamentu a Rady (EÚ) 2017/1129 zo 14. júna 2017 o prospekte, ktorý sa má uverejniť pri verejnej ponuke cenných papierov alebo ich prijatí na obchodovanie na regulovanom trhu, a o zrušení smernice 2003/71/ES (Ú. v. EÚ L 168, 30.6.2017) v platnom znení, gestor: MF SR, NBS,</w:t>
      </w:r>
    </w:p>
    <w:p w14:paraId="68B97DAF" w14:textId="77777777" w:rsidR="004A117C" w:rsidRPr="00FA63B4" w:rsidRDefault="004A117C" w:rsidP="004A117C">
      <w:pPr>
        <w:pStyle w:val="Odsekzoznamu"/>
        <w:numPr>
          <w:ilvl w:val="0"/>
          <w:numId w:val="9"/>
        </w:numPr>
        <w:spacing w:after="0" w:line="240" w:lineRule="auto"/>
        <w:jc w:val="both"/>
        <w:rPr>
          <w:rFonts w:ascii="Times New Roman" w:eastAsia="Times New Roman" w:hAnsi="Times New Roman" w:cs="Times New Roman"/>
          <w:color w:val="000000"/>
          <w:sz w:val="24"/>
          <w:szCs w:val="24"/>
          <w:lang w:eastAsia="sk-SK"/>
        </w:rPr>
      </w:pPr>
      <w:r w:rsidRPr="00FA63B4">
        <w:rPr>
          <w:rFonts w:ascii="Times New Roman" w:eastAsia="Times New Roman" w:hAnsi="Times New Roman" w:cs="Times New Roman"/>
          <w:color w:val="000000"/>
          <w:sz w:val="24"/>
          <w:szCs w:val="24"/>
          <w:lang w:eastAsia="sk-SK"/>
        </w:rPr>
        <w:t>delegované nariadenie Komisie (EÚ) 2017/568 z 24. mája 2016, ktorým sa dopĺňa smernica Európskeho parlamentu a Rady 2014/65/EÚ, pokiaľ ide o regulačné technické predpisy pre prijatie finančných nástrojov na obchodovanie na regulovaných trhoch (Ú. v. EÚ L 87, 31.3.2017), gestor: MF SR, NBS,</w:t>
      </w:r>
    </w:p>
    <w:p w14:paraId="2F1797FD" w14:textId="77777777" w:rsidR="004A117C" w:rsidRDefault="004A117C" w:rsidP="004A117C">
      <w:pPr>
        <w:pStyle w:val="Odsekzoznamu"/>
        <w:numPr>
          <w:ilvl w:val="0"/>
          <w:numId w:val="9"/>
        </w:numPr>
        <w:spacing w:after="0" w:line="240" w:lineRule="auto"/>
        <w:jc w:val="both"/>
        <w:rPr>
          <w:rFonts w:ascii="Times New Roman" w:eastAsia="Times New Roman" w:hAnsi="Times New Roman" w:cs="Times New Roman"/>
          <w:color w:val="000000"/>
          <w:sz w:val="24"/>
          <w:szCs w:val="24"/>
          <w:lang w:eastAsia="sk-SK"/>
        </w:rPr>
      </w:pPr>
      <w:r w:rsidRPr="00FA63B4">
        <w:rPr>
          <w:rFonts w:ascii="Times New Roman" w:eastAsia="Times New Roman" w:hAnsi="Times New Roman" w:cs="Times New Roman"/>
          <w:color w:val="000000"/>
          <w:sz w:val="24"/>
          <w:szCs w:val="24"/>
          <w:lang w:eastAsia="sk-SK"/>
        </w:rPr>
        <w:t>nariadenie Európskeho parlamentu a Rady (EÚ) č. 648/2012 zo 4. júla 2012 o mimoburzových derivátoch, centrálnych protistranách a archívoch obchodných údajov (Ú. v. EÚ L 201, 27.7.2012) v platnom znení, gestor: MF SR, NBS</w:t>
      </w:r>
      <w:r>
        <w:rPr>
          <w:rFonts w:ascii="Times New Roman" w:eastAsia="Times New Roman" w:hAnsi="Times New Roman" w:cs="Times New Roman"/>
          <w:color w:val="000000"/>
          <w:sz w:val="24"/>
          <w:szCs w:val="24"/>
          <w:lang w:eastAsia="sk-SK"/>
        </w:rPr>
        <w:t>,</w:t>
      </w:r>
    </w:p>
    <w:p w14:paraId="372E9097" w14:textId="77777777" w:rsidR="004A117C" w:rsidRDefault="004A117C" w:rsidP="004A117C">
      <w:pPr>
        <w:pStyle w:val="Odsekzoznamu"/>
        <w:numPr>
          <w:ilvl w:val="0"/>
          <w:numId w:val="9"/>
        </w:numPr>
        <w:spacing w:after="0" w:line="240" w:lineRule="auto"/>
        <w:jc w:val="both"/>
        <w:rPr>
          <w:rFonts w:ascii="Times New Roman" w:eastAsia="Times New Roman" w:hAnsi="Times New Roman" w:cs="Times New Roman"/>
          <w:color w:val="000000"/>
          <w:sz w:val="24"/>
          <w:szCs w:val="24"/>
          <w:lang w:eastAsia="sk-SK"/>
        </w:rPr>
      </w:pPr>
      <w:r w:rsidRPr="00096B93">
        <w:rPr>
          <w:rFonts w:ascii="Times New Roman" w:eastAsia="Times New Roman" w:hAnsi="Times New Roman" w:cs="Times New Roman"/>
          <w:color w:val="000000"/>
          <w:sz w:val="24"/>
          <w:szCs w:val="24"/>
          <w:lang w:eastAsia="sk-SK"/>
        </w:rPr>
        <w:t xml:space="preserve">smernica Európskeho parlamentu a Rady </w:t>
      </w:r>
      <w:r>
        <w:rPr>
          <w:rFonts w:ascii="Times New Roman" w:eastAsia="Times New Roman" w:hAnsi="Times New Roman" w:cs="Times New Roman"/>
          <w:color w:val="000000"/>
          <w:sz w:val="24"/>
          <w:szCs w:val="24"/>
          <w:lang w:eastAsia="sk-SK"/>
        </w:rPr>
        <w:t xml:space="preserve">(EÚ) </w:t>
      </w:r>
      <w:r w:rsidRPr="00096B93">
        <w:rPr>
          <w:rFonts w:ascii="Times New Roman" w:eastAsia="Times New Roman" w:hAnsi="Times New Roman" w:cs="Times New Roman"/>
          <w:color w:val="000000"/>
          <w:sz w:val="24"/>
          <w:szCs w:val="24"/>
          <w:lang w:eastAsia="sk-SK"/>
        </w:rPr>
        <w:t>2021/2261 z 15. decembra 2021, ktorou sa mení smernica 2009/65/ES, pokiaľ ide o používanie dokumentov s kľúčovými informáciami správcovskými spoločnosťami podnikov kolektívneho investovania do prevoditeľných cenných papierov (PKIPCP)</w:t>
      </w:r>
      <w:r>
        <w:rPr>
          <w:rFonts w:ascii="Times New Roman" w:eastAsia="Times New Roman" w:hAnsi="Times New Roman" w:cs="Times New Roman"/>
          <w:color w:val="000000"/>
          <w:sz w:val="24"/>
          <w:szCs w:val="24"/>
          <w:lang w:eastAsia="sk-SK"/>
        </w:rPr>
        <w:t xml:space="preserve"> </w:t>
      </w:r>
      <w:r w:rsidRPr="00096B93">
        <w:rPr>
          <w:rFonts w:ascii="Times New Roman" w:eastAsia="Times New Roman" w:hAnsi="Times New Roman" w:cs="Times New Roman"/>
          <w:color w:val="000000"/>
          <w:sz w:val="24"/>
          <w:szCs w:val="24"/>
          <w:lang w:eastAsia="sk-SK"/>
        </w:rPr>
        <w:t>(Ú.v. EÚ L 455, 20.12.2021) gestor: zatiaľ nebol určený</w:t>
      </w:r>
      <w:r>
        <w:rPr>
          <w:rFonts w:ascii="Times New Roman" w:eastAsia="Times New Roman" w:hAnsi="Times New Roman" w:cs="Times New Roman"/>
          <w:color w:val="000000"/>
          <w:sz w:val="24"/>
          <w:szCs w:val="24"/>
          <w:lang w:eastAsia="sk-SK"/>
        </w:rPr>
        <w:t>,</w:t>
      </w:r>
    </w:p>
    <w:p w14:paraId="106DB5DE" w14:textId="77777777" w:rsidR="004A117C" w:rsidRDefault="004A117C" w:rsidP="004A117C">
      <w:pPr>
        <w:pStyle w:val="Odsekzoznamu"/>
        <w:numPr>
          <w:ilvl w:val="0"/>
          <w:numId w:val="9"/>
        </w:num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n</w:t>
      </w:r>
      <w:r w:rsidRPr="004E2213">
        <w:rPr>
          <w:rFonts w:ascii="Times New Roman" w:eastAsia="Times New Roman" w:hAnsi="Times New Roman" w:cs="Times New Roman"/>
          <w:color w:val="000000"/>
          <w:sz w:val="24"/>
          <w:szCs w:val="24"/>
          <w:lang w:eastAsia="sk-SK"/>
        </w:rPr>
        <w:t xml:space="preserve">ariadenie Európskeho parlamentu a Rady (EÚ) č. 1286/2014 z 26. novembra 2014 o dokumentoch s kľúčovými informáciami pre štrukturalizované retailové investičné produkty a investičné produkty založené na poistení (PRIIP) (Ú.v. EÚ L </w:t>
      </w:r>
      <w:r>
        <w:rPr>
          <w:rFonts w:ascii="Times New Roman" w:eastAsia="Times New Roman" w:hAnsi="Times New Roman" w:cs="Times New Roman"/>
          <w:color w:val="000000"/>
          <w:sz w:val="24"/>
          <w:szCs w:val="24"/>
          <w:lang w:eastAsia="sk-SK"/>
        </w:rPr>
        <w:t xml:space="preserve">352, 9.12.2014) v platnom znení, gestor: MF SR, </w:t>
      </w:r>
    </w:p>
    <w:p w14:paraId="5BE6C44A" w14:textId="77777777" w:rsidR="004A117C" w:rsidRPr="003C485E" w:rsidRDefault="004A117C" w:rsidP="004A117C">
      <w:pPr>
        <w:pStyle w:val="Odsekzoznamu"/>
        <w:numPr>
          <w:ilvl w:val="0"/>
          <w:numId w:val="9"/>
        </w:numPr>
        <w:spacing w:after="0" w:line="240" w:lineRule="auto"/>
        <w:jc w:val="both"/>
        <w:rPr>
          <w:rFonts w:ascii="Times New Roman" w:eastAsia="Times New Roman" w:hAnsi="Times New Roman" w:cs="Times New Roman"/>
          <w:color w:val="000000"/>
          <w:sz w:val="24"/>
          <w:szCs w:val="24"/>
          <w:lang w:eastAsia="sk-SK"/>
        </w:rPr>
      </w:pPr>
      <w:r w:rsidRPr="003C485E">
        <w:rPr>
          <w:rFonts w:ascii="Times New Roman" w:eastAsia="Times New Roman" w:hAnsi="Times New Roman" w:cs="Times New Roman"/>
          <w:color w:val="000000"/>
          <w:sz w:val="24"/>
          <w:szCs w:val="24"/>
          <w:lang w:eastAsia="sk-SK"/>
        </w:rPr>
        <w:t>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12.6.2014) v platnom znení, gestor: MF SR, spolugestor: NBS,</w:t>
      </w:r>
    </w:p>
    <w:p w14:paraId="3F051F07" w14:textId="77777777" w:rsidR="004A117C" w:rsidRPr="003C485E" w:rsidRDefault="004A117C" w:rsidP="004A117C">
      <w:pPr>
        <w:pStyle w:val="Odsekzoznamu"/>
        <w:numPr>
          <w:ilvl w:val="0"/>
          <w:numId w:val="9"/>
        </w:numPr>
        <w:spacing w:after="0" w:line="240" w:lineRule="auto"/>
        <w:jc w:val="both"/>
        <w:rPr>
          <w:rFonts w:ascii="Times New Roman" w:eastAsia="Times New Roman" w:hAnsi="Times New Roman" w:cs="Times New Roman"/>
          <w:color w:val="000000"/>
          <w:sz w:val="24"/>
          <w:szCs w:val="24"/>
          <w:lang w:eastAsia="sk-SK"/>
        </w:rPr>
      </w:pPr>
      <w:r w:rsidRPr="003C485E">
        <w:rPr>
          <w:rFonts w:ascii="Times New Roman" w:eastAsia="Times New Roman" w:hAnsi="Times New Roman" w:cs="Times New Roman"/>
          <w:color w:val="000000"/>
          <w:sz w:val="24"/>
          <w:szCs w:val="24"/>
          <w:lang w:eastAsia="sk-SK"/>
        </w:rPr>
        <w:t>smernica Európskeho parlamentu a Rady (EÚ) 2019/879 z 20. mája 2019, ktorou sa mení smernica 2014/59/EÚ, pokiaľ ide o kapacitu úverových inštitúcií a investičných spoločností na absorpciu strát a rekapitalizáciu, a smernica 98/26/ES (Ú. v. EÚ L 150, 7.6.2019), gestor: MF SR, spolugestor: NBS</w:t>
      </w:r>
    </w:p>
    <w:p w14:paraId="428428B5" w14:textId="77777777" w:rsidR="004A117C" w:rsidRPr="003C485E" w:rsidRDefault="004A117C" w:rsidP="004A117C">
      <w:pPr>
        <w:pStyle w:val="Odsekzoznamu"/>
        <w:numPr>
          <w:ilvl w:val="0"/>
          <w:numId w:val="9"/>
        </w:numPr>
        <w:spacing w:after="0" w:line="240" w:lineRule="auto"/>
        <w:jc w:val="both"/>
        <w:rPr>
          <w:rFonts w:ascii="Times New Roman" w:eastAsia="Times New Roman" w:hAnsi="Times New Roman" w:cs="Times New Roman"/>
          <w:color w:val="000000"/>
          <w:sz w:val="24"/>
          <w:szCs w:val="24"/>
          <w:lang w:eastAsia="sk-SK"/>
        </w:rPr>
      </w:pPr>
      <w:r w:rsidRPr="003C485E">
        <w:rPr>
          <w:rFonts w:ascii="Times New Roman" w:eastAsia="Times New Roman" w:hAnsi="Times New Roman" w:cs="Times New Roman"/>
          <w:color w:val="000000"/>
          <w:sz w:val="24"/>
          <w:szCs w:val="24"/>
          <w:lang w:eastAsia="sk-SK"/>
        </w:rPr>
        <w:t>nariadenie Európskeho parlamentu a Rady (EÚ) č. 575/2013 z 26. júna 2013 o prudenciálnych požiadavkách na úverové inštitúcie a investičné spoločnosti a o zmene nariadenia (EÚ) č. 648/2012 (Ú. v. EÚ L 176, 27.6.2013) v platnom znení, gestor: MF SR, NBS.</w:t>
      </w:r>
    </w:p>
    <w:p w14:paraId="631A876F" w14:textId="77777777" w:rsidR="004A117C" w:rsidRPr="00FA63B4" w:rsidRDefault="004A117C" w:rsidP="004A117C">
      <w:pPr>
        <w:rPr>
          <w:color w:val="000000"/>
          <w:lang w:eastAsia="sk-SK"/>
        </w:rPr>
      </w:pPr>
    </w:p>
    <w:p w14:paraId="0BCAABCF" w14:textId="77777777" w:rsidR="004A117C" w:rsidRPr="00FA63B4" w:rsidRDefault="004A117C" w:rsidP="004A117C">
      <w:pPr>
        <w:pStyle w:val="Odsekzoznamu"/>
        <w:numPr>
          <w:ilvl w:val="0"/>
          <w:numId w:val="8"/>
        </w:numPr>
        <w:spacing w:after="0" w:line="240" w:lineRule="auto"/>
        <w:rPr>
          <w:rFonts w:ascii="Times New Roman" w:eastAsia="Times New Roman" w:hAnsi="Times New Roman" w:cs="Times New Roman"/>
          <w:color w:val="000000"/>
          <w:sz w:val="24"/>
          <w:szCs w:val="24"/>
          <w:lang w:eastAsia="sk-SK"/>
        </w:rPr>
      </w:pPr>
      <w:r w:rsidRPr="00FA63B4">
        <w:rPr>
          <w:rFonts w:ascii="Times New Roman" w:eastAsia="Times New Roman" w:hAnsi="Times New Roman" w:cs="Times New Roman"/>
          <w:color w:val="000000"/>
          <w:sz w:val="24"/>
          <w:szCs w:val="24"/>
          <w:lang w:eastAsia="sk-SK"/>
        </w:rPr>
        <w:t>v judikatúre Súdneho dvora Európskej únie:</w:t>
      </w:r>
    </w:p>
    <w:p w14:paraId="792DC8B0" w14:textId="77777777" w:rsidR="004A117C" w:rsidRPr="00FA63B4" w:rsidRDefault="004A117C" w:rsidP="004A117C">
      <w:pPr>
        <w:pStyle w:val="Odsekzoznamu"/>
        <w:numPr>
          <w:ilvl w:val="0"/>
          <w:numId w:val="12"/>
        </w:numPr>
        <w:spacing w:after="0" w:line="240" w:lineRule="auto"/>
        <w:ind w:left="709" w:hanging="283"/>
        <w:rPr>
          <w:rFonts w:ascii="Times New Roman" w:hAnsi="Times New Roman" w:cs="Times New Roman"/>
          <w:color w:val="000000"/>
          <w:sz w:val="24"/>
          <w:szCs w:val="24"/>
          <w:lang w:eastAsia="sk-SK"/>
        </w:rPr>
      </w:pPr>
      <w:r w:rsidRPr="00FA63B4">
        <w:rPr>
          <w:rFonts w:ascii="Times New Roman" w:hAnsi="Times New Roman" w:cs="Times New Roman"/>
          <w:sz w:val="24"/>
          <w:szCs w:val="24"/>
        </w:rPr>
        <w:t xml:space="preserve">rozhodnutie Súdneho dvora vo veci C - 88/13, </w:t>
      </w:r>
      <w:r w:rsidRPr="00FA63B4">
        <w:rPr>
          <w:rFonts w:ascii="Times New Roman" w:hAnsi="Times New Roman" w:cs="Times New Roman"/>
          <w:bCs/>
          <w:sz w:val="24"/>
          <w:szCs w:val="24"/>
        </w:rPr>
        <w:t>Philippe Gruslin</w:t>
      </w:r>
      <w:r w:rsidRPr="00FA63B4">
        <w:rPr>
          <w:rFonts w:ascii="Times New Roman" w:hAnsi="Times New Roman" w:cs="Times New Roman"/>
          <w:sz w:val="24"/>
          <w:szCs w:val="24"/>
        </w:rPr>
        <w:t xml:space="preserve"> proti </w:t>
      </w:r>
      <w:r w:rsidRPr="00FA63B4">
        <w:rPr>
          <w:rFonts w:ascii="Times New Roman" w:hAnsi="Times New Roman" w:cs="Times New Roman"/>
          <w:bCs/>
          <w:sz w:val="24"/>
          <w:szCs w:val="24"/>
        </w:rPr>
        <w:t>Beobank SA</w:t>
      </w:r>
      <w:r w:rsidRPr="00FA63B4">
        <w:rPr>
          <w:rFonts w:ascii="Times New Roman" w:hAnsi="Times New Roman" w:cs="Times New Roman"/>
          <w:sz w:val="24"/>
          <w:szCs w:val="24"/>
        </w:rPr>
        <w:t>, [</w:t>
      </w:r>
      <w:r w:rsidRPr="00FA63B4">
        <w:rPr>
          <w:rFonts w:ascii="Times New Roman" w:hAnsi="Times New Roman" w:cs="Times New Roman"/>
          <w:bCs/>
          <w:sz w:val="24"/>
          <w:szCs w:val="24"/>
        </w:rPr>
        <w:t>2014</w:t>
      </w:r>
      <w:r w:rsidRPr="00FA63B4">
        <w:rPr>
          <w:rFonts w:ascii="Times New Roman" w:hAnsi="Times New Roman" w:cs="Times New Roman"/>
          <w:sz w:val="24"/>
          <w:szCs w:val="24"/>
        </w:rPr>
        <w:t>].</w:t>
      </w:r>
    </w:p>
    <w:p w14:paraId="6C78F362" w14:textId="77777777" w:rsidR="004A117C" w:rsidRPr="00FA63B4" w:rsidRDefault="004A117C" w:rsidP="004A117C">
      <w:pPr>
        <w:pStyle w:val="Odsekzoznamu"/>
        <w:spacing w:after="0" w:line="240" w:lineRule="auto"/>
        <w:ind w:left="1068"/>
        <w:jc w:val="both"/>
        <w:rPr>
          <w:rFonts w:ascii="Times New Roman" w:eastAsia="Times New Roman" w:hAnsi="Times New Roman" w:cs="Times New Roman"/>
          <w:sz w:val="24"/>
          <w:szCs w:val="24"/>
          <w:lang w:eastAsia="sk-SK"/>
        </w:rPr>
      </w:pPr>
    </w:p>
    <w:p w14:paraId="771DE2B8" w14:textId="77777777" w:rsidR="004A117C" w:rsidRPr="00FA63B4" w:rsidRDefault="004A117C" w:rsidP="004A117C">
      <w:pPr>
        <w:pStyle w:val="Odsekzoznamu"/>
        <w:spacing w:after="0" w:line="240" w:lineRule="auto"/>
        <w:ind w:left="1068"/>
        <w:jc w:val="both"/>
        <w:rPr>
          <w:rFonts w:ascii="Times New Roman" w:eastAsia="Times New Roman" w:hAnsi="Times New Roman" w:cs="Times New Roman"/>
          <w:b/>
          <w:sz w:val="24"/>
          <w:szCs w:val="24"/>
          <w:lang w:eastAsia="sk-SK"/>
        </w:rPr>
      </w:pPr>
      <w:r w:rsidRPr="00FA63B4">
        <w:rPr>
          <w:rFonts w:ascii="Times New Roman" w:eastAsia="Times New Roman" w:hAnsi="Times New Roman" w:cs="Times New Roman"/>
          <w:b/>
          <w:sz w:val="24"/>
          <w:szCs w:val="24"/>
          <w:lang w:eastAsia="sk-SK"/>
        </w:rPr>
        <w:t>Výrok rozhodnutia:</w:t>
      </w:r>
    </w:p>
    <w:p w14:paraId="508FB13E" w14:textId="77777777" w:rsidR="004A117C" w:rsidRPr="00FA63B4" w:rsidRDefault="004A117C" w:rsidP="004A117C">
      <w:pPr>
        <w:pStyle w:val="c08dispositif"/>
        <w:numPr>
          <w:ilvl w:val="0"/>
          <w:numId w:val="13"/>
        </w:numPr>
        <w:spacing w:after="240" w:afterAutospacing="0"/>
        <w:jc w:val="both"/>
        <w:rPr>
          <w:bCs/>
          <w:color w:val="000000"/>
        </w:rPr>
      </w:pPr>
      <w:r w:rsidRPr="00FA63B4">
        <w:rPr>
          <w:bCs/>
          <w:color w:val="000000"/>
        </w:rPr>
        <w:t xml:space="preserve">Povinnosť stanovená v článku 45 smernice Rady 85/611/EHS z 20. decembra 1985 o koordinácii zákonov, iných právnych predpisov a správnych opatrení týkajúcich sa podnikov kolektívneho investovania do prevoditeľných cenných papierov </w:t>
      </w:r>
      <w:r w:rsidRPr="00FA63B4">
        <w:rPr>
          <w:bCs/>
          <w:color w:val="000000"/>
        </w:rPr>
        <w:lastRenderedPageBreak/>
        <w:t>(PKIPCP), zmenenej a doplnenej smernicou Európskeho parlamentu a Rady 95/26/ES z 29. júna 1995, podľa ktorej je podnik kolektívneho investovania do prevoditeľných cenných papierov, ktorý predáva svoje podielové listy na území iného členského štátu, než v ktorom má svoje sídlo, povinný zabezpečiť podielnikom vyplácanie v členskom štáte, kde sa podielové listy predávajú, sa má vykladať tak, že nezahŕňa vydávanie osvedčení podielnikom o vlastníctve podielových listov, ktoré sú zapísané na ich  meno v emitentovom registri podielnikov.</w:t>
      </w:r>
    </w:p>
    <w:p w14:paraId="338F6FDD" w14:textId="77777777" w:rsidR="004A117C" w:rsidRPr="00FA63B4" w:rsidRDefault="004A117C" w:rsidP="004A117C">
      <w:pPr>
        <w:pStyle w:val="Odsekzoznamu"/>
        <w:numPr>
          <w:ilvl w:val="0"/>
          <w:numId w:val="12"/>
        </w:numPr>
        <w:spacing w:after="0" w:line="240" w:lineRule="auto"/>
        <w:ind w:left="709"/>
        <w:jc w:val="both"/>
        <w:rPr>
          <w:rFonts w:ascii="Times New Roman" w:hAnsi="Times New Roman" w:cs="Times New Roman"/>
          <w:color w:val="000000"/>
          <w:sz w:val="24"/>
          <w:szCs w:val="24"/>
          <w:lang w:eastAsia="sk-SK"/>
        </w:rPr>
      </w:pPr>
      <w:r w:rsidRPr="00FA63B4">
        <w:rPr>
          <w:rFonts w:ascii="Times New Roman" w:hAnsi="Times New Roman" w:cs="Times New Roman"/>
          <w:sz w:val="24"/>
          <w:szCs w:val="24"/>
        </w:rPr>
        <w:t>rozhodnutie Súdneho dvora vo veci C - 631/18, EK proti Slovinskej republike, [</w:t>
      </w:r>
      <w:r w:rsidRPr="00FA63B4">
        <w:rPr>
          <w:rFonts w:ascii="Times New Roman" w:hAnsi="Times New Roman" w:cs="Times New Roman"/>
          <w:bCs/>
          <w:sz w:val="24"/>
          <w:szCs w:val="24"/>
        </w:rPr>
        <w:t>2021</w:t>
      </w:r>
      <w:r w:rsidRPr="00FA63B4">
        <w:rPr>
          <w:rFonts w:ascii="Times New Roman" w:hAnsi="Times New Roman" w:cs="Times New Roman"/>
          <w:sz w:val="24"/>
          <w:szCs w:val="24"/>
        </w:rPr>
        <w:t>].</w:t>
      </w:r>
    </w:p>
    <w:p w14:paraId="20C3510C" w14:textId="77777777" w:rsidR="004A117C" w:rsidRPr="00FA63B4" w:rsidRDefault="004A117C" w:rsidP="004A117C">
      <w:pPr>
        <w:pStyle w:val="Odsekzoznamu"/>
        <w:spacing w:after="0" w:line="240" w:lineRule="auto"/>
        <w:ind w:left="1068"/>
        <w:jc w:val="both"/>
        <w:rPr>
          <w:rFonts w:ascii="Times New Roman" w:eastAsia="Times New Roman" w:hAnsi="Times New Roman" w:cs="Times New Roman"/>
          <w:sz w:val="24"/>
          <w:szCs w:val="24"/>
          <w:lang w:eastAsia="sk-SK"/>
        </w:rPr>
      </w:pPr>
    </w:p>
    <w:p w14:paraId="0008F216" w14:textId="77777777" w:rsidR="004A117C" w:rsidRPr="00FA63B4" w:rsidRDefault="004A117C" w:rsidP="004A117C">
      <w:pPr>
        <w:pStyle w:val="Odsekzoznamu"/>
        <w:spacing w:after="0" w:line="240" w:lineRule="auto"/>
        <w:ind w:left="1068"/>
        <w:jc w:val="both"/>
        <w:rPr>
          <w:rFonts w:ascii="Times New Roman" w:eastAsia="Times New Roman" w:hAnsi="Times New Roman" w:cs="Times New Roman"/>
          <w:b/>
          <w:sz w:val="24"/>
          <w:szCs w:val="24"/>
          <w:lang w:eastAsia="sk-SK"/>
        </w:rPr>
      </w:pPr>
      <w:r w:rsidRPr="00FA63B4">
        <w:rPr>
          <w:rFonts w:ascii="Times New Roman" w:eastAsia="Times New Roman" w:hAnsi="Times New Roman" w:cs="Times New Roman"/>
          <w:b/>
          <w:sz w:val="24"/>
          <w:szCs w:val="24"/>
          <w:lang w:eastAsia="sk-SK"/>
        </w:rPr>
        <w:t>Výrok rozhodnutia:</w:t>
      </w:r>
    </w:p>
    <w:p w14:paraId="723BD65C" w14:textId="77777777" w:rsidR="004A117C" w:rsidRPr="00FA63B4" w:rsidRDefault="004A117C" w:rsidP="004A117C">
      <w:pPr>
        <w:pStyle w:val="c08dispositif"/>
        <w:spacing w:after="240" w:afterAutospacing="0"/>
        <w:ind w:left="1137"/>
        <w:jc w:val="both"/>
        <w:rPr>
          <w:bCs/>
          <w:color w:val="000000"/>
        </w:rPr>
      </w:pPr>
      <w:r w:rsidRPr="00FA63B4">
        <w:rPr>
          <w:bCs/>
          <w:color w:val="000000"/>
        </w:rPr>
        <w:t>Slovinská republika si tým, že ku dňu uplynutia lehoty stanovenej v odôvodnenom stanovisku neprijala zákony, iné právne predpisy a správne opatrenia potrebné na dosiahnutie súladu s delegovanou smernicou Komisie (EÚ) 2017/593 zo 7. apríla 2016, ktorou sa dopĺňa smernica Európskeho parlamentu a Rady </w:t>
      </w:r>
      <w:bookmarkStart w:id="1" w:name="ctx3"/>
      <w:r w:rsidRPr="00FA63B4">
        <w:rPr>
          <w:bCs/>
        </w:rPr>
        <w:t>2014/65</w:t>
      </w:r>
      <w:bookmarkEnd w:id="1"/>
      <w:r w:rsidRPr="00FA63B4">
        <w:rPr>
          <w:bCs/>
          <w:color w:val="000000"/>
        </w:rPr>
        <w:t>/EÚ, pokiaľ ide o ochranu finančných nástrojov a finančných prostriedkov patriacich klientom, povinnosti v oblasti riadenia produktov a pravidlá uplatniteľné na poskytovanie alebo prijímanie poplatkov, provízií alebo akýchkoľvek peňažných alebo nepeňažných benefitov, a ani neoznámila tieto ustanovenia Európskej komisii, nesplnila povinnosti, ktoré jej vyplývajú z článku 14 delegovanej smernice 2017/593.</w:t>
      </w:r>
    </w:p>
    <w:p w14:paraId="7C9B733E" w14:textId="77777777" w:rsidR="004A117C" w:rsidRPr="00FA63B4" w:rsidRDefault="004A117C" w:rsidP="004A117C">
      <w:pPr>
        <w:pStyle w:val="Odsekzoznamu"/>
        <w:numPr>
          <w:ilvl w:val="0"/>
          <w:numId w:val="12"/>
        </w:numPr>
        <w:spacing w:after="0" w:line="240" w:lineRule="auto"/>
        <w:ind w:left="709"/>
        <w:jc w:val="both"/>
        <w:rPr>
          <w:rFonts w:ascii="Times New Roman" w:hAnsi="Times New Roman" w:cs="Times New Roman"/>
          <w:color w:val="000000"/>
          <w:sz w:val="24"/>
          <w:szCs w:val="24"/>
          <w:lang w:eastAsia="sk-SK"/>
        </w:rPr>
      </w:pPr>
      <w:r w:rsidRPr="00FA63B4">
        <w:rPr>
          <w:rFonts w:ascii="Times New Roman" w:hAnsi="Times New Roman" w:cs="Times New Roman"/>
          <w:sz w:val="24"/>
          <w:szCs w:val="24"/>
        </w:rPr>
        <w:t xml:space="preserve">rozhodnutie Súdneho dvora vo veci C - 430/05, </w:t>
      </w:r>
      <w:r w:rsidRPr="00FA63B4">
        <w:rPr>
          <w:rFonts w:ascii="Times New Roman" w:hAnsi="Times New Roman" w:cs="Times New Roman"/>
          <w:bCs/>
          <w:color w:val="000000"/>
          <w:sz w:val="24"/>
          <w:szCs w:val="24"/>
        </w:rPr>
        <w:t xml:space="preserve">Ntionik Anonymi Etaireia Emporias H/Y, Logismikou kai Paroxis Ypiresion Michanografisis, Ioannis Michail Pikoulas </w:t>
      </w:r>
      <w:r w:rsidRPr="00FA63B4">
        <w:rPr>
          <w:rFonts w:ascii="Times New Roman" w:hAnsi="Times New Roman" w:cs="Times New Roman"/>
          <w:sz w:val="24"/>
          <w:szCs w:val="24"/>
        </w:rPr>
        <w:t xml:space="preserve">proti </w:t>
      </w:r>
      <w:r w:rsidRPr="00FA63B4">
        <w:rPr>
          <w:rFonts w:ascii="Times New Roman" w:hAnsi="Times New Roman" w:cs="Times New Roman"/>
          <w:bCs/>
          <w:color w:val="000000"/>
          <w:sz w:val="24"/>
          <w:szCs w:val="24"/>
        </w:rPr>
        <w:t>Epitropi Kefalaiagoras</w:t>
      </w:r>
      <w:r w:rsidRPr="00FA63B4">
        <w:rPr>
          <w:rFonts w:ascii="Times New Roman" w:hAnsi="Times New Roman" w:cs="Times New Roman"/>
          <w:sz w:val="24"/>
          <w:szCs w:val="24"/>
        </w:rPr>
        <w:t xml:space="preserve"> [</w:t>
      </w:r>
      <w:r w:rsidRPr="00FA63B4">
        <w:rPr>
          <w:rFonts w:ascii="Times New Roman" w:hAnsi="Times New Roman" w:cs="Times New Roman"/>
          <w:bCs/>
          <w:sz w:val="24"/>
          <w:szCs w:val="24"/>
        </w:rPr>
        <w:t>2007</w:t>
      </w:r>
      <w:r w:rsidRPr="00FA63B4">
        <w:rPr>
          <w:rFonts w:ascii="Times New Roman" w:hAnsi="Times New Roman" w:cs="Times New Roman"/>
          <w:sz w:val="24"/>
          <w:szCs w:val="24"/>
        </w:rPr>
        <w:t>].</w:t>
      </w:r>
    </w:p>
    <w:p w14:paraId="72A107AF" w14:textId="77777777" w:rsidR="004A117C" w:rsidRPr="00FA63B4" w:rsidRDefault="004A117C" w:rsidP="004A117C">
      <w:pPr>
        <w:pStyle w:val="Odsekzoznamu"/>
        <w:spacing w:after="0" w:line="240" w:lineRule="auto"/>
        <w:ind w:left="1080"/>
        <w:jc w:val="both"/>
        <w:rPr>
          <w:rFonts w:ascii="Times New Roman" w:eastAsia="Times New Roman" w:hAnsi="Times New Roman" w:cs="Times New Roman"/>
          <w:b/>
          <w:sz w:val="24"/>
          <w:szCs w:val="24"/>
          <w:lang w:eastAsia="sk-SK"/>
        </w:rPr>
      </w:pPr>
    </w:p>
    <w:p w14:paraId="26B0AFA6" w14:textId="77777777" w:rsidR="004A117C" w:rsidRPr="00FA63B4" w:rsidRDefault="004A117C" w:rsidP="004A117C">
      <w:pPr>
        <w:pStyle w:val="Odsekzoznamu"/>
        <w:spacing w:after="0" w:line="240" w:lineRule="auto"/>
        <w:ind w:left="1080"/>
        <w:jc w:val="both"/>
        <w:rPr>
          <w:rFonts w:ascii="Times New Roman" w:eastAsia="Times New Roman" w:hAnsi="Times New Roman" w:cs="Times New Roman"/>
          <w:b/>
          <w:sz w:val="24"/>
          <w:szCs w:val="24"/>
          <w:lang w:eastAsia="sk-SK"/>
        </w:rPr>
      </w:pPr>
      <w:r w:rsidRPr="00FA63B4">
        <w:rPr>
          <w:rFonts w:ascii="Times New Roman" w:eastAsia="Times New Roman" w:hAnsi="Times New Roman" w:cs="Times New Roman"/>
          <w:b/>
          <w:sz w:val="24"/>
          <w:szCs w:val="24"/>
          <w:lang w:eastAsia="sk-SK"/>
        </w:rPr>
        <w:t>Výrok rozhodnutia:</w:t>
      </w:r>
    </w:p>
    <w:p w14:paraId="634F3C82" w14:textId="77777777" w:rsidR="004A117C" w:rsidRDefault="004A117C" w:rsidP="004A117C">
      <w:pPr>
        <w:pStyle w:val="c08dispositif"/>
        <w:spacing w:after="240" w:afterAutospacing="0"/>
        <w:ind w:left="1137"/>
        <w:jc w:val="both"/>
        <w:rPr>
          <w:bCs/>
        </w:rPr>
      </w:pPr>
      <w:r w:rsidRPr="00FA63B4">
        <w:rPr>
          <w:bCs/>
        </w:rPr>
        <w:t>Článok 21 smernice </w:t>
      </w:r>
      <w:bookmarkStart w:id="2" w:name="ctx22"/>
      <w:r w:rsidRPr="00FA63B4">
        <w:rPr>
          <w:bCs/>
        </w:rPr>
        <w:t>2001/34</w:t>
      </w:r>
      <w:bookmarkEnd w:id="2"/>
      <w:r w:rsidRPr="00FA63B4">
        <w:rPr>
          <w:bCs/>
        </w:rPr>
        <w:t>/ES Európskeho parlamentu a Rady z 28. mája 2001 o prijímaní cenných papierov na kótovanie na burze cenných papierov a o informáciách, ktoré sa o týchto cenných papieroch musia zverejňovať, sa má vykladať v tom zmysle, že mu neodporuje, aby vnútroštátny zákonodarca zaviedol pre prípad, že informácie, ktoré obsahuje prospekt uverejnený s cieľom prijatia cenných papierov na kótovanie na burzu cenných papierov, sa ukážu ako nesprávne a zavádzajúce, administratívne sankcie nielen proti osobám, ktoré sú výslovne uvedené v tomto prospekte ako zodpovedné osoby, ale rovnako aj proti emitentovi týchto cenných papierov a proti členom predstavenstva tohto emitenta bez toho, aby sa rozlišovalo, či členovia predstavenstva boli v uvedenom prospekte označení ako zodpovedné osoby.</w:t>
      </w:r>
    </w:p>
    <w:p w14:paraId="71D132D2" w14:textId="77777777" w:rsidR="004A117C" w:rsidRPr="003C485E" w:rsidRDefault="004A117C" w:rsidP="004A117C">
      <w:pPr>
        <w:pStyle w:val="c08dispositif"/>
        <w:numPr>
          <w:ilvl w:val="0"/>
          <w:numId w:val="12"/>
        </w:numPr>
        <w:spacing w:after="240" w:afterAutospacing="0"/>
        <w:ind w:left="709" w:hanging="425"/>
        <w:jc w:val="both"/>
        <w:rPr>
          <w:bCs/>
        </w:rPr>
      </w:pPr>
      <w:r w:rsidRPr="003C485E">
        <w:rPr>
          <w:bCs/>
        </w:rPr>
        <w:t>rozsudok Súdneho dvora vo veci C-414/18, Iccrea Banca SpA Istituto Centrale del Credito Cooperativo proti Banca d’Italia, [2019]</w:t>
      </w:r>
    </w:p>
    <w:p w14:paraId="01979C34" w14:textId="77777777" w:rsidR="004A117C" w:rsidRPr="003C485E" w:rsidRDefault="004A117C" w:rsidP="004A117C">
      <w:pPr>
        <w:pStyle w:val="c08dispositif"/>
        <w:spacing w:after="240" w:afterAutospacing="0"/>
        <w:ind w:left="1080"/>
        <w:jc w:val="both"/>
        <w:rPr>
          <w:b/>
          <w:bCs/>
        </w:rPr>
      </w:pPr>
      <w:r w:rsidRPr="003C485E">
        <w:rPr>
          <w:b/>
          <w:bCs/>
        </w:rPr>
        <w:t>Výrok rozhodnutia</w:t>
      </w:r>
    </w:p>
    <w:p w14:paraId="30501863" w14:textId="77777777" w:rsidR="004A117C" w:rsidRPr="003C485E" w:rsidRDefault="004A117C" w:rsidP="004A117C">
      <w:pPr>
        <w:pStyle w:val="c08dispositif"/>
        <w:spacing w:after="240" w:afterAutospacing="0"/>
        <w:ind w:left="1080"/>
        <w:jc w:val="both"/>
        <w:rPr>
          <w:bCs/>
        </w:rPr>
      </w:pPr>
      <w:r w:rsidRPr="003C485E">
        <w:rPr>
          <w:bCs/>
        </w:rPr>
        <w:t xml:space="preserve">Článok 103 ods. 2 smernice Európskeho parlamentu a Rady 2014/59/EÚ z 15. mája 2014, ktorou sa stanovuje rámec pre ozdravenie a riešenie krízových situácií úverových inštitúcií a investičných spoločností a ktorou sa mení smernica Rady </w:t>
      </w:r>
      <w:r w:rsidRPr="003C485E">
        <w:rPr>
          <w:bCs/>
        </w:rPr>
        <w:lastRenderedPageBreak/>
        <w:t>82/891/EHS a smernice Európskeho parlamentu a Rady 2001/24/ES, 2002/47/ES, 2004/25/ES, 2005/56/ES, 2007/36/ES, 2011/35/EÚ, 2012/30/EÚ a 2013/36/EÚ a nariadenia Európskeho parlamentu a Rady (EÚ) č. 1093/2010 a (EÚ) č. 648/2012, a článok 5 ods. 1 písm. a) a f) delegovaného nariadenia Komisie (EÚ) 2015/63 z 21. októbra 2014, ktorým sa dopĺňa smernica Európskeho parlamentu a Rady 2014/59/EÚ, pokiaľ ide o príspevky ex  ante do mechanizmov financovania riešenia krízových situácií, sa majú vykladať v tom zmysle, že záväzky, ktoré sú výsledkom transakcií medzi bankou druhého stupňa a členmi skupiny, ktorú tvorí s družstevnými bankami, ktorým poskytuje rôzne služby bez toho, aby ich kontrolovala, a nepokrývajúce úvery poskytnuté na nesúťažnom a neziskovom základe s cieľom podporiť ciele verejnej politiky ústrednej alebo regionálnej štátnej správy</w:t>
      </w:r>
      <w:r w:rsidRPr="003C485E">
        <w:t xml:space="preserve"> </w:t>
      </w:r>
      <w:r w:rsidRPr="003C485E">
        <w:rPr>
          <w:bCs/>
        </w:rPr>
        <w:t>členského štátu, nie sú vylúčené z výpočtu príspevkov do vnútroštátneho fondu na riešenie</w:t>
      </w:r>
      <w:r w:rsidRPr="003C485E">
        <w:t xml:space="preserve"> </w:t>
      </w:r>
      <w:r w:rsidRPr="003C485E">
        <w:rPr>
          <w:bCs/>
        </w:rPr>
        <w:t>krízových situácií uvedených v tomto článku 103 ods. 2.</w:t>
      </w:r>
    </w:p>
    <w:p w14:paraId="0BC448DD" w14:textId="77777777" w:rsidR="004A117C" w:rsidRPr="003C485E" w:rsidRDefault="004A117C" w:rsidP="004A117C">
      <w:pPr>
        <w:pStyle w:val="c08dispositif"/>
        <w:numPr>
          <w:ilvl w:val="0"/>
          <w:numId w:val="12"/>
        </w:numPr>
        <w:spacing w:after="240" w:afterAutospacing="0"/>
        <w:ind w:left="709" w:hanging="425"/>
        <w:jc w:val="both"/>
        <w:rPr>
          <w:bCs/>
        </w:rPr>
      </w:pPr>
      <w:r w:rsidRPr="003C485E">
        <w:rPr>
          <w:bCs/>
        </w:rPr>
        <w:t>rozsudok Súdneho dvora vo veci C-255/18, State Street Bank International GmbH proti Banca d’Italia za účasti Banco delle Tre Venezie SpA, [2019]</w:t>
      </w:r>
    </w:p>
    <w:p w14:paraId="042BFC6D" w14:textId="77777777" w:rsidR="004A117C" w:rsidRPr="003C485E" w:rsidRDefault="004A117C" w:rsidP="004A117C">
      <w:pPr>
        <w:pStyle w:val="c08dispositif"/>
        <w:spacing w:after="240" w:afterAutospacing="0"/>
        <w:ind w:left="1080"/>
        <w:jc w:val="both"/>
        <w:rPr>
          <w:b/>
          <w:bCs/>
        </w:rPr>
      </w:pPr>
      <w:r w:rsidRPr="003C485E">
        <w:rPr>
          <w:b/>
          <w:bCs/>
        </w:rPr>
        <w:t xml:space="preserve">Výrok rozhodnutia </w:t>
      </w:r>
    </w:p>
    <w:p w14:paraId="267F8AEC" w14:textId="77777777" w:rsidR="004A117C" w:rsidRPr="003C485E" w:rsidRDefault="004A117C" w:rsidP="004A117C">
      <w:pPr>
        <w:pStyle w:val="c08dispositif"/>
        <w:spacing w:after="240" w:afterAutospacing="0"/>
        <w:ind w:left="1080"/>
        <w:jc w:val="both"/>
        <w:rPr>
          <w:bCs/>
        </w:rPr>
      </w:pPr>
      <w:r w:rsidRPr="003C485E">
        <w:rPr>
          <w:bCs/>
        </w:rPr>
        <w:t>1. Pojem „zmena štatútu“ v zmysle článku 12 ods. 2 delegovaného nariadenia Komisie (EÚ) 2015/63 z 21. októbra 2014, ktorým sa dopĺňa smernica Európskeho parlamentu a Rady 2014/59/EÚ, pokiaľ ide o príspevky ex  ante do mechanizmov financovania riešenia krízových situácií, sa má vykladať v tom zmysle, že zahŕňa takú operáciu, o akú</w:t>
      </w:r>
      <w:r w:rsidRPr="003C485E">
        <w:t xml:space="preserve"> </w:t>
      </w:r>
      <w:r w:rsidRPr="003C485E">
        <w:rPr>
          <w:bCs/>
        </w:rPr>
        <w:t>ide vo veci samej, v súvislosti s ktorou inštitúcia prestane v priebehu roka podliehať dohľadu národného orgánu pre riešenie krízových situácií v nadväznosti na cezhraničné zlúčenie s jej materskou spoločnosťou, a že v dôsledku toho táto operácia nemá vplyv na povinnosť tejto inštitúcie uhradiť všetky pravidelné príspevky splatné za príslušný príspevkový rok.</w:t>
      </w:r>
    </w:p>
    <w:p w14:paraId="06014D1A" w14:textId="77777777" w:rsidR="004A117C" w:rsidRPr="003C485E" w:rsidRDefault="004A117C" w:rsidP="004A117C">
      <w:pPr>
        <w:pStyle w:val="c08dispositif"/>
        <w:spacing w:after="240" w:afterAutospacing="0"/>
        <w:ind w:left="1080"/>
        <w:jc w:val="both"/>
        <w:rPr>
          <w:bCs/>
        </w:rPr>
      </w:pPr>
      <w:r w:rsidRPr="003C485E">
        <w:rPr>
          <w:bCs/>
        </w:rPr>
        <w:t>2. Článok 12 ods. 2 delegovaného nariadenia 2015/63 sa má vykladať v tom zmysle, že sa uplatňuje na situáciu, v ktorej k cezhraničnému zlúčeniu inštitúcie so sídlom v členskom štáte s jej materskou spoločnosťou so sídlom v inom členskom štáte a následnému zániku tejto inštitúcie došlo počas roka 2015, hoci vnútroštátny orgán pre riešenie krízových situácií ani štátny fond neboli prvým členským štátom ešte formálne vytvorené a príspevky</w:t>
      </w:r>
      <w:r w:rsidRPr="003C485E">
        <w:t xml:space="preserve"> </w:t>
      </w:r>
      <w:r w:rsidRPr="003C485E">
        <w:rPr>
          <w:bCs/>
        </w:rPr>
        <w:t>ešte neboli vypočítané.</w:t>
      </w:r>
    </w:p>
    <w:p w14:paraId="7AF7939B" w14:textId="77777777" w:rsidR="004A117C" w:rsidRPr="00FA63B4" w:rsidRDefault="004A117C" w:rsidP="004A117C">
      <w:pPr>
        <w:pStyle w:val="c08dispositif"/>
        <w:spacing w:after="240" w:afterAutospacing="0"/>
        <w:ind w:left="1080"/>
        <w:jc w:val="both"/>
        <w:rPr>
          <w:bCs/>
        </w:rPr>
      </w:pPr>
      <w:r w:rsidRPr="003C485E">
        <w:rPr>
          <w:bCs/>
        </w:rPr>
        <w:t>3. Článok 104 smernice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sa má vykladať v tom zmysle, že inštitúcia so sídlom v členskom štáte, ktorá sa zlúčila s materskou spoločnosťou so sídlom v inom členskom štáte pred zavedením mimoriadneho príspevku vnútroštátnym orgánom pre riešenie krízových situácií prvého členského štátu, nie je povinná uhradiť tento príspevok.</w:t>
      </w:r>
    </w:p>
    <w:p w14:paraId="06E68980" w14:textId="77777777" w:rsidR="004A117C" w:rsidRPr="00FA63B4" w:rsidRDefault="004A117C" w:rsidP="004A117C">
      <w:pPr>
        <w:rPr>
          <w:b/>
          <w:bCs/>
          <w:color w:val="000000"/>
          <w:lang w:eastAsia="sk-SK"/>
        </w:rPr>
      </w:pPr>
    </w:p>
    <w:p w14:paraId="5535A9D2" w14:textId="77777777" w:rsidR="004A117C" w:rsidRPr="00FA63B4" w:rsidRDefault="004A117C" w:rsidP="004A117C">
      <w:pPr>
        <w:pStyle w:val="Odsekzoznamu"/>
        <w:numPr>
          <w:ilvl w:val="0"/>
          <w:numId w:val="7"/>
        </w:numPr>
        <w:spacing w:after="0" w:line="240" w:lineRule="auto"/>
        <w:ind w:left="426" w:hanging="426"/>
        <w:rPr>
          <w:rFonts w:ascii="Times New Roman" w:eastAsia="Times New Roman" w:hAnsi="Times New Roman" w:cs="Times New Roman"/>
          <w:color w:val="000000"/>
          <w:sz w:val="27"/>
          <w:szCs w:val="27"/>
          <w:lang w:eastAsia="sk-SK"/>
        </w:rPr>
      </w:pPr>
      <w:r w:rsidRPr="00FA63B4">
        <w:rPr>
          <w:rFonts w:ascii="Times New Roman" w:eastAsia="Times New Roman" w:hAnsi="Times New Roman" w:cs="Times New Roman"/>
          <w:b/>
          <w:bCs/>
          <w:color w:val="000000"/>
          <w:sz w:val="24"/>
          <w:szCs w:val="24"/>
          <w:lang w:eastAsia="sk-SK"/>
        </w:rPr>
        <w:t>Záväzky Slovenskej republiky vo vzťahu k Európskej únii:</w:t>
      </w:r>
    </w:p>
    <w:p w14:paraId="06C0D195" w14:textId="77777777" w:rsidR="004A117C" w:rsidRPr="00FA63B4" w:rsidRDefault="004A117C" w:rsidP="004A117C">
      <w:pPr>
        <w:pStyle w:val="Odsekzoznamu"/>
        <w:numPr>
          <w:ilvl w:val="0"/>
          <w:numId w:val="10"/>
        </w:numPr>
        <w:tabs>
          <w:tab w:val="left" w:pos="360"/>
          <w:tab w:val="left" w:pos="540"/>
        </w:tabs>
        <w:spacing w:after="0" w:line="240" w:lineRule="auto"/>
        <w:ind w:left="567" w:hanging="218"/>
        <w:jc w:val="both"/>
        <w:rPr>
          <w:rFonts w:ascii="Times New Roman" w:hAnsi="Times New Roman" w:cs="Times New Roman"/>
          <w:sz w:val="24"/>
          <w:szCs w:val="24"/>
        </w:rPr>
      </w:pPr>
      <w:r w:rsidRPr="00FA63B4">
        <w:rPr>
          <w:rFonts w:ascii="Times New Roman" w:hAnsi="Times New Roman" w:cs="Times New Roman"/>
          <w:sz w:val="24"/>
          <w:szCs w:val="24"/>
        </w:rPr>
        <w:t xml:space="preserve"> Lehota na prebratie delegovanej smernice (EÚ) 2021/1270 je stanovená do 31. júla 2022.</w:t>
      </w:r>
    </w:p>
    <w:p w14:paraId="2E34F102" w14:textId="77777777" w:rsidR="004A117C" w:rsidRDefault="004A117C" w:rsidP="004A117C">
      <w:pPr>
        <w:pStyle w:val="Odsekzoznamu"/>
        <w:tabs>
          <w:tab w:val="left" w:pos="360"/>
          <w:tab w:val="left" w:pos="540"/>
        </w:tabs>
        <w:spacing w:after="0" w:line="240" w:lineRule="auto"/>
        <w:ind w:left="567"/>
        <w:jc w:val="both"/>
        <w:rPr>
          <w:rFonts w:ascii="Times New Roman" w:hAnsi="Times New Roman" w:cs="Times New Roman"/>
          <w:sz w:val="24"/>
          <w:szCs w:val="24"/>
        </w:rPr>
      </w:pPr>
      <w:r w:rsidRPr="00FA63B4">
        <w:rPr>
          <w:rFonts w:ascii="Times New Roman" w:hAnsi="Times New Roman" w:cs="Times New Roman"/>
          <w:sz w:val="24"/>
          <w:szCs w:val="24"/>
        </w:rPr>
        <w:lastRenderedPageBreak/>
        <w:t>Lehota na prebratie delegovanej smernice (EÚ) 2021/1269 je stanovená do 21. augusta 2022.</w:t>
      </w:r>
    </w:p>
    <w:p w14:paraId="400EB630" w14:textId="77777777" w:rsidR="004A117C" w:rsidRPr="00FA63B4" w:rsidRDefault="004A117C" w:rsidP="004A117C">
      <w:pPr>
        <w:pStyle w:val="Odsekzoznamu"/>
        <w:tabs>
          <w:tab w:val="left" w:pos="360"/>
          <w:tab w:val="left" w:pos="540"/>
        </w:tabs>
        <w:spacing w:after="0" w:line="240" w:lineRule="auto"/>
        <w:ind w:left="567"/>
        <w:jc w:val="both"/>
        <w:rPr>
          <w:rFonts w:ascii="Times New Roman" w:hAnsi="Times New Roman" w:cs="Times New Roman"/>
          <w:sz w:val="24"/>
          <w:szCs w:val="24"/>
        </w:rPr>
      </w:pPr>
      <w:r w:rsidRPr="00096B93">
        <w:rPr>
          <w:rFonts w:ascii="Times New Roman" w:hAnsi="Times New Roman" w:cs="Times New Roman"/>
          <w:sz w:val="24"/>
          <w:szCs w:val="24"/>
        </w:rPr>
        <w:t>Lehota na prebratie smernice (EÚ) 2021/2261 je stanovená do 30. júna 2022</w:t>
      </w:r>
      <w:r>
        <w:rPr>
          <w:rFonts w:ascii="Times New Roman" w:hAnsi="Times New Roman" w:cs="Times New Roman"/>
          <w:sz w:val="24"/>
          <w:szCs w:val="24"/>
        </w:rPr>
        <w:t>.</w:t>
      </w:r>
    </w:p>
    <w:p w14:paraId="0F702ED3" w14:textId="77777777" w:rsidR="004A117C" w:rsidRPr="00FA63B4" w:rsidRDefault="004A117C" w:rsidP="004A117C">
      <w:pPr>
        <w:pStyle w:val="Odsekzoznamu"/>
        <w:tabs>
          <w:tab w:val="left" w:pos="360"/>
          <w:tab w:val="left" w:pos="540"/>
        </w:tabs>
        <w:spacing w:after="0" w:line="240" w:lineRule="auto"/>
        <w:ind w:left="567"/>
        <w:jc w:val="both"/>
        <w:rPr>
          <w:rFonts w:ascii="Times New Roman" w:hAnsi="Times New Roman" w:cs="Times New Roman"/>
          <w:sz w:val="24"/>
          <w:szCs w:val="24"/>
        </w:rPr>
      </w:pPr>
      <w:r w:rsidRPr="00FA63B4">
        <w:rPr>
          <w:rFonts w:ascii="Times New Roman" w:hAnsi="Times New Roman" w:cs="Times New Roman"/>
          <w:sz w:val="24"/>
          <w:szCs w:val="24"/>
        </w:rPr>
        <w:t>Lehota na prebratie smernice (EÚ) 2019/1160 bola stanovená do 2. augusta 2021.</w:t>
      </w:r>
    </w:p>
    <w:p w14:paraId="5DC110E5" w14:textId="77777777" w:rsidR="004A117C" w:rsidRPr="00FA63B4" w:rsidRDefault="004A117C" w:rsidP="004A117C">
      <w:pPr>
        <w:tabs>
          <w:tab w:val="left" w:pos="360"/>
          <w:tab w:val="left" w:pos="540"/>
        </w:tabs>
        <w:ind w:left="540"/>
        <w:jc w:val="both"/>
      </w:pPr>
      <w:r w:rsidRPr="00FA63B4">
        <w:t xml:space="preserve">Lehota na prebratie smernice </w:t>
      </w:r>
      <w:r w:rsidRPr="00FA63B4">
        <w:rPr>
          <w:bCs/>
        </w:rPr>
        <w:t>2014/65/EÚ</w:t>
      </w:r>
      <w:r w:rsidRPr="00FA63B4">
        <w:t xml:space="preserve"> v platnom znení </w:t>
      </w:r>
      <w:r w:rsidRPr="00FA63B4">
        <w:rPr>
          <w:color w:val="000000"/>
          <w:lang w:eastAsia="sk-SK"/>
        </w:rPr>
        <w:t>bola stanovená</w:t>
      </w:r>
      <w:r w:rsidRPr="00FA63B4">
        <w:t xml:space="preserve"> do 3.</w:t>
      </w:r>
      <w:r>
        <w:t>júla</w:t>
      </w:r>
      <w:r w:rsidRPr="00FA63B4">
        <w:t>. 2017.</w:t>
      </w:r>
    </w:p>
    <w:p w14:paraId="52B1FC87" w14:textId="77777777" w:rsidR="004A117C" w:rsidRPr="00FA63B4" w:rsidRDefault="004A117C" w:rsidP="004A117C">
      <w:pPr>
        <w:tabs>
          <w:tab w:val="left" w:pos="360"/>
          <w:tab w:val="left" w:pos="540"/>
        </w:tabs>
        <w:ind w:left="540"/>
        <w:jc w:val="both"/>
      </w:pPr>
      <w:r w:rsidRPr="00FA63B4">
        <w:t xml:space="preserve">Lehota na prebratie smernice </w:t>
      </w:r>
      <w:r w:rsidRPr="00FA63B4">
        <w:rPr>
          <w:bCs/>
        </w:rPr>
        <w:t>2001/34/ES</w:t>
      </w:r>
      <w:r w:rsidRPr="00FA63B4">
        <w:t xml:space="preserve"> bola stanovená do 1. mája 2004.</w:t>
      </w:r>
    </w:p>
    <w:p w14:paraId="1131B0FF" w14:textId="77777777" w:rsidR="004A117C" w:rsidRPr="00FA63B4" w:rsidRDefault="004A117C" w:rsidP="004A117C">
      <w:pPr>
        <w:tabs>
          <w:tab w:val="left" w:pos="360"/>
          <w:tab w:val="left" w:pos="540"/>
        </w:tabs>
        <w:ind w:left="540"/>
        <w:jc w:val="both"/>
      </w:pPr>
      <w:r w:rsidRPr="00FA63B4">
        <w:t xml:space="preserve">Lehota na prebratie smernice </w:t>
      </w:r>
      <w:r w:rsidRPr="00FA63B4">
        <w:rPr>
          <w:bCs/>
        </w:rPr>
        <w:t>2011/61/EÚ</w:t>
      </w:r>
      <w:r w:rsidRPr="00FA63B4">
        <w:t xml:space="preserve"> bola stanovená do 22. júla 2013.</w:t>
      </w:r>
    </w:p>
    <w:p w14:paraId="3A5FD3F8" w14:textId="77777777" w:rsidR="004A117C" w:rsidRPr="003C485E" w:rsidRDefault="004A117C" w:rsidP="004A117C">
      <w:pPr>
        <w:tabs>
          <w:tab w:val="left" w:pos="360"/>
          <w:tab w:val="left" w:pos="540"/>
        </w:tabs>
        <w:ind w:left="540"/>
        <w:jc w:val="both"/>
      </w:pPr>
      <w:r w:rsidRPr="003C485E">
        <w:t>Lehota na prebratie smernice 2014/59/EÚ bola stanovená do 31. decembra 2014.</w:t>
      </w:r>
    </w:p>
    <w:p w14:paraId="0953A6D1" w14:textId="77777777" w:rsidR="004A117C" w:rsidRPr="00FA63B4" w:rsidRDefault="004A117C" w:rsidP="004A117C">
      <w:pPr>
        <w:tabs>
          <w:tab w:val="left" w:pos="360"/>
          <w:tab w:val="left" w:pos="540"/>
        </w:tabs>
        <w:ind w:left="540"/>
        <w:jc w:val="both"/>
      </w:pPr>
      <w:r w:rsidRPr="003C485E">
        <w:t>Lehota na prebratie smernice 2019/879/EÚ bola stanovená do 28. decembra 2020.</w:t>
      </w:r>
    </w:p>
    <w:p w14:paraId="69334B9B" w14:textId="77777777" w:rsidR="004A117C" w:rsidRPr="00FA63B4" w:rsidRDefault="004A117C" w:rsidP="004A117C">
      <w:pPr>
        <w:pStyle w:val="Odsekzoznamu"/>
        <w:spacing w:after="0" w:line="240" w:lineRule="auto"/>
        <w:jc w:val="both"/>
        <w:rPr>
          <w:rFonts w:ascii="Times New Roman" w:eastAsia="Times New Roman" w:hAnsi="Times New Roman" w:cs="Times New Roman"/>
          <w:color w:val="000000"/>
          <w:sz w:val="24"/>
          <w:szCs w:val="24"/>
          <w:lang w:eastAsia="sk-SK"/>
        </w:rPr>
      </w:pPr>
    </w:p>
    <w:p w14:paraId="6FE87589" w14:textId="77777777" w:rsidR="004A117C" w:rsidRPr="00FA63B4" w:rsidRDefault="004A117C" w:rsidP="004A117C">
      <w:pPr>
        <w:pStyle w:val="Odsekzoznamu"/>
        <w:numPr>
          <w:ilvl w:val="0"/>
          <w:numId w:val="10"/>
        </w:numPr>
        <w:spacing w:after="0" w:line="240" w:lineRule="auto"/>
        <w:jc w:val="both"/>
        <w:rPr>
          <w:rFonts w:ascii="Times New Roman" w:hAnsi="Times New Roman" w:cs="Times New Roman"/>
          <w:color w:val="000000"/>
          <w:sz w:val="24"/>
          <w:szCs w:val="24"/>
          <w:lang w:eastAsia="sk-SK"/>
        </w:rPr>
      </w:pPr>
      <w:r w:rsidRPr="00FA63B4">
        <w:rPr>
          <w:rFonts w:ascii="Times New Roman" w:hAnsi="Times New Roman" w:cs="Times New Roman"/>
          <w:sz w:val="24"/>
          <w:szCs w:val="24"/>
        </w:rPr>
        <w:t>Proti SR nebolo začaté konanie v rámci „EÚ Pilot“, ani nebol začatý postup Európskej komisie, alebo konanie Súdneho dvora Európskej únie proti Slovenskej republike podľa čl. 258 až 260 Zmluvy o fungovaní Európskej únie v platnom znení.</w:t>
      </w:r>
    </w:p>
    <w:p w14:paraId="43F20F1E" w14:textId="77777777" w:rsidR="004A117C" w:rsidRPr="00FA63B4" w:rsidRDefault="004A117C" w:rsidP="004A117C">
      <w:pPr>
        <w:pStyle w:val="Odsekzoznamu"/>
        <w:spacing w:after="0" w:line="240" w:lineRule="auto"/>
        <w:rPr>
          <w:rFonts w:ascii="Times New Roman" w:hAnsi="Times New Roman" w:cs="Times New Roman"/>
          <w:color w:val="000000"/>
          <w:sz w:val="24"/>
          <w:szCs w:val="24"/>
          <w:lang w:eastAsia="sk-SK"/>
        </w:rPr>
      </w:pPr>
    </w:p>
    <w:p w14:paraId="383ABF9A" w14:textId="77777777" w:rsidR="004A117C" w:rsidRPr="00FA63B4" w:rsidRDefault="004A117C" w:rsidP="004A117C">
      <w:pPr>
        <w:pStyle w:val="Default"/>
        <w:numPr>
          <w:ilvl w:val="0"/>
          <w:numId w:val="10"/>
        </w:numPr>
        <w:jc w:val="both"/>
        <w:rPr>
          <w:rFonts w:ascii="Times New Roman" w:hAnsi="Times New Roman" w:cs="Times New Roman"/>
        </w:rPr>
      </w:pPr>
      <w:r w:rsidRPr="00FA63B4">
        <w:rPr>
          <w:rFonts w:ascii="Times New Roman" w:hAnsi="Times New Roman" w:cs="Times New Roman"/>
          <w:lang w:eastAsia="cs-CZ"/>
        </w:rPr>
        <w:t xml:space="preserve">Smernica (EÚ) 2019/1160 bola prebratá do </w:t>
      </w:r>
      <w:r w:rsidRPr="00FA63B4">
        <w:rPr>
          <w:rFonts w:ascii="Times New Roman" w:hAnsi="Times New Roman" w:cs="Times New Roman"/>
        </w:rPr>
        <w:t xml:space="preserve">zákona č. </w:t>
      </w:r>
      <w:r w:rsidRPr="00FA63B4">
        <w:rPr>
          <w:rFonts w:ascii="Times New Roman" w:hAnsi="Times New Roman" w:cs="Times New Roman"/>
          <w:lang w:eastAsia="cs-CZ"/>
        </w:rPr>
        <w:t>203/2011 Z.z. o kolektívnom investovaní v znení neskorších predpisov.</w:t>
      </w:r>
    </w:p>
    <w:p w14:paraId="40D53848" w14:textId="77777777" w:rsidR="004A117C" w:rsidRPr="00FA63B4" w:rsidRDefault="004A117C" w:rsidP="004A117C">
      <w:pPr>
        <w:pStyle w:val="Default"/>
        <w:ind w:left="720"/>
        <w:jc w:val="both"/>
        <w:rPr>
          <w:rFonts w:ascii="Times New Roman" w:hAnsi="Times New Roman" w:cs="Times New Roman"/>
          <w:lang w:eastAsia="cs-CZ"/>
        </w:rPr>
      </w:pPr>
    </w:p>
    <w:p w14:paraId="4EDD0AFB" w14:textId="77777777" w:rsidR="004A117C" w:rsidRDefault="004A117C" w:rsidP="004A117C">
      <w:pPr>
        <w:pStyle w:val="Default"/>
        <w:ind w:left="720"/>
        <w:jc w:val="both"/>
        <w:rPr>
          <w:rFonts w:ascii="Times New Roman" w:hAnsi="Times New Roman" w:cs="Times New Roman"/>
        </w:rPr>
      </w:pPr>
      <w:r w:rsidRPr="00FA63B4">
        <w:rPr>
          <w:rFonts w:ascii="Times New Roman" w:hAnsi="Times New Roman" w:cs="Times New Roman"/>
          <w:lang w:eastAsia="cs-CZ"/>
        </w:rPr>
        <w:t xml:space="preserve">Smernica 2014/65/EÚ bola prebratá do </w:t>
      </w:r>
      <w:r w:rsidRPr="00FA63B4">
        <w:rPr>
          <w:rFonts w:ascii="Times New Roman" w:hAnsi="Times New Roman" w:cs="Times New Roman"/>
        </w:rPr>
        <w:t>zákona č.</w:t>
      </w:r>
      <w:r w:rsidRPr="00FA63B4">
        <w:rPr>
          <w:rFonts w:ascii="Times New Roman" w:hAnsi="Times New Roman" w:cs="Times New Roman"/>
          <w:lang w:eastAsia="cs-CZ"/>
        </w:rPr>
        <w:t xml:space="preserve"> 566/2001 Z.z. o cenných papieroch a investičných službách a o zmene a doplnení niektorých zákonov (zákon o cenných papieroch) v znení neskorších predpisov, do zákona č. 429/2002 Z.z. o burze cenných papierov v znení neskorších predpisov, do zákona č. 747/2004 Z.z. o dohľade nad finančným trhom a o zmene niektorých zákonov v znení neskorších predpisov, do zákona č. 186/2009 Z.z. </w:t>
      </w:r>
      <w:r w:rsidRPr="00FA63B4">
        <w:rPr>
          <w:rFonts w:ascii="Times New Roman" w:hAnsi="Times New Roman" w:cs="Times New Roman"/>
        </w:rPr>
        <w:t xml:space="preserve">o finančnom sprostredkovaní a finančnom poradenstve a o zmene a doplnení niektorých zákonov </w:t>
      </w:r>
      <w:r w:rsidRPr="00FA63B4">
        <w:rPr>
          <w:rFonts w:ascii="Times New Roman" w:hAnsi="Times New Roman" w:cs="Times New Roman"/>
          <w:lang w:eastAsia="cs-CZ"/>
        </w:rPr>
        <w:t xml:space="preserve">v znení neskorších predpisov, do zákona č. 203/2011 Z.z. o kolektívnom investovaní v znení neskorších predpisov, </w:t>
      </w:r>
      <w:r w:rsidRPr="00FA63B4">
        <w:rPr>
          <w:rFonts w:ascii="Times New Roman" w:hAnsi="Times New Roman" w:cs="Times New Roman"/>
        </w:rPr>
        <w:t>do zákona č. 483/2001 Z.z. o bankách a o zmene a doplnení niektorých zákonov v znení neskorších predpisov, do zákona č. 250/2007 Z.z. o ochrane spotrebiteľa a o zmene zákona Slovenskej národnej rady č. 372/1990 Zb. o priestupkoch v znení neskorších predpisov v znení neskorších predpisov a do zákona č. č. 423/2015 Z.z. o štatutárnom audite a o zmene a doplnení zákona č. 431/2002 Z.z. o účtovníctve v znení neskorších predpisov v znení neskorších predpisov.</w:t>
      </w:r>
    </w:p>
    <w:p w14:paraId="10FB1D72" w14:textId="77777777" w:rsidR="004A117C" w:rsidRPr="00FA63B4" w:rsidRDefault="004A117C" w:rsidP="004A117C">
      <w:pPr>
        <w:pStyle w:val="Default"/>
        <w:ind w:left="720"/>
        <w:jc w:val="both"/>
        <w:rPr>
          <w:rFonts w:ascii="Times New Roman" w:hAnsi="Times New Roman" w:cs="Times New Roman"/>
        </w:rPr>
      </w:pPr>
    </w:p>
    <w:p w14:paraId="0CA5653A" w14:textId="77777777" w:rsidR="004A117C" w:rsidRPr="00FA63B4" w:rsidRDefault="004A117C" w:rsidP="004A117C">
      <w:pPr>
        <w:spacing w:after="160" w:line="259" w:lineRule="auto"/>
        <w:ind w:left="720"/>
        <w:contextualSpacing/>
        <w:jc w:val="both"/>
        <w:rPr>
          <w:rFonts w:eastAsia="Calibri"/>
        </w:rPr>
      </w:pPr>
      <w:r w:rsidRPr="00FA63B4">
        <w:rPr>
          <w:rFonts w:eastAsia="Calibri"/>
        </w:rPr>
        <w:t xml:space="preserve">Smernica 2001/34/ES bola prebratá do zákona č. 429/2002 Z. z. o burze cenných papierov v znení neskorších predpisov, </w:t>
      </w:r>
      <w:r w:rsidRPr="00FA63B4">
        <w:t>do zákona č. 566/2001 Z.z. o cenných papieroch a investičných službách a o zmene a doplnení niektorých zákonov (zákon o cenných papieroch) v znení neskorších predpisov a do zákona č. 747/2004 Z.z. o dohľade nad finančným trhom a o zmene niektorých zákonov v znení neskorších predpisov</w:t>
      </w:r>
      <w:r w:rsidRPr="00FA63B4">
        <w:rPr>
          <w:rFonts w:eastAsia="Calibri"/>
        </w:rPr>
        <w:t xml:space="preserve">. </w:t>
      </w:r>
    </w:p>
    <w:p w14:paraId="40290822" w14:textId="77777777" w:rsidR="004A117C" w:rsidRDefault="004A117C" w:rsidP="004A117C">
      <w:pPr>
        <w:pStyle w:val="Odsekzoznamu"/>
        <w:spacing w:after="0" w:line="240" w:lineRule="auto"/>
        <w:jc w:val="both"/>
        <w:rPr>
          <w:rFonts w:ascii="Times New Roman" w:hAnsi="Times New Roman" w:cs="Times New Roman"/>
          <w:bCs/>
          <w:sz w:val="24"/>
          <w:szCs w:val="24"/>
          <w:shd w:val="clear" w:color="auto" w:fill="FFFFFF"/>
        </w:rPr>
      </w:pPr>
      <w:r w:rsidRPr="00FA63B4">
        <w:rPr>
          <w:rFonts w:ascii="Times New Roman" w:hAnsi="Times New Roman" w:cs="Times New Roman"/>
          <w:sz w:val="24"/>
          <w:szCs w:val="24"/>
          <w:lang w:eastAsia="cs-CZ"/>
        </w:rPr>
        <w:t xml:space="preserve">Smernica 2011/61/EÚ bola prebratá </w:t>
      </w:r>
      <w:r w:rsidRPr="00FA63B4">
        <w:rPr>
          <w:rFonts w:ascii="Times New Roman" w:hAnsi="Times New Roman" w:cs="Times New Roman"/>
          <w:sz w:val="24"/>
          <w:szCs w:val="24"/>
        </w:rPr>
        <w:t xml:space="preserve">do zákona č. 203/2011 Z.z. o kolektívnom investovaní </w:t>
      </w:r>
      <w:r w:rsidRPr="00FA63B4">
        <w:rPr>
          <w:rFonts w:ascii="Times New Roman" w:hAnsi="Times New Roman" w:cs="Times New Roman"/>
          <w:sz w:val="24"/>
          <w:szCs w:val="24"/>
          <w:lang w:eastAsia="cs-CZ"/>
        </w:rPr>
        <w:t>v znení neskorších predpisov,</w:t>
      </w:r>
      <w:r w:rsidRPr="00FA63B4">
        <w:rPr>
          <w:rFonts w:ascii="Times New Roman" w:hAnsi="Times New Roman" w:cs="Times New Roman"/>
          <w:sz w:val="24"/>
          <w:szCs w:val="24"/>
        </w:rPr>
        <w:t xml:space="preserve"> do zákona č.</w:t>
      </w:r>
      <w:r w:rsidRPr="00FA63B4">
        <w:rPr>
          <w:rFonts w:ascii="Times New Roman" w:hAnsi="Times New Roman" w:cs="Times New Roman"/>
          <w:sz w:val="24"/>
          <w:szCs w:val="24"/>
          <w:lang w:eastAsia="cs-CZ"/>
        </w:rPr>
        <w:t xml:space="preserve"> 566/2001 Z.z. o cenných papieroch a investičných službách a o zmene a doplnení niektorých zákonov (zákon o cenných papieroch) v znení neskorších predpisov, do zákona č. 747/2004 Z.z. o dohľade nad finančným trhom a o zmene niektorých zákonov v znení neskorších predpisov, do zákona č</w:t>
      </w:r>
      <w:r w:rsidRPr="00FA63B4">
        <w:rPr>
          <w:rFonts w:ascii="Times New Roman" w:hAnsi="Times New Roman" w:cs="Times New Roman"/>
          <w:sz w:val="24"/>
          <w:szCs w:val="24"/>
        </w:rPr>
        <w:t xml:space="preserve">. 429/2002 Z. z. o burze cenných papierov v znení neskorších predpisov, </w:t>
      </w:r>
      <w:r w:rsidRPr="00FA63B4">
        <w:rPr>
          <w:rFonts w:ascii="Times New Roman" w:hAnsi="Times New Roman" w:cs="Times New Roman"/>
          <w:sz w:val="24"/>
          <w:szCs w:val="24"/>
          <w:lang w:eastAsia="cs-CZ"/>
        </w:rPr>
        <w:t>do zákona č</w:t>
      </w:r>
      <w:r w:rsidRPr="00FA63B4">
        <w:rPr>
          <w:rFonts w:ascii="Times New Roman" w:hAnsi="Times New Roman" w:cs="Times New Roman"/>
          <w:sz w:val="24"/>
          <w:szCs w:val="24"/>
        </w:rPr>
        <w:t xml:space="preserve">. 311/2001 Z. z. Zákonník práce v znení neskorších predpisov, </w:t>
      </w:r>
      <w:r w:rsidRPr="00FA63B4">
        <w:rPr>
          <w:rFonts w:ascii="Times New Roman" w:hAnsi="Times New Roman" w:cs="Times New Roman"/>
          <w:sz w:val="24"/>
          <w:szCs w:val="24"/>
          <w:lang w:eastAsia="cs-CZ"/>
        </w:rPr>
        <w:t>do zákona č</w:t>
      </w:r>
      <w:r w:rsidRPr="00FA63B4">
        <w:rPr>
          <w:rFonts w:ascii="Times New Roman" w:hAnsi="Times New Roman" w:cs="Times New Roman"/>
          <w:sz w:val="24"/>
          <w:szCs w:val="24"/>
        </w:rPr>
        <w:t xml:space="preserve">. 650/2004 Z. z. o doplnkovom dôchodkovom sporení a o zmene a doplnení niektorých zákonov v znení neskorších predpisov, do zákona č. 206/2013 Z. z, </w:t>
      </w:r>
      <w:r w:rsidRPr="00FA63B4">
        <w:rPr>
          <w:rFonts w:ascii="Times New Roman" w:hAnsi="Times New Roman" w:cs="Times New Roman"/>
          <w:bCs/>
          <w:color w:val="000000"/>
          <w:sz w:val="24"/>
          <w:szCs w:val="24"/>
          <w:shd w:val="clear" w:color="auto" w:fill="FFFFFF"/>
        </w:rPr>
        <w:t xml:space="preserve">ktorým sa mení a dopĺňa zákon č. 203/2011 Z. z. o kolektívnom investovaní v znení zákona č. 547/2011 Z. z. a ktorým sa menia a dopĺňajú niektoré zákony a do zákona č. 318/2013 Z.z., </w:t>
      </w:r>
      <w:r w:rsidRPr="00FA63B4">
        <w:rPr>
          <w:rFonts w:ascii="Times New Roman" w:hAnsi="Times New Roman" w:cs="Times New Roman"/>
          <w:bCs/>
          <w:sz w:val="24"/>
          <w:szCs w:val="24"/>
          <w:shd w:val="clear" w:color="auto" w:fill="FFFFFF"/>
        </w:rPr>
        <w:t>ktorým sa mení a dopĺňa zákon č. </w:t>
      </w:r>
      <w:hyperlink r:id="rId9" w:tooltip="Odkaz na predpis alebo ustanovenie" w:history="1">
        <w:r w:rsidRPr="00FA63B4">
          <w:rPr>
            <w:rStyle w:val="Hypertextovprepojenie"/>
            <w:rFonts w:ascii="Times New Roman" w:hAnsi="Times New Roman" w:cs="Times New Roman"/>
            <w:bCs/>
            <w:iCs/>
            <w:sz w:val="24"/>
            <w:szCs w:val="24"/>
            <w:shd w:val="clear" w:color="auto" w:fill="FFFFFF"/>
          </w:rPr>
          <w:t>650/2004 Z. z.</w:t>
        </w:r>
      </w:hyperlink>
      <w:r w:rsidRPr="00FA63B4">
        <w:rPr>
          <w:rFonts w:ascii="Times New Roman" w:hAnsi="Times New Roman" w:cs="Times New Roman"/>
          <w:bCs/>
          <w:sz w:val="24"/>
          <w:szCs w:val="24"/>
          <w:shd w:val="clear" w:color="auto" w:fill="FFFFFF"/>
        </w:rPr>
        <w:t xml:space="preserve"> o doplnkovom dôchodkovom sporení a o </w:t>
      </w:r>
      <w:r w:rsidRPr="00FA63B4">
        <w:rPr>
          <w:rFonts w:ascii="Times New Roman" w:hAnsi="Times New Roman" w:cs="Times New Roman"/>
          <w:bCs/>
          <w:sz w:val="24"/>
          <w:szCs w:val="24"/>
          <w:shd w:val="clear" w:color="auto" w:fill="FFFFFF"/>
        </w:rPr>
        <w:lastRenderedPageBreak/>
        <w:t>zmene a doplnení niektorých zákonov v znení neskorších predpisov a ktorým sa mení a dopĺňa zákon č. 595/2003 Z. z. o dani z príjmov v znení neskorších predpisov.</w:t>
      </w:r>
    </w:p>
    <w:p w14:paraId="0129E4AF" w14:textId="77777777" w:rsidR="004A117C" w:rsidRDefault="004A117C" w:rsidP="004A117C">
      <w:pPr>
        <w:pStyle w:val="Odsekzoznamu"/>
        <w:spacing w:after="0" w:line="240" w:lineRule="auto"/>
        <w:jc w:val="both"/>
        <w:rPr>
          <w:rFonts w:ascii="Times New Roman" w:hAnsi="Times New Roman" w:cs="Times New Roman"/>
          <w:bCs/>
          <w:sz w:val="24"/>
          <w:szCs w:val="24"/>
          <w:shd w:val="clear" w:color="auto" w:fill="FFFFFF"/>
        </w:rPr>
      </w:pPr>
    </w:p>
    <w:p w14:paraId="3F36C95E" w14:textId="77777777" w:rsidR="004A117C" w:rsidRPr="003C485E" w:rsidRDefault="004A117C" w:rsidP="004A117C">
      <w:pPr>
        <w:pStyle w:val="Odsekzoznamu"/>
        <w:spacing w:after="0" w:line="240" w:lineRule="auto"/>
        <w:jc w:val="both"/>
        <w:rPr>
          <w:rFonts w:ascii="Times New Roman" w:hAnsi="Times New Roman" w:cs="Times New Roman"/>
          <w:bCs/>
          <w:sz w:val="24"/>
          <w:szCs w:val="24"/>
          <w:shd w:val="clear" w:color="auto" w:fill="FFFFFF"/>
        </w:rPr>
      </w:pPr>
      <w:r w:rsidRPr="003C485E">
        <w:rPr>
          <w:rFonts w:ascii="Times New Roman" w:hAnsi="Times New Roman" w:cs="Times New Roman"/>
          <w:bCs/>
          <w:sz w:val="24"/>
          <w:szCs w:val="24"/>
          <w:shd w:val="clear" w:color="auto" w:fill="FFFFFF"/>
        </w:rPr>
        <w:t>Smernica 2014/59/EÚ bola prebratá do zákona č. 371/2014 Z. z. o riešení krízových situácií na finančnom trhu o zmene a doplnení niektorých zákonov v znení neskorších predpisov, do zákona č. 483/2001 Z. z. o bankách a o zmene a doplnení niektorých zákonov v znení neskorších predpisov, do zákona č. 566/2001 Z. z. o cenných papieroch a investičných službách a o zmene a doplnení niektorých zákonov (zákon o cenných papieroch) v znení neskorších predpisov, do zákona Národnej rady Slovenskej republiky č. 118/1996 Z. z. o ochrane vkladov a o zmene a doplnení niektorých zákonov v znení neskorších predpisov, do zákona č. 747/2004 Z. z. o dohľade nad finančným trhom a o zmene a doplnení niektorých zákonov v znení neskorších predpisov a do zákona č. 7/2005 Z. z. o konkurze a reštrukturalizácii a o zmene a doplnení niektorých zákonov v znení neskorších predpisov.</w:t>
      </w:r>
    </w:p>
    <w:p w14:paraId="33D7F30B" w14:textId="77777777" w:rsidR="004A117C" w:rsidRPr="003C485E" w:rsidRDefault="004A117C" w:rsidP="004A117C">
      <w:pPr>
        <w:pStyle w:val="Odsekzoznamu"/>
        <w:spacing w:after="0" w:line="240" w:lineRule="auto"/>
        <w:jc w:val="both"/>
        <w:rPr>
          <w:rFonts w:ascii="Times New Roman" w:hAnsi="Times New Roman" w:cs="Times New Roman"/>
          <w:bCs/>
          <w:sz w:val="24"/>
          <w:szCs w:val="24"/>
          <w:shd w:val="clear" w:color="auto" w:fill="FFFFFF"/>
        </w:rPr>
      </w:pPr>
    </w:p>
    <w:p w14:paraId="7E93AE68" w14:textId="77777777" w:rsidR="004A117C" w:rsidRDefault="004A117C" w:rsidP="004A117C">
      <w:pPr>
        <w:pStyle w:val="Odsekzoznamu"/>
        <w:spacing w:after="0" w:line="240" w:lineRule="auto"/>
        <w:jc w:val="both"/>
        <w:rPr>
          <w:rFonts w:ascii="Times New Roman" w:eastAsia="Times New Roman" w:hAnsi="Times New Roman" w:cs="Times New Roman"/>
          <w:color w:val="000000"/>
          <w:sz w:val="24"/>
          <w:szCs w:val="24"/>
          <w:lang w:eastAsia="sk-SK"/>
        </w:rPr>
      </w:pPr>
      <w:r w:rsidRPr="003C485E">
        <w:rPr>
          <w:rFonts w:ascii="Times New Roman" w:hAnsi="Times New Roman" w:cs="Times New Roman"/>
          <w:bCs/>
          <w:sz w:val="24"/>
          <w:szCs w:val="24"/>
          <w:shd w:val="clear" w:color="auto" w:fill="FFFFFF"/>
        </w:rPr>
        <w:t>Smernica 2019/879/EÚ bola prebratá do zákona č. 371/2014 Z. z. o riešení krízových situácií na finančnom trhu o zmene a doplnení niektorých zákonov v znení neskorších predpisov</w:t>
      </w:r>
      <w:r>
        <w:rPr>
          <w:rFonts w:ascii="Times New Roman" w:hAnsi="Times New Roman" w:cs="Times New Roman"/>
          <w:bCs/>
          <w:sz w:val="24"/>
          <w:szCs w:val="24"/>
          <w:shd w:val="clear" w:color="auto" w:fill="FFFFFF"/>
        </w:rPr>
        <w:t xml:space="preserve">, </w:t>
      </w:r>
      <w:r w:rsidRPr="003C485E">
        <w:rPr>
          <w:rFonts w:ascii="Times New Roman" w:hAnsi="Times New Roman" w:cs="Times New Roman"/>
          <w:bCs/>
          <w:sz w:val="24"/>
          <w:szCs w:val="24"/>
          <w:shd w:val="clear" w:color="auto" w:fill="FFFFFF"/>
        </w:rPr>
        <w:t xml:space="preserve">do zákona č. </w:t>
      </w:r>
      <w:r w:rsidRPr="003C485E">
        <w:rPr>
          <w:rFonts w:ascii="Times New Roman" w:eastAsia="Times New Roman" w:hAnsi="Times New Roman" w:cs="Times New Roman"/>
          <w:color w:val="000000"/>
          <w:sz w:val="24"/>
          <w:szCs w:val="24"/>
          <w:lang w:eastAsia="sk-SK"/>
        </w:rPr>
        <w:t>7/2005 Z. z. o konkurze a reštrukturalizácii a o zmene a doplnení niektorých zákon</w:t>
      </w:r>
      <w:r>
        <w:rPr>
          <w:rFonts w:ascii="Times New Roman" w:eastAsia="Times New Roman" w:hAnsi="Times New Roman" w:cs="Times New Roman"/>
          <w:color w:val="000000"/>
          <w:sz w:val="24"/>
          <w:szCs w:val="24"/>
          <w:lang w:eastAsia="sk-SK"/>
        </w:rPr>
        <w:t xml:space="preserve">ov v znení neskorších predpisov a do zákona </w:t>
      </w:r>
      <w:r w:rsidRPr="003C485E">
        <w:rPr>
          <w:rFonts w:ascii="Times New Roman" w:eastAsia="Times New Roman" w:hAnsi="Times New Roman" w:cs="Times New Roman"/>
          <w:color w:val="000000"/>
          <w:sz w:val="24"/>
          <w:szCs w:val="24"/>
          <w:lang w:eastAsia="sk-SK"/>
        </w:rPr>
        <w:t>č. 566/2001 Z.z. o cenných papieroch a investičných službách a o zmene a doplnení niektorých zákonov (zákon o cenných papieroch) v znení neskorších predpisov</w:t>
      </w:r>
      <w:r>
        <w:rPr>
          <w:rFonts w:ascii="Times New Roman" w:eastAsia="Times New Roman" w:hAnsi="Times New Roman" w:cs="Times New Roman"/>
          <w:color w:val="000000"/>
          <w:sz w:val="24"/>
          <w:szCs w:val="24"/>
          <w:lang w:eastAsia="sk-SK"/>
        </w:rPr>
        <w:t>.</w:t>
      </w:r>
    </w:p>
    <w:p w14:paraId="0296BB94" w14:textId="77777777" w:rsidR="004A117C" w:rsidRPr="00FA63B4" w:rsidRDefault="004A117C" w:rsidP="004A117C">
      <w:pPr>
        <w:pStyle w:val="Odsekzoznamu"/>
        <w:spacing w:after="0" w:line="240" w:lineRule="auto"/>
        <w:jc w:val="both"/>
        <w:rPr>
          <w:rFonts w:ascii="Times New Roman" w:eastAsia="Times New Roman" w:hAnsi="Times New Roman" w:cs="Times New Roman"/>
          <w:color w:val="000000"/>
          <w:sz w:val="24"/>
          <w:szCs w:val="24"/>
          <w:lang w:eastAsia="sk-SK"/>
        </w:rPr>
      </w:pPr>
    </w:p>
    <w:p w14:paraId="6BA6D08A" w14:textId="77777777" w:rsidR="004A117C" w:rsidRPr="00FA63B4" w:rsidRDefault="004A117C" w:rsidP="004A117C">
      <w:pPr>
        <w:pStyle w:val="Odsekzoznamu"/>
        <w:numPr>
          <w:ilvl w:val="0"/>
          <w:numId w:val="7"/>
        </w:numPr>
        <w:spacing w:after="0" w:line="240" w:lineRule="auto"/>
        <w:ind w:left="426" w:hanging="426"/>
        <w:rPr>
          <w:rFonts w:ascii="Times New Roman" w:eastAsia="Times New Roman" w:hAnsi="Times New Roman" w:cs="Times New Roman"/>
          <w:color w:val="000000"/>
          <w:sz w:val="27"/>
          <w:szCs w:val="27"/>
          <w:lang w:eastAsia="sk-SK"/>
        </w:rPr>
      </w:pPr>
      <w:r w:rsidRPr="00FA63B4">
        <w:rPr>
          <w:rFonts w:ascii="Times New Roman" w:eastAsia="Times New Roman" w:hAnsi="Times New Roman" w:cs="Times New Roman"/>
          <w:b/>
          <w:bCs/>
          <w:color w:val="000000"/>
          <w:sz w:val="24"/>
          <w:szCs w:val="24"/>
          <w:lang w:eastAsia="sk-SK"/>
        </w:rPr>
        <w:t>Návrh zákona je zlučiteľný s právom Európskej únie:</w:t>
      </w:r>
    </w:p>
    <w:p w14:paraId="799B2BAD" w14:textId="77777777" w:rsidR="004A117C" w:rsidRPr="00FA63B4" w:rsidRDefault="004A117C" w:rsidP="004A117C">
      <w:pPr>
        <w:pStyle w:val="Odsekzoznamu"/>
        <w:numPr>
          <w:ilvl w:val="0"/>
          <w:numId w:val="11"/>
        </w:numPr>
        <w:spacing w:after="0" w:line="240" w:lineRule="auto"/>
        <w:jc w:val="both"/>
        <w:rPr>
          <w:rFonts w:ascii="Times New Roman" w:eastAsia="Times New Roman" w:hAnsi="Times New Roman" w:cs="Times New Roman"/>
          <w:color w:val="000000"/>
          <w:sz w:val="24"/>
          <w:szCs w:val="24"/>
          <w:lang w:eastAsia="sk-SK"/>
        </w:rPr>
      </w:pPr>
      <w:r w:rsidRPr="00FA63B4">
        <w:rPr>
          <w:rFonts w:ascii="Times New Roman" w:eastAsia="Times New Roman" w:hAnsi="Times New Roman" w:cs="Times New Roman"/>
          <w:color w:val="000000"/>
          <w:sz w:val="24"/>
          <w:szCs w:val="24"/>
          <w:lang w:eastAsia="sk-SK"/>
        </w:rPr>
        <w:t>úplne.</w:t>
      </w:r>
    </w:p>
    <w:p w14:paraId="50E79232" w14:textId="77777777" w:rsidR="004A117C" w:rsidRPr="00FC287C" w:rsidRDefault="004A117C" w:rsidP="004A117C"/>
    <w:p w14:paraId="35FF042D" w14:textId="42752B81" w:rsidR="004A117C" w:rsidRDefault="004A117C">
      <w:pPr>
        <w:spacing w:after="160" w:line="259" w:lineRule="auto"/>
      </w:pPr>
      <w:r>
        <w:br w:type="page"/>
      </w:r>
    </w:p>
    <w:p w14:paraId="7EABAB0C"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lastRenderedPageBreak/>
        <w:t xml:space="preserve">Osobitná časť </w:t>
      </w:r>
    </w:p>
    <w:p w14:paraId="1ACDF06F" w14:textId="77777777" w:rsidR="004A117C" w:rsidRPr="004A117C" w:rsidRDefault="004A117C" w:rsidP="004A117C">
      <w:pPr>
        <w:spacing w:line="259" w:lineRule="auto"/>
        <w:jc w:val="both"/>
        <w:rPr>
          <w:rFonts w:eastAsiaTheme="minorHAnsi"/>
          <w:b/>
          <w:lang w:eastAsia="en-US"/>
        </w:rPr>
      </w:pPr>
    </w:p>
    <w:p w14:paraId="698D9C93"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Čl. I – zákon č. 371/2014 Z. z. o riešení krízových situácií na finančnom trhu</w:t>
      </w:r>
    </w:p>
    <w:p w14:paraId="78BCB3D4" w14:textId="77777777" w:rsidR="004A117C" w:rsidRPr="004A117C" w:rsidRDefault="004A117C" w:rsidP="004A117C">
      <w:pPr>
        <w:spacing w:line="259" w:lineRule="auto"/>
        <w:jc w:val="both"/>
        <w:rPr>
          <w:rFonts w:eastAsiaTheme="minorHAnsi"/>
          <w:b/>
          <w:lang w:eastAsia="en-US"/>
        </w:rPr>
      </w:pPr>
    </w:p>
    <w:p w14:paraId="7A4BB297"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 [§2 písm. as)]</w:t>
      </w:r>
    </w:p>
    <w:p w14:paraId="450F3E52"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Definuje sa centrálna protistrana podľa čl. 2 bod 1 nariadenia Európskeho parlamentu a Rady (EÚ) 2021/23 zo 16. decembra 2020 o rámci na ozdravenie a riešenie krízových situácií centrálnych protistrán a o zmene nariadení (EÚ) č. 1095/2010, (EÚ) č. 648/2012, (EÚ) č. 600/2014, (EÚ) č. 806/2014 a (EÚ) 2015/2365 a smerníc 2002/47/ES, 2004/25/ES, 2007/36/ES, 2014/59/EÚ a (EÚ) 2017/1132 (ďalej len „nariadenie 2021/23“).</w:t>
      </w:r>
    </w:p>
    <w:p w14:paraId="74D6A62E" w14:textId="77777777" w:rsidR="004A117C" w:rsidRPr="004A117C" w:rsidRDefault="004A117C" w:rsidP="004A117C">
      <w:pPr>
        <w:spacing w:line="259" w:lineRule="auto"/>
        <w:jc w:val="both"/>
        <w:rPr>
          <w:rFonts w:eastAsiaTheme="minorHAnsi"/>
          <w:b/>
          <w:lang w:eastAsia="en-US"/>
        </w:rPr>
      </w:pPr>
    </w:p>
    <w:p w14:paraId="69B21D1B"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bodom 2 a 3 [§ 3 ods. 1 a ods. 2]</w:t>
      </w:r>
    </w:p>
    <w:p w14:paraId="71139250"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Určuje sa Rada ako rezolučný orgán aj pre centrálne protistrany a zároveň sa predchádza konfliktu záujmov zamestnancov Národnej banky Slovenska pri výkone dohľadu.</w:t>
      </w:r>
    </w:p>
    <w:p w14:paraId="16E0EA6C" w14:textId="77777777" w:rsidR="004A117C" w:rsidRPr="004A117C" w:rsidRDefault="004A117C" w:rsidP="004A117C">
      <w:pPr>
        <w:spacing w:line="259" w:lineRule="auto"/>
        <w:jc w:val="both"/>
        <w:rPr>
          <w:rFonts w:eastAsiaTheme="minorHAnsi"/>
          <w:b/>
          <w:lang w:eastAsia="en-US"/>
        </w:rPr>
      </w:pPr>
    </w:p>
    <w:p w14:paraId="4D8DDF51"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4 [§ 5 ods. 1 písm. k)]</w:t>
      </w:r>
    </w:p>
    <w:p w14:paraId="56BCF519"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Rozširuje sa pôsobnosť Rady. </w:t>
      </w:r>
    </w:p>
    <w:p w14:paraId="2A13B5A5" w14:textId="77777777" w:rsidR="004A117C" w:rsidRPr="004A117C" w:rsidRDefault="004A117C" w:rsidP="004A117C">
      <w:pPr>
        <w:spacing w:line="259" w:lineRule="auto"/>
        <w:jc w:val="both"/>
        <w:rPr>
          <w:rFonts w:eastAsiaTheme="minorHAnsi"/>
          <w:b/>
          <w:lang w:eastAsia="en-US"/>
        </w:rPr>
      </w:pPr>
    </w:p>
    <w:p w14:paraId="512C548E"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5 [§ 5 ods. 8]</w:t>
      </w:r>
    </w:p>
    <w:p w14:paraId="2CB4AEB8"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Vymedzuje sa, ktoré ustanovenia zákona o riešení krízových situácií sa použijú primerane aj pre centrálne protistrany.</w:t>
      </w:r>
    </w:p>
    <w:p w14:paraId="2A9F883C" w14:textId="77777777" w:rsidR="004A117C" w:rsidRPr="004A117C" w:rsidRDefault="004A117C" w:rsidP="004A117C">
      <w:pPr>
        <w:spacing w:line="259" w:lineRule="auto"/>
        <w:jc w:val="both"/>
        <w:rPr>
          <w:rFonts w:eastAsiaTheme="minorHAnsi"/>
          <w:lang w:eastAsia="en-US"/>
        </w:rPr>
      </w:pPr>
    </w:p>
    <w:p w14:paraId="453A32E6"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6 [§ 6b ods. 1 a § 12 ods. 1)]</w:t>
      </w:r>
    </w:p>
    <w:p w14:paraId="64BF77DF"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Legislatívno-technická zmena v nadväznosti na bod 4 [§ 5 ods. 1 písm. k)</w:t>
      </w:r>
      <w:r w:rsidRPr="004A117C">
        <w:rPr>
          <w:rFonts w:asciiTheme="minorHAnsi" w:eastAsiaTheme="minorHAnsi" w:hAnsiTheme="minorHAnsi" w:cstheme="minorBidi"/>
          <w:sz w:val="22"/>
          <w:szCs w:val="22"/>
          <w:lang w:eastAsia="en-US"/>
        </w:rPr>
        <w:t xml:space="preserve"> </w:t>
      </w:r>
      <w:r w:rsidRPr="004A117C">
        <w:rPr>
          <w:rFonts w:eastAsiaTheme="minorHAnsi"/>
          <w:lang w:eastAsia="en-US"/>
        </w:rPr>
        <w:t xml:space="preserve">]. </w:t>
      </w:r>
    </w:p>
    <w:p w14:paraId="20668972" w14:textId="77777777" w:rsidR="004A117C" w:rsidRPr="004A117C" w:rsidRDefault="004A117C" w:rsidP="004A117C">
      <w:pPr>
        <w:spacing w:line="259" w:lineRule="auto"/>
        <w:jc w:val="both"/>
        <w:rPr>
          <w:rFonts w:eastAsiaTheme="minorHAnsi"/>
          <w:lang w:eastAsia="en-US"/>
        </w:rPr>
      </w:pPr>
    </w:p>
    <w:p w14:paraId="18B38F51"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7 [§ 6b ods. 2 písm. g)]</w:t>
      </w:r>
    </w:p>
    <w:p w14:paraId="3B8DD30B"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Pri plnení úloh v oblasti prevencie riešenia krízových situácií a pri ukladaní opatrení a sankcií koná a rozhoduje v prvom stupni výkonný člen Rady pre riešenie krízových situácií. Zákaz rozdeľovania výnosov nad maximálnu rozdeliteľnú sumu je právomoc súvisiaca s prevenciu riešenia krízových situácií, ktorá je zverená výkonnému členovi Rady pre riešenie krízových situácií.</w:t>
      </w:r>
    </w:p>
    <w:p w14:paraId="4AE624D0" w14:textId="77777777" w:rsidR="004A117C" w:rsidRPr="004A117C" w:rsidRDefault="004A117C" w:rsidP="004A117C">
      <w:pPr>
        <w:spacing w:line="259" w:lineRule="auto"/>
        <w:jc w:val="both"/>
        <w:rPr>
          <w:rFonts w:eastAsiaTheme="minorHAnsi"/>
          <w:b/>
          <w:lang w:eastAsia="en-US"/>
        </w:rPr>
      </w:pPr>
    </w:p>
    <w:p w14:paraId="7A1F14E7"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8 [§ 6e ods. 7)]</w:t>
      </w:r>
    </w:p>
    <w:p w14:paraId="1571DDDA"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Pri uplatnení právomoci zakázať rozdeľovanie výnosov nad maximálnu rozdeliteľnú sumu sa využije systém periodického prehodnocovania nesplnenia sankcionovanej povinnosti. V prípade splnenia sankcionovanej povinnosti môže byť zákaz zrušený. Rovnako môže byť zrušený v prípadoch uvedených v § 17a ods. 5. Účastníci konania nestratia svoje právo na opravný prostriedok, pretože im ostáva možnosť proti rozhodnutiu podať správnu žalobu.</w:t>
      </w:r>
    </w:p>
    <w:p w14:paraId="4C58B874" w14:textId="77777777" w:rsidR="004A117C" w:rsidRPr="004A117C" w:rsidRDefault="004A117C" w:rsidP="004A117C">
      <w:pPr>
        <w:spacing w:line="259" w:lineRule="auto"/>
        <w:jc w:val="both"/>
        <w:rPr>
          <w:rFonts w:eastAsiaTheme="minorHAnsi"/>
          <w:lang w:eastAsia="en-US"/>
        </w:rPr>
      </w:pPr>
    </w:p>
    <w:p w14:paraId="02A92631"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9 [§ 12 ods. 17]</w:t>
      </w:r>
    </w:p>
    <w:p w14:paraId="2E2AD66E"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Ustanovuje sa, že okrem valného zhromaždenia vybranej inštitúcie môže aj valné zhromaždenie centrálnej protistrany dvojtretinovou väčšinou hlasov prítomných akcionárov rozhodnúť alebo navrhnúť rade, aby sa v stanovách určilo, že oznámenie o zvolaní valného zhromaždenia na účel prijatia rozhodnutia o zvýšení základného imania sa vydá v kratšom čase, ako ustanovuje Obchodný zákonník.</w:t>
      </w:r>
    </w:p>
    <w:p w14:paraId="3C710F62" w14:textId="77777777" w:rsidR="004A117C" w:rsidRPr="004A117C" w:rsidRDefault="004A117C" w:rsidP="004A117C">
      <w:pPr>
        <w:spacing w:line="259" w:lineRule="auto"/>
        <w:jc w:val="both"/>
        <w:rPr>
          <w:rFonts w:eastAsiaTheme="minorHAnsi"/>
          <w:lang w:eastAsia="en-US"/>
        </w:rPr>
      </w:pPr>
    </w:p>
    <w:p w14:paraId="5867EFC7"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lastRenderedPageBreak/>
        <w:t>K bodu 10 [§ 14 ods. 5]</w:t>
      </w:r>
    </w:p>
    <w:p w14:paraId="26668295"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Navrhovaná zmena precizuje transpozíciu smernice Európskeho parlamentu a Rady (EÚ) 2019/879 z 20. mája 2019, ktorou sa mení smernica 2014/59/EÚ, pokiaľ ide o kapacitu úverových inštitúcií a investičných spoločností na absorpciu strát a rekapitalizáciu, a smernica 98/26/ES (Ú. v. EÚ L 150, 7.6.2019) pri odložení plnenia niektorých záväzkov vo vzťahu ku chráneným vkladom podľa osobitného predpisu tak, aby posilňoval ich ochranu v prípade podľa tohto zákona.</w:t>
      </w:r>
    </w:p>
    <w:p w14:paraId="45AC4713" w14:textId="77777777" w:rsidR="004A117C" w:rsidRPr="004A117C" w:rsidRDefault="004A117C" w:rsidP="004A117C">
      <w:pPr>
        <w:spacing w:line="259" w:lineRule="auto"/>
        <w:jc w:val="both"/>
        <w:rPr>
          <w:rFonts w:eastAsiaTheme="minorHAnsi"/>
          <w:lang w:eastAsia="en-US"/>
        </w:rPr>
      </w:pPr>
    </w:p>
    <w:p w14:paraId="7D2F7F89"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11 [§ 17b ods. 1]</w:t>
      </w:r>
    </w:p>
    <w:p w14:paraId="223CB098"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Precizuje sa ustanovenie § 17b ods. 1 tak, aby bolo zjavné, že povinnosť zahrnúť do všetkých finančných zmlúv podmienku, že tieto môžu podliehať právomoci rezolučného orgánu na pozastavenie alebo obmedzenie ich plnenia sa vzťahuje aj na vybrané inštitúcie.</w:t>
      </w:r>
    </w:p>
    <w:p w14:paraId="0D4F7A95" w14:textId="77777777" w:rsidR="004A117C" w:rsidRPr="004A117C" w:rsidRDefault="004A117C" w:rsidP="004A117C">
      <w:pPr>
        <w:spacing w:line="259" w:lineRule="auto"/>
        <w:jc w:val="both"/>
        <w:rPr>
          <w:rFonts w:eastAsiaTheme="minorHAnsi"/>
          <w:lang w:eastAsia="en-US"/>
        </w:rPr>
      </w:pPr>
    </w:p>
    <w:p w14:paraId="3D1E64EB"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12 [§ 25 ods. 7]</w:t>
      </w:r>
    </w:p>
    <w:p w14:paraId="52126D74"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Ustanovenie sa dopĺňa novým odkazom na príslušné právne predpisy s ohľadom na definíciu veľkej majetkovej angažovanosti. Jedná sa o precizovanie transpozície smernice Európskeho parlamentu a Rady 2014/59/EÚ z  15. mája 2014 ,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12.6.2014) (ďalej len „smernica BRRD“).</w:t>
      </w:r>
    </w:p>
    <w:p w14:paraId="27FDCC11" w14:textId="77777777" w:rsidR="004A117C" w:rsidRPr="004A117C" w:rsidRDefault="004A117C" w:rsidP="004A117C">
      <w:pPr>
        <w:spacing w:line="259" w:lineRule="auto"/>
        <w:jc w:val="both"/>
        <w:rPr>
          <w:rFonts w:eastAsiaTheme="minorHAnsi"/>
          <w:lang w:eastAsia="en-US"/>
        </w:rPr>
      </w:pPr>
    </w:p>
    <w:p w14:paraId="4E8A623F"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13 [§ 27 ods. 8]</w:t>
      </w:r>
    </w:p>
    <w:p w14:paraId="2DE7DBF6"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Navrhuje sa doplnenie ustanovenia tak, aby bolo zjavné, že Rada pre riešenie krízových situácií (ďalej len „rada“) oznamuje svoje rozhodnutie, ktoré príjme v prípade absencie rozhodnutia Európskeho orgánu pre bankovníctvo, aj všetkým členom rezolučného kolégia.</w:t>
      </w:r>
    </w:p>
    <w:p w14:paraId="32EE3460" w14:textId="77777777" w:rsidR="004A117C" w:rsidRPr="004A117C" w:rsidRDefault="004A117C" w:rsidP="004A117C">
      <w:pPr>
        <w:spacing w:line="259" w:lineRule="auto"/>
        <w:jc w:val="both"/>
        <w:rPr>
          <w:rFonts w:eastAsiaTheme="minorHAnsi"/>
          <w:lang w:eastAsia="en-US"/>
        </w:rPr>
      </w:pPr>
    </w:p>
    <w:p w14:paraId="775C0FB4"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14 [§ 28 ods. 6]</w:t>
      </w:r>
    </w:p>
    <w:p w14:paraId="21D35B83"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Návrh precizuje transpozíciu smernice BRRD vo vzťahu k posudzovaniu riešiteľnosti krízovej situácie.</w:t>
      </w:r>
    </w:p>
    <w:p w14:paraId="446A7274" w14:textId="77777777" w:rsidR="004A117C" w:rsidRPr="004A117C" w:rsidRDefault="004A117C" w:rsidP="004A117C">
      <w:pPr>
        <w:spacing w:line="259" w:lineRule="auto"/>
        <w:jc w:val="both"/>
        <w:rPr>
          <w:rFonts w:eastAsiaTheme="minorHAnsi"/>
          <w:lang w:eastAsia="en-US"/>
        </w:rPr>
      </w:pPr>
    </w:p>
    <w:p w14:paraId="42B59904"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15 [§ 29 ods. 13]</w:t>
      </w:r>
    </w:p>
    <w:p w14:paraId="4BBC163A"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Dopĺňa sa ustanovenie uvádzajúce potrebu zahrnúť do rozhodnutia rady a jeho odôvodnenia aj názory a výhrady iných rezolučných orgánov tak, aby bolo čo najzrozumiteľnejšie a najtransparentnejšie.</w:t>
      </w:r>
    </w:p>
    <w:p w14:paraId="09AD9EDE" w14:textId="77777777" w:rsidR="004A117C" w:rsidRPr="004A117C" w:rsidRDefault="004A117C" w:rsidP="004A117C">
      <w:pPr>
        <w:spacing w:line="259" w:lineRule="auto"/>
        <w:jc w:val="both"/>
        <w:rPr>
          <w:rFonts w:eastAsiaTheme="minorHAnsi"/>
          <w:lang w:eastAsia="en-US"/>
        </w:rPr>
      </w:pPr>
    </w:p>
    <w:p w14:paraId="64B45E6C"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16 [§ 29 ods. 14]</w:t>
      </w:r>
    </w:p>
    <w:p w14:paraId="769742C7"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Návrhom zmeny sa opravuje nedostatok transpozície smernice BRRD pri vnútorných odkazoch zákona a rovnako ako v predchádzajúcom ustanovení sa ustanovuje potreba zahŕňať názory a výhrady iných rezolučných orgánov do rozhodnutia rady.</w:t>
      </w:r>
    </w:p>
    <w:p w14:paraId="23E9BB90" w14:textId="77777777" w:rsidR="004A117C" w:rsidRPr="004A117C" w:rsidRDefault="004A117C" w:rsidP="004A117C">
      <w:pPr>
        <w:spacing w:line="259" w:lineRule="auto"/>
        <w:jc w:val="both"/>
        <w:rPr>
          <w:rFonts w:eastAsiaTheme="minorHAnsi"/>
          <w:lang w:eastAsia="en-US"/>
        </w:rPr>
      </w:pPr>
    </w:p>
    <w:p w14:paraId="58CD531C"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17 [§ 29 ods. 15]</w:t>
      </w:r>
    </w:p>
    <w:p w14:paraId="57FA442B"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Návrh ustanovenia rieši nedostatok spôsobený nesprávnym vnútorným odkazom zákona.</w:t>
      </w:r>
    </w:p>
    <w:p w14:paraId="37160E26" w14:textId="77777777" w:rsidR="004A117C" w:rsidRPr="004A117C" w:rsidRDefault="004A117C" w:rsidP="004A117C">
      <w:pPr>
        <w:spacing w:line="259" w:lineRule="auto"/>
        <w:jc w:val="both"/>
        <w:rPr>
          <w:rFonts w:eastAsiaTheme="minorHAnsi"/>
          <w:lang w:eastAsia="en-US"/>
        </w:rPr>
      </w:pPr>
    </w:p>
    <w:p w14:paraId="64298A30" w14:textId="77777777" w:rsidR="004A117C" w:rsidRPr="004A117C" w:rsidRDefault="004A117C" w:rsidP="004A117C">
      <w:pPr>
        <w:spacing w:line="259" w:lineRule="auto"/>
        <w:jc w:val="both"/>
        <w:rPr>
          <w:rFonts w:eastAsiaTheme="minorHAnsi"/>
          <w:lang w:eastAsia="en-US"/>
        </w:rPr>
      </w:pPr>
      <w:r w:rsidRPr="004A117C">
        <w:rPr>
          <w:rFonts w:eastAsiaTheme="minorHAnsi"/>
          <w:b/>
          <w:lang w:eastAsia="en-US"/>
        </w:rPr>
        <w:t>K bodu 18 [§ 34 ods. 1 písm. c)</w:t>
      </w:r>
      <w:r w:rsidRPr="004A117C">
        <w:rPr>
          <w:rFonts w:eastAsiaTheme="minorHAnsi"/>
          <w:lang w:eastAsia="en-US"/>
        </w:rPr>
        <w:t>]</w:t>
      </w:r>
    </w:p>
    <w:p w14:paraId="28A75118"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lastRenderedPageBreak/>
        <w:t>Návrh precizuje transpozíciu smernice BRRD.</w:t>
      </w:r>
    </w:p>
    <w:p w14:paraId="35DED0A6" w14:textId="77777777" w:rsidR="004A117C" w:rsidRPr="004A117C" w:rsidRDefault="004A117C" w:rsidP="004A117C">
      <w:pPr>
        <w:spacing w:line="259" w:lineRule="auto"/>
        <w:jc w:val="both"/>
        <w:rPr>
          <w:rFonts w:eastAsiaTheme="minorHAnsi"/>
          <w:lang w:eastAsia="en-US"/>
        </w:rPr>
      </w:pPr>
    </w:p>
    <w:p w14:paraId="3FF73C5B"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bodom 19 a 20 [§ 40 ods. 9 písm. l) až t)]</w:t>
      </w:r>
    </w:p>
    <w:p w14:paraId="0AD356EA"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Rozširujú sa oblasti, v ktorých sa nepoužijú ustanovenia Obchodného zákonníka a zákona č. 566/2001 Z. z. o cenných papieroch a investičných službách. </w:t>
      </w:r>
    </w:p>
    <w:p w14:paraId="68B9F90A" w14:textId="77777777" w:rsidR="004A117C" w:rsidRPr="004A117C" w:rsidRDefault="004A117C" w:rsidP="004A117C">
      <w:pPr>
        <w:spacing w:line="259" w:lineRule="auto"/>
        <w:jc w:val="both"/>
        <w:rPr>
          <w:rFonts w:eastAsiaTheme="minorHAnsi"/>
          <w:b/>
          <w:lang w:eastAsia="en-US"/>
        </w:rPr>
      </w:pPr>
    </w:p>
    <w:p w14:paraId="4193F104"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21 [§ 58 ods. 1 písm. a)]</w:t>
      </w:r>
    </w:p>
    <w:p w14:paraId="6391EE02"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V súvislosti s návrhom zmeny vo vzťahu k majetkovej angažovanosti a zavedením novej poznámky pod čiarou k odkazu 66ba sa navrhuje jeho zavedenie aj v § 58 ods. 1 a úplné vypustenie poznámky pod čiarou k odkazu 94 ako obsolentnej.</w:t>
      </w:r>
    </w:p>
    <w:p w14:paraId="7064AE79" w14:textId="77777777" w:rsidR="004A117C" w:rsidRPr="004A117C" w:rsidRDefault="004A117C" w:rsidP="004A117C">
      <w:pPr>
        <w:spacing w:line="259" w:lineRule="auto"/>
        <w:jc w:val="both"/>
        <w:rPr>
          <w:rFonts w:eastAsiaTheme="minorHAnsi"/>
          <w:b/>
          <w:lang w:eastAsia="en-US"/>
        </w:rPr>
      </w:pPr>
    </w:p>
    <w:p w14:paraId="61863970"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22 [§ 98 ods. 3]</w:t>
      </w:r>
    </w:p>
    <w:p w14:paraId="755663A9"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Ustanovuje sa možnosť uložiť sankcie orgánom centrálnej protistrany.</w:t>
      </w:r>
    </w:p>
    <w:p w14:paraId="0E3A52C4" w14:textId="77777777" w:rsidR="004A117C" w:rsidRPr="004A117C" w:rsidRDefault="004A117C" w:rsidP="004A117C">
      <w:pPr>
        <w:spacing w:line="259" w:lineRule="auto"/>
        <w:jc w:val="both"/>
        <w:rPr>
          <w:rFonts w:eastAsiaTheme="minorHAnsi"/>
          <w:b/>
          <w:lang w:eastAsia="en-US"/>
        </w:rPr>
      </w:pPr>
    </w:p>
    <w:p w14:paraId="6E85F328"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23 [§ 98 ods. 10]</w:t>
      </w:r>
    </w:p>
    <w:p w14:paraId="23CE2A16"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Ustanovuje sa rozsah sankcií, ktoré môže Rada uložiť centrálnej protistrane. </w:t>
      </w:r>
    </w:p>
    <w:p w14:paraId="37315ED7" w14:textId="77777777" w:rsidR="004A117C" w:rsidRPr="004A117C" w:rsidRDefault="004A117C" w:rsidP="004A117C">
      <w:pPr>
        <w:spacing w:line="259" w:lineRule="auto"/>
        <w:jc w:val="both"/>
        <w:rPr>
          <w:rFonts w:eastAsiaTheme="minorHAnsi"/>
          <w:b/>
          <w:lang w:eastAsia="en-US"/>
        </w:rPr>
      </w:pPr>
    </w:p>
    <w:p w14:paraId="7C103791" w14:textId="77777777" w:rsidR="004A117C" w:rsidRPr="004A117C" w:rsidRDefault="004A117C" w:rsidP="004A117C">
      <w:pPr>
        <w:spacing w:line="259" w:lineRule="auto"/>
        <w:jc w:val="both"/>
        <w:rPr>
          <w:rFonts w:eastAsiaTheme="minorHAnsi"/>
          <w:lang w:eastAsia="en-US"/>
        </w:rPr>
      </w:pPr>
    </w:p>
    <w:p w14:paraId="1530B13C" w14:textId="77777777" w:rsidR="004A117C" w:rsidRPr="004A117C" w:rsidRDefault="004A117C" w:rsidP="004A117C">
      <w:pPr>
        <w:spacing w:line="259" w:lineRule="auto"/>
        <w:jc w:val="both"/>
        <w:rPr>
          <w:rFonts w:eastAsiaTheme="minorHAnsi"/>
          <w:lang w:eastAsia="en-US"/>
        </w:rPr>
      </w:pPr>
    </w:p>
    <w:p w14:paraId="080C1282" w14:textId="77777777" w:rsidR="004A117C" w:rsidRPr="004A117C" w:rsidRDefault="004A117C" w:rsidP="004A117C">
      <w:pPr>
        <w:spacing w:line="259" w:lineRule="auto"/>
        <w:jc w:val="both"/>
        <w:rPr>
          <w:rFonts w:eastAsiaTheme="minorHAnsi"/>
          <w:lang w:eastAsia="en-US"/>
        </w:rPr>
      </w:pPr>
    </w:p>
    <w:p w14:paraId="522EB22F" w14:textId="77777777" w:rsidR="004A117C" w:rsidRPr="004A117C" w:rsidRDefault="004A117C" w:rsidP="004A117C">
      <w:pPr>
        <w:spacing w:line="259" w:lineRule="auto"/>
        <w:jc w:val="both"/>
        <w:rPr>
          <w:rFonts w:eastAsiaTheme="minorHAnsi"/>
          <w:lang w:eastAsia="en-US"/>
        </w:rPr>
      </w:pPr>
    </w:p>
    <w:p w14:paraId="64768E50" w14:textId="77777777" w:rsidR="004A117C" w:rsidRPr="004A117C" w:rsidRDefault="004A117C" w:rsidP="004A117C">
      <w:pPr>
        <w:spacing w:line="259" w:lineRule="auto"/>
        <w:jc w:val="both"/>
        <w:rPr>
          <w:rFonts w:eastAsiaTheme="minorHAnsi"/>
          <w:lang w:eastAsia="en-US"/>
        </w:rPr>
      </w:pPr>
    </w:p>
    <w:p w14:paraId="333E79B7" w14:textId="77777777" w:rsidR="004A117C" w:rsidRPr="004A117C" w:rsidRDefault="004A117C" w:rsidP="004A117C">
      <w:pPr>
        <w:spacing w:line="259" w:lineRule="auto"/>
        <w:jc w:val="both"/>
        <w:rPr>
          <w:rFonts w:eastAsiaTheme="minorHAnsi"/>
          <w:lang w:eastAsia="en-US"/>
        </w:rPr>
      </w:pPr>
    </w:p>
    <w:p w14:paraId="7ED03579" w14:textId="77777777" w:rsidR="004A117C" w:rsidRPr="004A117C" w:rsidRDefault="004A117C" w:rsidP="004A117C">
      <w:pPr>
        <w:spacing w:line="259" w:lineRule="auto"/>
        <w:jc w:val="both"/>
        <w:rPr>
          <w:rFonts w:eastAsiaTheme="minorHAnsi"/>
          <w:lang w:eastAsia="en-US"/>
        </w:rPr>
      </w:pPr>
    </w:p>
    <w:p w14:paraId="14A0548D" w14:textId="77777777" w:rsidR="004A117C" w:rsidRPr="004A117C" w:rsidRDefault="004A117C" w:rsidP="004A117C">
      <w:pPr>
        <w:spacing w:line="259" w:lineRule="auto"/>
        <w:jc w:val="both"/>
        <w:rPr>
          <w:rFonts w:eastAsiaTheme="minorHAnsi"/>
          <w:lang w:eastAsia="en-US"/>
        </w:rPr>
      </w:pPr>
    </w:p>
    <w:p w14:paraId="65D866C8" w14:textId="77777777" w:rsidR="004A117C" w:rsidRPr="004A117C" w:rsidRDefault="004A117C" w:rsidP="004A117C">
      <w:pPr>
        <w:spacing w:line="259" w:lineRule="auto"/>
        <w:jc w:val="both"/>
        <w:rPr>
          <w:rFonts w:eastAsiaTheme="minorHAnsi"/>
          <w:lang w:eastAsia="en-US"/>
        </w:rPr>
      </w:pPr>
    </w:p>
    <w:p w14:paraId="39EC0463" w14:textId="77777777" w:rsidR="004A117C" w:rsidRPr="004A117C" w:rsidRDefault="004A117C" w:rsidP="004A117C">
      <w:pPr>
        <w:spacing w:line="259" w:lineRule="auto"/>
        <w:jc w:val="both"/>
        <w:rPr>
          <w:rFonts w:eastAsiaTheme="minorHAnsi"/>
          <w:lang w:eastAsia="en-US"/>
        </w:rPr>
      </w:pPr>
    </w:p>
    <w:p w14:paraId="2E711BDD" w14:textId="77777777" w:rsidR="004A117C" w:rsidRPr="004A117C" w:rsidRDefault="004A117C" w:rsidP="004A117C">
      <w:pPr>
        <w:spacing w:line="259" w:lineRule="auto"/>
        <w:jc w:val="both"/>
        <w:rPr>
          <w:rFonts w:eastAsiaTheme="minorHAnsi"/>
          <w:lang w:eastAsia="en-US"/>
        </w:rPr>
      </w:pPr>
    </w:p>
    <w:p w14:paraId="4446B537" w14:textId="77777777" w:rsidR="004A117C" w:rsidRPr="004A117C" w:rsidRDefault="004A117C" w:rsidP="004A117C">
      <w:pPr>
        <w:spacing w:line="259" w:lineRule="auto"/>
        <w:jc w:val="both"/>
        <w:rPr>
          <w:rFonts w:eastAsiaTheme="minorHAnsi"/>
          <w:lang w:eastAsia="en-US"/>
        </w:rPr>
      </w:pPr>
    </w:p>
    <w:p w14:paraId="67A2E734" w14:textId="77777777" w:rsidR="004A117C" w:rsidRPr="004A117C" w:rsidRDefault="004A117C" w:rsidP="004A117C">
      <w:pPr>
        <w:spacing w:line="259" w:lineRule="auto"/>
        <w:jc w:val="both"/>
        <w:rPr>
          <w:rFonts w:eastAsiaTheme="minorHAnsi"/>
          <w:lang w:eastAsia="en-US"/>
        </w:rPr>
      </w:pPr>
    </w:p>
    <w:p w14:paraId="6F8CA921" w14:textId="77777777" w:rsidR="004A117C" w:rsidRPr="004A117C" w:rsidRDefault="004A117C" w:rsidP="004A117C">
      <w:pPr>
        <w:spacing w:line="259" w:lineRule="auto"/>
        <w:jc w:val="both"/>
        <w:rPr>
          <w:rFonts w:eastAsiaTheme="minorHAnsi"/>
          <w:lang w:eastAsia="en-US"/>
        </w:rPr>
      </w:pPr>
    </w:p>
    <w:p w14:paraId="02413EC5" w14:textId="77777777" w:rsidR="004A117C" w:rsidRPr="004A117C" w:rsidRDefault="004A117C" w:rsidP="004A117C">
      <w:pPr>
        <w:spacing w:line="259" w:lineRule="auto"/>
        <w:jc w:val="both"/>
        <w:rPr>
          <w:rFonts w:eastAsiaTheme="minorHAnsi"/>
          <w:lang w:eastAsia="en-US"/>
        </w:rPr>
      </w:pPr>
    </w:p>
    <w:p w14:paraId="1C11AEB6" w14:textId="77777777" w:rsidR="004A117C" w:rsidRPr="004A117C" w:rsidRDefault="004A117C" w:rsidP="004A117C">
      <w:pPr>
        <w:spacing w:line="259" w:lineRule="auto"/>
        <w:jc w:val="both"/>
        <w:rPr>
          <w:rFonts w:eastAsiaTheme="minorHAnsi"/>
          <w:lang w:eastAsia="en-US"/>
        </w:rPr>
      </w:pPr>
    </w:p>
    <w:p w14:paraId="6D6836DC" w14:textId="77777777" w:rsidR="004A117C" w:rsidRPr="004A117C" w:rsidRDefault="004A117C" w:rsidP="004A117C">
      <w:pPr>
        <w:spacing w:line="259" w:lineRule="auto"/>
        <w:jc w:val="both"/>
        <w:rPr>
          <w:rFonts w:eastAsiaTheme="minorHAnsi"/>
          <w:lang w:eastAsia="en-US"/>
        </w:rPr>
      </w:pPr>
    </w:p>
    <w:p w14:paraId="520D9659" w14:textId="77777777" w:rsidR="004A117C" w:rsidRPr="004A117C" w:rsidRDefault="004A117C" w:rsidP="004A117C">
      <w:pPr>
        <w:spacing w:line="259" w:lineRule="auto"/>
        <w:jc w:val="both"/>
        <w:rPr>
          <w:rFonts w:eastAsiaTheme="minorHAnsi"/>
          <w:lang w:eastAsia="en-US"/>
        </w:rPr>
      </w:pPr>
    </w:p>
    <w:p w14:paraId="6E4DBB0E" w14:textId="77777777" w:rsidR="004A117C" w:rsidRPr="004A117C" w:rsidRDefault="004A117C" w:rsidP="004A117C">
      <w:pPr>
        <w:spacing w:line="259" w:lineRule="auto"/>
        <w:jc w:val="both"/>
        <w:rPr>
          <w:rFonts w:eastAsiaTheme="minorHAnsi"/>
          <w:lang w:eastAsia="en-US"/>
        </w:rPr>
      </w:pPr>
    </w:p>
    <w:p w14:paraId="370E096A" w14:textId="77777777" w:rsidR="004A117C" w:rsidRPr="004A117C" w:rsidRDefault="004A117C" w:rsidP="004A117C">
      <w:pPr>
        <w:spacing w:line="259" w:lineRule="auto"/>
        <w:jc w:val="both"/>
        <w:rPr>
          <w:rFonts w:eastAsiaTheme="minorHAnsi"/>
          <w:lang w:eastAsia="en-US"/>
        </w:rPr>
      </w:pPr>
    </w:p>
    <w:p w14:paraId="308BEEC4" w14:textId="77777777" w:rsidR="004A117C" w:rsidRPr="004A117C" w:rsidRDefault="004A117C" w:rsidP="004A117C">
      <w:pPr>
        <w:spacing w:line="259" w:lineRule="auto"/>
        <w:jc w:val="both"/>
        <w:rPr>
          <w:rFonts w:eastAsiaTheme="minorHAnsi"/>
          <w:lang w:eastAsia="en-US"/>
        </w:rPr>
      </w:pPr>
    </w:p>
    <w:p w14:paraId="0353A515" w14:textId="77777777" w:rsidR="004A117C" w:rsidRPr="004A117C" w:rsidRDefault="004A117C" w:rsidP="004A117C">
      <w:pPr>
        <w:spacing w:line="259" w:lineRule="auto"/>
        <w:jc w:val="both"/>
        <w:rPr>
          <w:rFonts w:eastAsiaTheme="minorHAnsi"/>
          <w:lang w:eastAsia="en-US"/>
        </w:rPr>
      </w:pPr>
    </w:p>
    <w:p w14:paraId="3AF0BBDE" w14:textId="77777777" w:rsidR="004A117C" w:rsidRPr="004A117C" w:rsidRDefault="004A117C" w:rsidP="004A117C">
      <w:pPr>
        <w:spacing w:line="259" w:lineRule="auto"/>
        <w:jc w:val="both"/>
        <w:rPr>
          <w:rFonts w:eastAsiaTheme="minorHAnsi"/>
          <w:lang w:eastAsia="en-US"/>
        </w:rPr>
      </w:pPr>
    </w:p>
    <w:p w14:paraId="4064180E" w14:textId="77777777" w:rsidR="004A117C" w:rsidRPr="004A117C" w:rsidRDefault="004A117C" w:rsidP="004A117C">
      <w:pPr>
        <w:spacing w:line="259" w:lineRule="auto"/>
        <w:jc w:val="both"/>
        <w:rPr>
          <w:rFonts w:eastAsiaTheme="minorHAnsi"/>
          <w:lang w:eastAsia="en-US"/>
        </w:rPr>
      </w:pPr>
    </w:p>
    <w:p w14:paraId="5AFBAAD9" w14:textId="77777777" w:rsidR="004A117C" w:rsidRPr="004A117C" w:rsidRDefault="004A117C" w:rsidP="004A117C">
      <w:pPr>
        <w:spacing w:line="259" w:lineRule="auto"/>
        <w:jc w:val="both"/>
        <w:rPr>
          <w:rFonts w:eastAsiaTheme="minorHAnsi"/>
          <w:lang w:eastAsia="en-US"/>
        </w:rPr>
      </w:pPr>
    </w:p>
    <w:p w14:paraId="03D637E7" w14:textId="77777777" w:rsidR="004A117C" w:rsidRPr="004A117C" w:rsidRDefault="004A117C" w:rsidP="004A117C">
      <w:pPr>
        <w:spacing w:line="259" w:lineRule="auto"/>
        <w:jc w:val="both"/>
        <w:rPr>
          <w:rFonts w:eastAsiaTheme="minorHAnsi"/>
          <w:lang w:eastAsia="en-US"/>
        </w:rPr>
      </w:pPr>
    </w:p>
    <w:p w14:paraId="4C2B5011" w14:textId="77777777" w:rsidR="004A117C" w:rsidRPr="004A117C" w:rsidRDefault="004A117C" w:rsidP="004A117C">
      <w:pPr>
        <w:spacing w:line="259" w:lineRule="auto"/>
        <w:jc w:val="both"/>
        <w:rPr>
          <w:rFonts w:eastAsiaTheme="minorHAnsi"/>
          <w:lang w:eastAsia="en-US"/>
        </w:rPr>
      </w:pPr>
    </w:p>
    <w:p w14:paraId="34AB6A07" w14:textId="77777777" w:rsidR="004A117C" w:rsidRPr="004A117C" w:rsidRDefault="004A117C" w:rsidP="004A117C">
      <w:pPr>
        <w:spacing w:line="259" w:lineRule="auto"/>
        <w:jc w:val="both"/>
        <w:rPr>
          <w:rFonts w:eastAsiaTheme="minorHAnsi"/>
          <w:lang w:eastAsia="en-US"/>
        </w:rPr>
      </w:pPr>
    </w:p>
    <w:p w14:paraId="2F0F5DD2" w14:textId="77777777" w:rsidR="004A117C" w:rsidRPr="004A117C" w:rsidRDefault="004A117C" w:rsidP="004A117C">
      <w:pPr>
        <w:spacing w:line="259" w:lineRule="auto"/>
        <w:jc w:val="both"/>
        <w:rPr>
          <w:rFonts w:eastAsiaTheme="minorHAnsi"/>
          <w:lang w:eastAsia="en-US"/>
        </w:rPr>
      </w:pPr>
    </w:p>
    <w:p w14:paraId="7B8EFB81" w14:textId="77777777" w:rsidR="004A117C" w:rsidRPr="004A117C" w:rsidRDefault="004A117C" w:rsidP="004A117C">
      <w:pPr>
        <w:spacing w:line="259" w:lineRule="auto"/>
        <w:jc w:val="both"/>
        <w:rPr>
          <w:rFonts w:eastAsiaTheme="minorHAnsi"/>
          <w:lang w:eastAsia="en-US"/>
        </w:rPr>
      </w:pPr>
    </w:p>
    <w:p w14:paraId="3753893D" w14:textId="77777777" w:rsidR="004A117C" w:rsidRPr="004A117C" w:rsidRDefault="004A117C" w:rsidP="004A117C">
      <w:pPr>
        <w:spacing w:line="259" w:lineRule="auto"/>
        <w:jc w:val="both"/>
        <w:rPr>
          <w:rFonts w:eastAsiaTheme="minorHAnsi"/>
          <w:lang w:eastAsia="en-US"/>
        </w:rPr>
      </w:pPr>
    </w:p>
    <w:p w14:paraId="1AC4A8ED" w14:textId="77777777" w:rsidR="004A117C" w:rsidRPr="004A117C" w:rsidRDefault="004A117C" w:rsidP="004A117C">
      <w:pPr>
        <w:spacing w:line="259" w:lineRule="auto"/>
        <w:jc w:val="both"/>
        <w:rPr>
          <w:rFonts w:eastAsiaTheme="minorHAnsi"/>
          <w:lang w:eastAsia="en-US"/>
        </w:rPr>
      </w:pPr>
    </w:p>
    <w:p w14:paraId="059155AE"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Čl. II – zákon č. 566/2001 Z. z. o cenných papieroch a investičných službách</w:t>
      </w:r>
    </w:p>
    <w:p w14:paraId="3390B5ED" w14:textId="77777777" w:rsidR="004A117C" w:rsidRPr="004A117C" w:rsidRDefault="004A117C" w:rsidP="004A117C">
      <w:pPr>
        <w:spacing w:line="259" w:lineRule="auto"/>
        <w:jc w:val="both"/>
        <w:rPr>
          <w:rFonts w:eastAsiaTheme="minorHAnsi"/>
          <w:lang w:eastAsia="en-US"/>
        </w:rPr>
      </w:pPr>
    </w:p>
    <w:p w14:paraId="51A00409"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 [§ 7 ods. 31]</w:t>
      </w:r>
    </w:p>
    <w:p w14:paraId="02C7BD4B"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Definuje sa faktor udržateľnosti v súlade s čl. 2 bod 24 Európskeho parlamentu a Rady (EÚ) 2019/2088 z 27. novembra 2019 o zverejňovaní informácií o udržateľnosti v sektore finančných služieb.</w:t>
      </w:r>
    </w:p>
    <w:p w14:paraId="43B58890" w14:textId="77777777" w:rsidR="004A117C" w:rsidRPr="004A117C" w:rsidRDefault="004A117C" w:rsidP="004A117C">
      <w:pPr>
        <w:spacing w:line="259" w:lineRule="auto"/>
        <w:jc w:val="both"/>
        <w:rPr>
          <w:rFonts w:eastAsiaTheme="minorHAnsi"/>
          <w:b/>
          <w:lang w:eastAsia="en-US"/>
        </w:rPr>
      </w:pPr>
    </w:p>
    <w:p w14:paraId="2644DD80"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2 [§ 28 ods. 3 písm. l)]</w:t>
      </w:r>
    </w:p>
    <w:p w14:paraId="3AF2322B" w14:textId="77777777" w:rsidR="004A117C" w:rsidRPr="004A117C" w:rsidRDefault="004A117C" w:rsidP="004A117C">
      <w:pPr>
        <w:spacing w:after="160" w:line="259" w:lineRule="auto"/>
        <w:jc w:val="both"/>
        <w:rPr>
          <w:rFonts w:eastAsiaTheme="minorHAnsi"/>
          <w:b/>
          <w:lang w:eastAsia="en-US"/>
        </w:rPr>
      </w:pPr>
      <w:r w:rsidRPr="004A117C">
        <w:rPr>
          <w:rFonts w:eastAsiaTheme="minorHAnsi"/>
          <w:lang w:eastAsia="en-US"/>
        </w:rPr>
        <w:t>Rozširuje sa okruh subjektov, ktoré môžu podať centrálnemu depozitáru príkaz na pozastavenie práva nakladať o Radu pre riešenie krízových situácií v prípade uplatnenia postupov podľa zákona č. 371/2014 Z. z. alebo nariadenia 2021/23.</w:t>
      </w:r>
    </w:p>
    <w:p w14:paraId="787B7E13"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3 [§ 53f]</w:t>
      </w:r>
    </w:p>
    <w:p w14:paraId="34A092AB"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Ustanovuje sa, v ktorých prípadoch sa nepoužijú ustanovenia o finančnej záruke.</w:t>
      </w:r>
    </w:p>
    <w:p w14:paraId="0F277607" w14:textId="77777777" w:rsidR="004A117C" w:rsidRPr="004A117C" w:rsidRDefault="004A117C" w:rsidP="004A117C">
      <w:pPr>
        <w:spacing w:line="259" w:lineRule="auto"/>
        <w:jc w:val="both"/>
        <w:rPr>
          <w:rFonts w:eastAsiaTheme="minorHAnsi"/>
          <w:lang w:eastAsia="en-US"/>
        </w:rPr>
      </w:pPr>
    </w:p>
    <w:p w14:paraId="77E79E17"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4 [§ 71dg ods. 4]</w:t>
      </w:r>
    </w:p>
    <w:p w14:paraId="0BA8D75D"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Legislatívno-technická úprava v nadväznosti na bod 2 (§ 28 ods. 3).</w:t>
      </w:r>
    </w:p>
    <w:p w14:paraId="675AB9C3" w14:textId="77777777" w:rsidR="004A117C" w:rsidRPr="004A117C" w:rsidRDefault="004A117C" w:rsidP="004A117C">
      <w:pPr>
        <w:spacing w:line="259" w:lineRule="auto"/>
        <w:jc w:val="both"/>
        <w:rPr>
          <w:rFonts w:eastAsiaTheme="minorHAnsi"/>
          <w:b/>
          <w:lang w:eastAsia="en-US"/>
        </w:rPr>
      </w:pPr>
    </w:p>
    <w:p w14:paraId="1E9569C6"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5 [§ 71m ods. 12]</w:t>
      </w:r>
    </w:p>
    <w:p w14:paraId="6507950A"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Ide o transpozíciu článku 1 bod 2 písm. a) delegovanej smernice 2021/1269.</w:t>
      </w:r>
    </w:p>
    <w:p w14:paraId="6EED7EBD" w14:textId="77777777" w:rsidR="004A117C" w:rsidRPr="004A117C" w:rsidRDefault="004A117C" w:rsidP="004A117C">
      <w:pPr>
        <w:spacing w:line="259" w:lineRule="auto"/>
        <w:jc w:val="both"/>
        <w:rPr>
          <w:rFonts w:eastAsiaTheme="minorHAnsi"/>
          <w:b/>
          <w:lang w:eastAsia="en-US"/>
        </w:rPr>
      </w:pPr>
    </w:p>
    <w:p w14:paraId="28241E42"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bodom 6 a 7 [§ 71m ods. 15 písm. a) a b)]</w:t>
      </w:r>
    </w:p>
    <w:p w14:paraId="0CA99EB9"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Ide o transpozíciu článku 1 bod 2 písm. b)  delegovanej smernice 2021/1269.   </w:t>
      </w:r>
    </w:p>
    <w:p w14:paraId="623AE364" w14:textId="77777777" w:rsidR="004A117C" w:rsidRPr="004A117C" w:rsidRDefault="004A117C" w:rsidP="004A117C">
      <w:pPr>
        <w:spacing w:line="259" w:lineRule="auto"/>
        <w:jc w:val="both"/>
        <w:rPr>
          <w:rFonts w:eastAsiaTheme="minorHAnsi"/>
          <w:b/>
          <w:lang w:eastAsia="en-US"/>
        </w:rPr>
      </w:pPr>
    </w:p>
    <w:p w14:paraId="08325869"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8 [§ 71m ods. 17]</w:t>
      </w:r>
    </w:p>
    <w:p w14:paraId="0E7668E6"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Ide o transpozíciu článku 1 bod 2 písm. d) delegovanej smernice 2021/1269.</w:t>
      </w:r>
    </w:p>
    <w:p w14:paraId="6FA2EE3C" w14:textId="77777777" w:rsidR="004A117C" w:rsidRPr="004A117C" w:rsidRDefault="004A117C" w:rsidP="004A117C">
      <w:pPr>
        <w:spacing w:line="259" w:lineRule="auto"/>
        <w:jc w:val="both"/>
        <w:rPr>
          <w:rFonts w:eastAsiaTheme="minorHAnsi"/>
          <w:b/>
          <w:lang w:eastAsia="en-US"/>
        </w:rPr>
      </w:pPr>
    </w:p>
    <w:p w14:paraId="589A53DB"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9 [§ 71m ods. 20]</w:t>
      </w:r>
    </w:p>
    <w:p w14:paraId="338FCD4E"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Ide o transpozíciu článku 1 bod 2 písm. c) delegovanej smernice 2021/1269.   </w:t>
      </w:r>
    </w:p>
    <w:p w14:paraId="2EC3ED86" w14:textId="77777777" w:rsidR="004A117C" w:rsidRPr="004A117C" w:rsidRDefault="004A117C" w:rsidP="004A117C">
      <w:pPr>
        <w:spacing w:line="259" w:lineRule="auto"/>
        <w:jc w:val="both"/>
        <w:rPr>
          <w:rFonts w:eastAsiaTheme="minorHAnsi"/>
          <w:b/>
          <w:lang w:eastAsia="en-US"/>
        </w:rPr>
      </w:pPr>
    </w:p>
    <w:p w14:paraId="2D7BEC65"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10 [§ 71n ods. 4]</w:t>
      </w:r>
    </w:p>
    <w:p w14:paraId="0628B9CF"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Ide o transpozíciu článku 1 bod 3 písm. a) delegovanej smernice 2021/1269.   </w:t>
      </w:r>
    </w:p>
    <w:p w14:paraId="636CE8E1" w14:textId="77777777" w:rsidR="004A117C" w:rsidRPr="004A117C" w:rsidRDefault="004A117C" w:rsidP="004A117C">
      <w:pPr>
        <w:spacing w:line="259" w:lineRule="auto"/>
        <w:jc w:val="both"/>
        <w:rPr>
          <w:rFonts w:eastAsiaTheme="minorHAnsi"/>
          <w:b/>
          <w:lang w:eastAsia="en-US"/>
        </w:rPr>
      </w:pPr>
    </w:p>
    <w:p w14:paraId="642EDFCB"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11 [§ 71n ods. 5]</w:t>
      </w:r>
    </w:p>
    <w:p w14:paraId="754C69B3"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Ide o transpozíciu článku 1 bod 3 písm. a) delegovanej smernice 2021/1269.   </w:t>
      </w:r>
    </w:p>
    <w:p w14:paraId="0F7FFB01" w14:textId="77777777" w:rsidR="004A117C" w:rsidRPr="004A117C" w:rsidRDefault="004A117C" w:rsidP="004A117C">
      <w:pPr>
        <w:spacing w:line="259" w:lineRule="auto"/>
        <w:jc w:val="both"/>
        <w:rPr>
          <w:rFonts w:eastAsiaTheme="minorHAnsi"/>
          <w:lang w:eastAsia="en-US"/>
        </w:rPr>
      </w:pPr>
    </w:p>
    <w:p w14:paraId="3BCD1C52"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12 [§ 71n ods. 9]</w:t>
      </w:r>
    </w:p>
    <w:p w14:paraId="46C45027"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Ide o transpozíciu článku 1 bod 3 písm. b) delegovanej smernice 2021/1269.  </w:t>
      </w:r>
    </w:p>
    <w:p w14:paraId="7443C441"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 </w:t>
      </w:r>
    </w:p>
    <w:p w14:paraId="66CCD484"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13[§ 77 ods. 1]</w:t>
      </w:r>
    </w:p>
    <w:p w14:paraId="5B01C32A"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Ustanovuje sa povinnosť predkladať polročnú správu obchodníkom s cennými papiermi ministerstvu len na vyžiadanie.</w:t>
      </w:r>
    </w:p>
    <w:p w14:paraId="6DA8FBB8" w14:textId="77777777" w:rsidR="004A117C" w:rsidRPr="004A117C" w:rsidRDefault="004A117C" w:rsidP="004A117C">
      <w:pPr>
        <w:spacing w:line="259" w:lineRule="auto"/>
        <w:jc w:val="both"/>
        <w:rPr>
          <w:rFonts w:eastAsiaTheme="minorHAnsi"/>
          <w:b/>
          <w:lang w:eastAsia="en-US"/>
        </w:rPr>
      </w:pPr>
    </w:p>
    <w:p w14:paraId="06CDBD68"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14[§ 78a ods. 4]</w:t>
      </w:r>
    </w:p>
    <w:p w14:paraId="1DE7E020"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lastRenderedPageBreak/>
        <w:t>Ustanovuje sa, v ktorých prípadoch sa nepoužijú ustanovenia o zásadách zapájania správcov aktív do výkonu práv akcionárov.</w:t>
      </w:r>
    </w:p>
    <w:p w14:paraId="638DFEF2" w14:textId="77777777" w:rsidR="004A117C" w:rsidRPr="004A117C" w:rsidRDefault="004A117C" w:rsidP="004A117C">
      <w:pPr>
        <w:spacing w:line="259" w:lineRule="auto"/>
        <w:jc w:val="both"/>
        <w:rPr>
          <w:rFonts w:eastAsiaTheme="minorHAnsi"/>
          <w:lang w:eastAsia="en-US"/>
        </w:rPr>
      </w:pPr>
    </w:p>
    <w:p w14:paraId="597A6327"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15 [§ 79 ods. 4]</w:t>
      </w:r>
    </w:p>
    <w:p w14:paraId="473AB5D2"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Ustanovuje sa povinnosť predkladať zoznam akcionárov obchodníkom s cennými papiermi ministerstvu len na vyžiadanie.</w:t>
      </w:r>
    </w:p>
    <w:p w14:paraId="325E0D49" w14:textId="77777777" w:rsidR="004A117C" w:rsidRPr="004A117C" w:rsidRDefault="004A117C" w:rsidP="004A117C">
      <w:pPr>
        <w:spacing w:line="259" w:lineRule="auto"/>
        <w:jc w:val="both"/>
        <w:rPr>
          <w:rFonts w:eastAsiaTheme="minorHAnsi"/>
          <w:b/>
          <w:lang w:eastAsia="en-US"/>
        </w:rPr>
      </w:pPr>
    </w:p>
    <w:p w14:paraId="5D3074BF"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16 [§ 107o ods. 20]</w:t>
      </w:r>
    </w:p>
    <w:p w14:paraId="26FBAB50"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Ustanovuje sa, že ak sa uplatnia nástroje riešenia krízových situácií, právomocí riešiť krízové situácie a mechanizmov riešenia krízových situácií, nepoužijú sa ustanovenia o identifikácii a informovaní akcionárov.</w:t>
      </w:r>
    </w:p>
    <w:p w14:paraId="1FE7F36E" w14:textId="77777777" w:rsidR="004A117C" w:rsidRPr="004A117C" w:rsidRDefault="004A117C" w:rsidP="004A117C">
      <w:pPr>
        <w:spacing w:line="259" w:lineRule="auto"/>
        <w:jc w:val="both"/>
        <w:rPr>
          <w:rFonts w:eastAsiaTheme="minorHAnsi"/>
          <w:lang w:eastAsia="en-US"/>
        </w:rPr>
      </w:pPr>
    </w:p>
    <w:p w14:paraId="207294DC"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17 [§ 118l ods. 3]</w:t>
      </w:r>
    </w:p>
    <w:p w14:paraId="66C583DA"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Legislatívno-technická úprava v nadväznosti na bod 3.</w:t>
      </w:r>
    </w:p>
    <w:p w14:paraId="42602A6C" w14:textId="77777777" w:rsidR="004A117C" w:rsidRPr="004A117C" w:rsidRDefault="004A117C" w:rsidP="004A117C">
      <w:pPr>
        <w:spacing w:line="259" w:lineRule="auto"/>
        <w:jc w:val="both"/>
        <w:rPr>
          <w:rFonts w:eastAsiaTheme="minorHAnsi"/>
          <w:lang w:eastAsia="en-US"/>
        </w:rPr>
      </w:pPr>
    </w:p>
    <w:p w14:paraId="7E483E1B"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bodom 18 až 20 [§ 144 ods. 3]</w:t>
      </w:r>
    </w:p>
    <w:p w14:paraId="34839FF3"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Rozširuje sa právomoc Národnej banky Slovenska ukladať sankcie podľa nariadenia 2021/23.</w:t>
      </w:r>
    </w:p>
    <w:p w14:paraId="389BF6C8" w14:textId="77777777" w:rsidR="004A117C" w:rsidRPr="004A117C" w:rsidRDefault="004A117C" w:rsidP="004A117C">
      <w:pPr>
        <w:spacing w:line="259" w:lineRule="auto"/>
        <w:jc w:val="both"/>
        <w:rPr>
          <w:rFonts w:eastAsiaTheme="minorHAnsi"/>
          <w:lang w:eastAsia="en-US"/>
        </w:rPr>
      </w:pPr>
    </w:p>
    <w:p w14:paraId="525737C3"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21 [§ 159a ods. 8]</w:t>
      </w:r>
    </w:p>
    <w:p w14:paraId="77031D43"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Ustanovuje sa, že ak sa uplatnia nástroje riešenia krízových situácií, právomocí riešiť krízové situácie a mechanizmov riešenia krízových situácií, nepoužijú sa ustanovenia ohľadne poradcu pre hlasovanie. </w:t>
      </w:r>
    </w:p>
    <w:p w14:paraId="4D8682FC" w14:textId="77777777" w:rsidR="004A117C" w:rsidRPr="004A117C" w:rsidRDefault="004A117C" w:rsidP="004A117C">
      <w:pPr>
        <w:spacing w:line="259" w:lineRule="auto"/>
        <w:jc w:val="both"/>
        <w:rPr>
          <w:rFonts w:eastAsiaTheme="minorHAnsi"/>
          <w:lang w:eastAsia="en-US"/>
        </w:rPr>
      </w:pPr>
    </w:p>
    <w:p w14:paraId="3C5BC9E6"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22 [§ 174e]</w:t>
      </w:r>
    </w:p>
    <w:p w14:paraId="285D59EB"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Nariadenie Európskeho Parlamentu a Rady (EÚ) 2019/2033 z 27. novembra 2019 o prudenciálnych požiadavkách na investičné spoločnosti a o zmene nariadení (EÚ) č. 1093/2010, (EÚ) č. 575/2013, (EÚ) č. 600/2014 a (EÚ) č. 806/2014 (Ú. v. EÚ L 314, 5. 12. 2019) v platnom znení nahradilo doterajšiu právnu úpravu, čím došlo vypusteniu splnomocňovacieho ustanovenia, avšak nie k zrušeniu samotného predpisu (Opatrenie Národnej banky Slovenska zo 7. októbra 2014 č. 20/2014 o uverejňovaní informácií obchodníkmi s cennými papiermi a pobočkami zahraničných obchodníkov s cennými papiermi), preto sa navrhuje zrušenie predmetného opatrenia doplnením zrušovacích ustanovení za účelom zosúladenia zákona s nariadením.</w:t>
      </w:r>
    </w:p>
    <w:p w14:paraId="204F4C4A" w14:textId="77777777" w:rsidR="004A117C" w:rsidRPr="004A117C" w:rsidRDefault="004A117C" w:rsidP="004A117C">
      <w:pPr>
        <w:spacing w:line="259" w:lineRule="auto"/>
        <w:jc w:val="both"/>
        <w:rPr>
          <w:rFonts w:eastAsiaTheme="minorHAnsi"/>
          <w:lang w:eastAsia="en-US"/>
        </w:rPr>
      </w:pPr>
    </w:p>
    <w:p w14:paraId="1D2E640A"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23 [Príloha]</w:t>
      </w:r>
    </w:p>
    <w:p w14:paraId="17C08D1B"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Dopĺňa sa zoznam preberaných právne záväzných aktov Európskej únie. </w:t>
      </w:r>
    </w:p>
    <w:p w14:paraId="50F2047F" w14:textId="77777777" w:rsidR="004A117C" w:rsidRPr="004A117C" w:rsidRDefault="004A117C" w:rsidP="004A117C">
      <w:pPr>
        <w:spacing w:line="259" w:lineRule="auto"/>
        <w:jc w:val="both"/>
        <w:rPr>
          <w:rFonts w:eastAsiaTheme="minorHAnsi"/>
          <w:lang w:eastAsia="en-US"/>
        </w:rPr>
      </w:pPr>
    </w:p>
    <w:p w14:paraId="6FA3651C" w14:textId="77777777" w:rsidR="004A117C" w:rsidRPr="004A117C" w:rsidRDefault="004A117C" w:rsidP="004A117C">
      <w:pPr>
        <w:spacing w:line="259" w:lineRule="auto"/>
        <w:jc w:val="both"/>
        <w:rPr>
          <w:rFonts w:eastAsiaTheme="minorHAnsi"/>
          <w:lang w:eastAsia="en-US"/>
        </w:rPr>
      </w:pPr>
    </w:p>
    <w:p w14:paraId="6A6ACF5E" w14:textId="77777777" w:rsidR="004A117C" w:rsidRPr="004A117C" w:rsidRDefault="004A117C" w:rsidP="004A117C">
      <w:pPr>
        <w:spacing w:line="259" w:lineRule="auto"/>
        <w:jc w:val="both"/>
        <w:rPr>
          <w:rFonts w:eastAsiaTheme="minorHAnsi"/>
          <w:lang w:eastAsia="en-US"/>
        </w:rPr>
      </w:pPr>
    </w:p>
    <w:p w14:paraId="1EA22E14" w14:textId="77777777" w:rsidR="004A117C" w:rsidRPr="004A117C" w:rsidRDefault="004A117C" w:rsidP="004A117C">
      <w:pPr>
        <w:spacing w:line="259" w:lineRule="auto"/>
        <w:jc w:val="both"/>
        <w:rPr>
          <w:rFonts w:eastAsiaTheme="minorHAnsi"/>
          <w:lang w:eastAsia="en-US"/>
        </w:rPr>
      </w:pPr>
    </w:p>
    <w:p w14:paraId="4ECE8271" w14:textId="77777777" w:rsidR="004A117C" w:rsidRPr="004A117C" w:rsidRDefault="004A117C" w:rsidP="004A117C">
      <w:pPr>
        <w:spacing w:line="259" w:lineRule="auto"/>
        <w:jc w:val="both"/>
        <w:rPr>
          <w:rFonts w:eastAsiaTheme="minorHAnsi"/>
          <w:lang w:eastAsia="en-US"/>
        </w:rPr>
      </w:pPr>
    </w:p>
    <w:p w14:paraId="636F0656" w14:textId="77777777" w:rsidR="004A117C" w:rsidRPr="004A117C" w:rsidRDefault="004A117C" w:rsidP="004A117C">
      <w:pPr>
        <w:spacing w:line="259" w:lineRule="auto"/>
        <w:jc w:val="both"/>
        <w:rPr>
          <w:rFonts w:eastAsiaTheme="minorHAnsi"/>
          <w:lang w:eastAsia="en-US"/>
        </w:rPr>
      </w:pPr>
    </w:p>
    <w:p w14:paraId="3552F08D" w14:textId="77777777" w:rsidR="004A117C" w:rsidRPr="004A117C" w:rsidRDefault="004A117C" w:rsidP="004A117C">
      <w:pPr>
        <w:spacing w:line="259" w:lineRule="auto"/>
        <w:jc w:val="both"/>
        <w:rPr>
          <w:rFonts w:eastAsiaTheme="minorHAnsi"/>
          <w:lang w:eastAsia="en-US"/>
        </w:rPr>
      </w:pPr>
    </w:p>
    <w:p w14:paraId="49E32CDC" w14:textId="77777777" w:rsidR="004A117C" w:rsidRPr="004A117C" w:rsidRDefault="004A117C" w:rsidP="004A117C">
      <w:pPr>
        <w:spacing w:line="259" w:lineRule="auto"/>
        <w:jc w:val="both"/>
        <w:rPr>
          <w:rFonts w:eastAsiaTheme="minorHAnsi"/>
          <w:lang w:eastAsia="en-US"/>
        </w:rPr>
      </w:pPr>
    </w:p>
    <w:p w14:paraId="2B3CD362" w14:textId="77777777" w:rsidR="004A117C" w:rsidRPr="004A117C" w:rsidRDefault="004A117C" w:rsidP="004A117C">
      <w:pPr>
        <w:spacing w:line="259" w:lineRule="auto"/>
        <w:jc w:val="both"/>
        <w:rPr>
          <w:rFonts w:eastAsiaTheme="minorHAnsi"/>
          <w:lang w:eastAsia="en-US"/>
        </w:rPr>
      </w:pPr>
    </w:p>
    <w:p w14:paraId="578619D0" w14:textId="77777777" w:rsidR="004A117C" w:rsidRPr="004A117C" w:rsidRDefault="004A117C" w:rsidP="004A117C">
      <w:pPr>
        <w:spacing w:line="259" w:lineRule="auto"/>
        <w:jc w:val="both"/>
        <w:rPr>
          <w:rFonts w:eastAsiaTheme="minorHAnsi"/>
          <w:lang w:eastAsia="en-US"/>
        </w:rPr>
      </w:pPr>
    </w:p>
    <w:p w14:paraId="4E9917C7" w14:textId="77777777" w:rsidR="004A117C" w:rsidRPr="004A117C" w:rsidRDefault="004A117C" w:rsidP="004A117C">
      <w:pPr>
        <w:spacing w:line="259" w:lineRule="auto"/>
        <w:jc w:val="both"/>
        <w:rPr>
          <w:rFonts w:eastAsiaTheme="minorHAnsi"/>
          <w:lang w:eastAsia="en-US"/>
        </w:rPr>
      </w:pPr>
    </w:p>
    <w:p w14:paraId="6232179D" w14:textId="77777777" w:rsidR="004A117C" w:rsidRPr="004A117C" w:rsidRDefault="004A117C" w:rsidP="004A117C">
      <w:pPr>
        <w:spacing w:line="259" w:lineRule="auto"/>
        <w:jc w:val="both"/>
        <w:rPr>
          <w:rFonts w:eastAsiaTheme="minorHAnsi"/>
          <w:lang w:eastAsia="en-US"/>
        </w:rPr>
      </w:pPr>
    </w:p>
    <w:p w14:paraId="36C0D893" w14:textId="77777777" w:rsidR="004A117C" w:rsidRPr="004A117C" w:rsidRDefault="004A117C" w:rsidP="004A117C">
      <w:pPr>
        <w:spacing w:line="259" w:lineRule="auto"/>
        <w:jc w:val="both"/>
        <w:rPr>
          <w:rFonts w:eastAsiaTheme="minorHAnsi"/>
          <w:lang w:eastAsia="en-US"/>
        </w:rPr>
      </w:pPr>
    </w:p>
    <w:p w14:paraId="1F414084" w14:textId="77777777" w:rsidR="004A117C" w:rsidRPr="004A117C" w:rsidRDefault="004A117C" w:rsidP="004A117C">
      <w:pPr>
        <w:spacing w:line="259" w:lineRule="auto"/>
        <w:jc w:val="both"/>
        <w:rPr>
          <w:rFonts w:eastAsiaTheme="minorHAnsi"/>
          <w:lang w:eastAsia="en-US"/>
        </w:rPr>
      </w:pPr>
    </w:p>
    <w:p w14:paraId="2554DBE0"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Čl. III – zákon č. 429/2002 Z. z. o burze cenných papierov</w:t>
      </w:r>
    </w:p>
    <w:p w14:paraId="4383E4A3" w14:textId="77777777" w:rsidR="004A117C" w:rsidRPr="004A117C" w:rsidRDefault="004A117C" w:rsidP="004A117C">
      <w:pPr>
        <w:spacing w:line="259" w:lineRule="auto"/>
        <w:jc w:val="both"/>
        <w:rPr>
          <w:rFonts w:eastAsiaTheme="minorHAnsi"/>
          <w:b/>
          <w:lang w:eastAsia="en-US"/>
        </w:rPr>
      </w:pPr>
    </w:p>
    <w:p w14:paraId="35E706E6"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  [§ 2 ods. 5]</w:t>
      </w:r>
    </w:p>
    <w:p w14:paraId="7B007C8B"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Ide o zavedenie možnosti pre burzu cenných papierov vykonávať aj niektoré iné   činnosti (napr. vedenie účtovníctva pre vzájomne prepojené spoločnosti v rámci konsolidovaného celku, do ktorého spadá burza cenných papierov) než je uvedené v odsekoch 1 a 2, na vykonávanie ktorých udelí súhlas Národná banka Slovenska. Burza cenných papierov naďalej nesmie vykonávať iné činnosti pre tretie subjekty.</w:t>
      </w:r>
    </w:p>
    <w:p w14:paraId="5CB6DC47" w14:textId="77777777" w:rsidR="004A117C" w:rsidRPr="004A117C" w:rsidRDefault="004A117C" w:rsidP="004A117C">
      <w:pPr>
        <w:spacing w:line="259" w:lineRule="auto"/>
        <w:jc w:val="both"/>
        <w:rPr>
          <w:rFonts w:eastAsiaTheme="minorHAnsi"/>
          <w:lang w:eastAsia="en-US"/>
        </w:rPr>
      </w:pPr>
    </w:p>
    <w:p w14:paraId="6E2D6C54"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2  [§ 12 ods. 3]</w:t>
      </w:r>
    </w:p>
    <w:p w14:paraId="5FA1B8DE"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Upravuje sa lehota na pozastavenie obchodovania, ktorá bola jednotná s pozastavením burzového obchodu. Návrhom sa umožňuje pozastaviť obchodovanie s finančnými nástrojmi v lehote, ktorú ustanoví burza cenných papierov, pričom v prípade pretrvávania príčin, ktoré viedli k pozastaveniu obchodovania, možno túto lehotu opakovane predĺžiť.</w:t>
      </w:r>
    </w:p>
    <w:p w14:paraId="5A3DFB48" w14:textId="77777777" w:rsidR="004A117C" w:rsidRPr="004A117C" w:rsidRDefault="004A117C" w:rsidP="004A117C">
      <w:pPr>
        <w:spacing w:line="259" w:lineRule="auto"/>
        <w:jc w:val="both"/>
        <w:rPr>
          <w:rFonts w:eastAsiaTheme="minorHAnsi"/>
          <w:lang w:eastAsia="en-US"/>
        </w:rPr>
      </w:pPr>
    </w:p>
    <w:p w14:paraId="16DDE2CF"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3 [§ 15 ods. 4]</w:t>
      </w:r>
    </w:p>
    <w:p w14:paraId="5952D705"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Ustanovuje sa povinnosť burze predkladať aktuálny zoznam svojich akcionárov a členov burzy ministerstvu len na vyžiadanie.</w:t>
      </w:r>
    </w:p>
    <w:p w14:paraId="5A0FC104" w14:textId="77777777" w:rsidR="004A117C" w:rsidRPr="004A117C" w:rsidRDefault="004A117C" w:rsidP="004A117C">
      <w:pPr>
        <w:spacing w:line="259" w:lineRule="auto"/>
        <w:jc w:val="both"/>
        <w:rPr>
          <w:rFonts w:eastAsiaTheme="minorHAnsi"/>
          <w:b/>
          <w:lang w:eastAsia="en-US"/>
        </w:rPr>
      </w:pPr>
    </w:p>
    <w:p w14:paraId="296CAD5E"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4 [§ 16]</w:t>
      </w:r>
    </w:p>
    <w:p w14:paraId="4943ACBD"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Ide o vypustenie zastaralého ustanovenia. Čl. 47 smernice Európskeho parlamentu a Rady 2014/65/EÚ z 15. mája 2014 o trhoch s finančnými nástrojmi, ktorou sa mení smernica 2002/92/ES a smernica 2011/61/EÚ (prepracované znenie) (Ú. v. EÚ L 173, 12.6.2014) v platnom znení (ďalej len „smernica MiFID II“) bol transponovaný do § 14 zákona.</w:t>
      </w:r>
    </w:p>
    <w:p w14:paraId="4446B457" w14:textId="77777777" w:rsidR="004A117C" w:rsidRPr="004A117C" w:rsidRDefault="004A117C" w:rsidP="004A117C">
      <w:pPr>
        <w:spacing w:line="259" w:lineRule="auto"/>
        <w:jc w:val="both"/>
        <w:rPr>
          <w:rFonts w:eastAsiaTheme="minorHAnsi"/>
          <w:b/>
          <w:lang w:eastAsia="en-US"/>
        </w:rPr>
      </w:pPr>
    </w:p>
    <w:p w14:paraId="678133BC"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5 [§ 25 ods. 4]</w:t>
      </w:r>
    </w:p>
    <w:p w14:paraId="62AAB419"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V nadväznosti na zmenu v ustanovení 29 ods. 3 je potrebné doplniť, že dané ustanovenie sa nevzťahuje na prijímanie štátnych dlhopisov.</w:t>
      </w:r>
    </w:p>
    <w:p w14:paraId="49CC0623" w14:textId="77777777" w:rsidR="004A117C" w:rsidRPr="004A117C" w:rsidRDefault="004A117C" w:rsidP="004A117C">
      <w:pPr>
        <w:spacing w:line="259" w:lineRule="auto"/>
        <w:jc w:val="both"/>
        <w:rPr>
          <w:rFonts w:eastAsiaTheme="minorHAnsi"/>
          <w:b/>
          <w:lang w:eastAsia="en-US"/>
        </w:rPr>
      </w:pPr>
    </w:p>
    <w:p w14:paraId="33144B80"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bodom 6 a 7 [§ 26 ods. 8 až 10]</w:t>
      </w:r>
    </w:p>
    <w:p w14:paraId="2CA13EB9"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Ide o zosúladenie doterajších ustanovení s čl. 51 ods. 5 smernice MiFID II. Ustanovenia § 26 ods. 8 až 10 súvisia so žiadosťou o prijatie cenného papiera, informačné povinnosti vo forme predkladania regulovaných informácií bez súhlasu emitenta sú už v súčasnosti ustanovené v § 46 ods. 5 a § 50 ods. 1 zákona (ustanovenia § 34 až 49, ktoré sa vzťahujú na emitenta, sa vzťahujú aj na osobu, ktorá požiadala o prijatie cenných papierov na obchodovanie na regulovanom trhu).</w:t>
      </w:r>
    </w:p>
    <w:p w14:paraId="40F01526" w14:textId="77777777" w:rsidR="004A117C" w:rsidRPr="004A117C" w:rsidRDefault="004A117C" w:rsidP="004A117C">
      <w:pPr>
        <w:spacing w:line="259" w:lineRule="auto"/>
        <w:jc w:val="both"/>
        <w:rPr>
          <w:rFonts w:eastAsiaTheme="minorHAnsi"/>
          <w:b/>
          <w:lang w:eastAsia="en-US"/>
        </w:rPr>
      </w:pPr>
    </w:p>
    <w:p w14:paraId="556839C1"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8 [§ 27]</w:t>
      </w:r>
    </w:p>
    <w:p w14:paraId="1A7C90FC"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Ide o zosúladenie s čl. 1 ods. 5 nariadenia Európskeho parlamentu a Rady (EÚ) 2017/1129 zo 14. júna 2017 o prospekte, ktorý sa má uverejniť pri verejnej ponuke cenných papierov alebo ich prijatí na obchodovanie na regulovanom trhu, a o zrušení smernice 2003/71/ES (Ú. v. EÚ L 168, 30. 6. 2017).</w:t>
      </w:r>
    </w:p>
    <w:p w14:paraId="37D2CE4B" w14:textId="77777777" w:rsidR="004A117C" w:rsidRPr="004A117C" w:rsidRDefault="004A117C" w:rsidP="004A117C">
      <w:pPr>
        <w:spacing w:line="259" w:lineRule="auto"/>
        <w:jc w:val="both"/>
        <w:rPr>
          <w:rFonts w:eastAsiaTheme="minorHAnsi"/>
          <w:b/>
          <w:lang w:eastAsia="en-US"/>
        </w:rPr>
      </w:pPr>
    </w:p>
    <w:p w14:paraId="2D40D64F"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9 [§ 29 ods. 1 písm. c)]</w:t>
      </w:r>
    </w:p>
    <w:p w14:paraId="2B6A5DFB"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Ide o zosúladenie s čl. 1 Delegovaného nariadenia Komisie (EÚ) 2017/568. Tiež čl. 51 ods. 1 smernice 2014/65/EÚ požaduje, aby burzové pravidlá zabezpečili, že akékoľvek finančné nástroje prijaté na obchodovanie na regulovanom trhu sú obchodovateľné spravodlivým, riadnym a efektívnym spôsobom a v prípade prevoditeľných cenných papierov sú voľne obchodovateľné.</w:t>
      </w:r>
    </w:p>
    <w:p w14:paraId="2AA43263" w14:textId="77777777" w:rsidR="004A117C" w:rsidRPr="004A117C" w:rsidRDefault="004A117C" w:rsidP="004A117C">
      <w:pPr>
        <w:spacing w:line="259" w:lineRule="auto"/>
        <w:jc w:val="both"/>
        <w:rPr>
          <w:rFonts w:eastAsiaTheme="minorHAnsi"/>
          <w:lang w:eastAsia="en-US"/>
        </w:rPr>
      </w:pPr>
    </w:p>
    <w:p w14:paraId="782DCF63"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10 [§ 29 ods. 1 písm. d)]</w:t>
      </w:r>
    </w:p>
    <w:p w14:paraId="1079F77D"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Ide o legislatívno-technickú úpravu z dôvodu zosúladenia znenia písmena s úvodnou vetou. </w:t>
      </w:r>
    </w:p>
    <w:p w14:paraId="321826E4" w14:textId="77777777" w:rsidR="004A117C" w:rsidRPr="004A117C" w:rsidRDefault="004A117C" w:rsidP="004A117C">
      <w:pPr>
        <w:spacing w:line="259" w:lineRule="auto"/>
        <w:jc w:val="both"/>
        <w:rPr>
          <w:rFonts w:eastAsiaTheme="minorHAnsi"/>
          <w:lang w:eastAsia="en-US"/>
        </w:rPr>
      </w:pPr>
    </w:p>
    <w:p w14:paraId="6398C04F"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11 [§ 29 ods. 1 písm. i)]</w:t>
      </w:r>
    </w:p>
    <w:p w14:paraId="76167B7A"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Ide o transpozíciu čl. 46  ods. 2 a 3 smernice 2001/34/ES Európskeho parlamentu a Rady z 28. mája 2001 o prijímaní cenných papierov na kótovanie na burze cenných papierov a o informáciách, ktoré sa o týchto cenných papieroch musia zverejňovať (Ú. v. ES L 184, 6.7.2001; Mimoriadne vydanie Ú. v. EÚ, kap. 6/zv. 4) v platnom znení (ďalej len „smernica 2001/34 v platnom znení“).</w:t>
      </w:r>
    </w:p>
    <w:p w14:paraId="578BDCEC" w14:textId="77777777" w:rsidR="004A117C" w:rsidRPr="004A117C" w:rsidRDefault="004A117C" w:rsidP="004A117C">
      <w:pPr>
        <w:spacing w:line="259" w:lineRule="auto"/>
        <w:jc w:val="both"/>
        <w:rPr>
          <w:rFonts w:eastAsiaTheme="minorHAnsi"/>
          <w:b/>
          <w:lang w:eastAsia="en-US"/>
        </w:rPr>
      </w:pPr>
    </w:p>
    <w:p w14:paraId="2BA72F44"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12 [§ 29 ods. 1 písm. k)]</w:t>
      </w:r>
    </w:p>
    <w:p w14:paraId="47CCFBE6"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Ide o zosúladenie s Delegovaným nariadením Komisie (EÚ) 2017/568. Tiež čl. 51 ods. 1 smernice 2014/65/EÚ požaduje, aby burzové pravidlá zabezpečili, že akékoľvek finančné nástroje prijaté na obchodovanie na regulovanom trhu sú obchodovateľné spravodlivým, riadnym a efektívnym spôsobom a v prípade prevoditeľných cenných papierov sú voľne obchodovateľné.</w:t>
      </w:r>
    </w:p>
    <w:p w14:paraId="1DE8893D" w14:textId="77777777" w:rsidR="004A117C" w:rsidRPr="004A117C" w:rsidRDefault="004A117C" w:rsidP="004A117C">
      <w:pPr>
        <w:spacing w:line="259" w:lineRule="auto"/>
        <w:jc w:val="both"/>
        <w:rPr>
          <w:rFonts w:eastAsiaTheme="minorHAnsi"/>
          <w:b/>
          <w:lang w:eastAsia="en-US"/>
        </w:rPr>
      </w:pPr>
    </w:p>
    <w:p w14:paraId="7CE5A519"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13 [§ 29 ods. 3]</w:t>
      </w:r>
    </w:p>
    <w:p w14:paraId="10FBBC47"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Ide o transpozíciu čl. 46 ods. 2 a 3 smernice 2001/34/ES v platnom znení. Je potrebné vzťahovať danú požiadavku aj na cenné papiere prijímané na regulovaný trh burzy cenných papierov, nakoľko smernica 2001/34/ES sa vzťahuje na prijímanie cenných papierov na všetky regulované trhy.</w:t>
      </w:r>
    </w:p>
    <w:p w14:paraId="24729D93" w14:textId="77777777" w:rsidR="004A117C" w:rsidRPr="004A117C" w:rsidRDefault="004A117C" w:rsidP="004A117C">
      <w:pPr>
        <w:spacing w:line="259" w:lineRule="auto"/>
        <w:jc w:val="both"/>
        <w:rPr>
          <w:rFonts w:eastAsiaTheme="minorHAnsi"/>
          <w:lang w:eastAsia="en-US"/>
        </w:rPr>
      </w:pPr>
    </w:p>
    <w:p w14:paraId="5C13E991"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14 [§ 30 ods. 8 a 9]</w:t>
      </w:r>
    </w:p>
    <w:p w14:paraId="02F43F5D"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Ide o transpozíciu čl. 46 ods. 2 a 3 smernice 2001/34/ES v platnom znení, pričom doterajší odsek 29(3) je transpozičným ustanovením. Pod klauzulou o schválení sa rozumejú tie ustanovenia stanov alebo zakladateľských dokumentov emitenta, podľa ktorých sa na prevod akcií vyžaduje predchádzajúci súhlas určitých orgánov emitenta.</w:t>
      </w:r>
    </w:p>
    <w:p w14:paraId="6F2F8489" w14:textId="77777777" w:rsidR="004A117C" w:rsidRPr="004A117C" w:rsidRDefault="004A117C" w:rsidP="004A117C">
      <w:pPr>
        <w:spacing w:line="259" w:lineRule="auto"/>
        <w:jc w:val="both"/>
        <w:rPr>
          <w:rFonts w:eastAsiaTheme="minorHAnsi"/>
          <w:b/>
          <w:lang w:eastAsia="en-US"/>
        </w:rPr>
      </w:pPr>
    </w:p>
    <w:p w14:paraId="0CFC6CFE"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15 [§ 31 ods. 4]</w:t>
      </w:r>
    </w:p>
    <w:p w14:paraId="4AEE01FF"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Ide o transpozíciu čl. 54 smernice 2001/34/ES v platnom znení.    </w:t>
      </w:r>
    </w:p>
    <w:p w14:paraId="27CF768B" w14:textId="77777777" w:rsidR="004A117C" w:rsidRPr="004A117C" w:rsidRDefault="004A117C" w:rsidP="004A117C">
      <w:pPr>
        <w:spacing w:line="259" w:lineRule="auto"/>
        <w:jc w:val="both"/>
        <w:rPr>
          <w:rFonts w:eastAsiaTheme="minorHAnsi"/>
          <w:lang w:eastAsia="en-US"/>
        </w:rPr>
      </w:pPr>
    </w:p>
    <w:p w14:paraId="5D038358"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16 [§ 38 ods. 3]</w:t>
      </w:r>
    </w:p>
    <w:p w14:paraId="6AD2A06E"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Ide o úpravu pozastavenia obchodovania s finančným nástrojom podľa § 12 ods. 3 a § 38. Obchodovanie s finančným nástrojom môže byť pozastavené na základe rozhodnutia generálneho riaditeľa burzy, ale z dôvodu existencie prekážok brániacich obchodovaniu s daným finančným nástrojom.</w:t>
      </w:r>
    </w:p>
    <w:p w14:paraId="2D619785" w14:textId="77777777" w:rsidR="004A117C" w:rsidRPr="004A117C" w:rsidRDefault="004A117C" w:rsidP="004A117C">
      <w:pPr>
        <w:spacing w:line="259" w:lineRule="auto"/>
        <w:jc w:val="both"/>
        <w:rPr>
          <w:rFonts w:eastAsiaTheme="minorHAnsi"/>
          <w:lang w:eastAsia="en-US"/>
        </w:rPr>
      </w:pPr>
    </w:p>
    <w:p w14:paraId="13FE9107"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lastRenderedPageBreak/>
        <w:t>K bodu 17 [§ 38b]</w:t>
      </w:r>
    </w:p>
    <w:p w14:paraId="280E6680"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Do zákona sa vkladá ustanovenie, ktoré upravuje pozastavenie obchodovania s finančnými nástrojmi na vyžiadanie Rady pre riešenie krízových situácií podľa § 13 zákona č. 371/2014 Z. z. o riešení krízových situácií na finančnom trhu a o zmene a doplnení niektorých zákonov. Eliminácia povinnosti orgánov burzy cenných papierov rozhodnúť a vydať rozhodnutie o pozastavení obchodovania s finančnými nástrojmi umožňuje realizáciu pozastavenia obchodovania v časovom rámci predpokladanom zákonom č. 371/2014 Z. z. o riešení krízových situácií na finančnom trhu a o zmene a doplnení niektorých zákonov v znení neskorších predpisov.</w:t>
      </w:r>
    </w:p>
    <w:p w14:paraId="4B7F15BD" w14:textId="77777777" w:rsidR="004A117C" w:rsidRPr="004A117C" w:rsidRDefault="004A117C" w:rsidP="004A117C">
      <w:pPr>
        <w:spacing w:line="259" w:lineRule="auto"/>
        <w:jc w:val="both"/>
        <w:rPr>
          <w:rFonts w:eastAsiaTheme="minorHAnsi"/>
          <w:lang w:eastAsia="en-US"/>
        </w:rPr>
      </w:pPr>
    </w:p>
    <w:p w14:paraId="6571DA4F"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18 [§ 50]</w:t>
      </w:r>
    </w:p>
    <w:p w14:paraId="5BD1030E"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Ide o upresnenie povinností vzťahujúcich sa na emitenta a osobu, ktorá požiadala o prijatie cenných papierov na obchodovanie na regulovanom trhu. Vypúšťajú sa ustanovenia, ktoré sa na tieto osoby nevzťahujú.</w:t>
      </w:r>
    </w:p>
    <w:p w14:paraId="7C6F21AD" w14:textId="77777777" w:rsidR="004A117C" w:rsidRPr="004A117C" w:rsidRDefault="004A117C" w:rsidP="004A117C">
      <w:pPr>
        <w:spacing w:line="259" w:lineRule="auto"/>
        <w:jc w:val="both"/>
        <w:rPr>
          <w:rFonts w:eastAsiaTheme="minorHAnsi"/>
          <w:b/>
          <w:lang w:eastAsia="en-US"/>
        </w:rPr>
      </w:pPr>
    </w:p>
    <w:p w14:paraId="4E6BD1C6"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19 [§ 68 ods. 6]</w:t>
      </w:r>
    </w:p>
    <w:p w14:paraId="195B7060"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Ide o legislatívno-technickú úpravu – vypustenie nadbytočného odkazu a poznámky pod čiarou.</w:t>
      </w:r>
    </w:p>
    <w:p w14:paraId="63F2C560" w14:textId="77777777" w:rsidR="004A117C" w:rsidRPr="004A117C" w:rsidRDefault="004A117C" w:rsidP="004A117C">
      <w:pPr>
        <w:spacing w:line="259" w:lineRule="auto"/>
        <w:jc w:val="both"/>
        <w:rPr>
          <w:rFonts w:eastAsiaTheme="minorHAnsi"/>
          <w:b/>
          <w:lang w:eastAsia="en-US"/>
        </w:rPr>
      </w:pPr>
    </w:p>
    <w:p w14:paraId="738ADE0C" w14:textId="77777777" w:rsidR="004A117C" w:rsidRPr="004A117C" w:rsidRDefault="004A117C" w:rsidP="004A117C">
      <w:pPr>
        <w:spacing w:line="259" w:lineRule="auto"/>
        <w:jc w:val="both"/>
        <w:rPr>
          <w:rFonts w:eastAsiaTheme="minorHAnsi"/>
          <w:b/>
          <w:lang w:eastAsia="en-US"/>
        </w:rPr>
      </w:pPr>
    </w:p>
    <w:p w14:paraId="31755AF6" w14:textId="77777777" w:rsidR="004A117C" w:rsidRPr="004A117C" w:rsidRDefault="004A117C" w:rsidP="004A117C">
      <w:pPr>
        <w:spacing w:line="259" w:lineRule="auto"/>
        <w:jc w:val="both"/>
        <w:rPr>
          <w:rFonts w:eastAsiaTheme="minorHAnsi"/>
          <w:b/>
          <w:lang w:eastAsia="en-US"/>
        </w:rPr>
      </w:pPr>
    </w:p>
    <w:p w14:paraId="7E2F58B8" w14:textId="77777777" w:rsidR="004A117C" w:rsidRPr="004A117C" w:rsidRDefault="004A117C" w:rsidP="004A117C">
      <w:pPr>
        <w:spacing w:line="259" w:lineRule="auto"/>
        <w:jc w:val="both"/>
        <w:rPr>
          <w:rFonts w:eastAsiaTheme="minorHAnsi"/>
          <w:b/>
          <w:lang w:eastAsia="en-US"/>
        </w:rPr>
      </w:pPr>
    </w:p>
    <w:p w14:paraId="796B8460" w14:textId="77777777" w:rsidR="004A117C" w:rsidRPr="004A117C" w:rsidRDefault="004A117C" w:rsidP="004A117C">
      <w:pPr>
        <w:spacing w:line="259" w:lineRule="auto"/>
        <w:jc w:val="both"/>
        <w:rPr>
          <w:rFonts w:eastAsiaTheme="minorHAnsi"/>
          <w:b/>
          <w:lang w:eastAsia="en-US"/>
        </w:rPr>
      </w:pPr>
    </w:p>
    <w:p w14:paraId="2CC248B1" w14:textId="77777777" w:rsidR="004A117C" w:rsidRPr="004A117C" w:rsidRDefault="004A117C" w:rsidP="004A117C">
      <w:pPr>
        <w:spacing w:line="259" w:lineRule="auto"/>
        <w:jc w:val="both"/>
        <w:rPr>
          <w:rFonts w:eastAsiaTheme="minorHAnsi"/>
          <w:b/>
          <w:lang w:eastAsia="en-US"/>
        </w:rPr>
      </w:pPr>
    </w:p>
    <w:p w14:paraId="346B84D8" w14:textId="77777777" w:rsidR="004A117C" w:rsidRPr="004A117C" w:rsidRDefault="004A117C" w:rsidP="004A117C">
      <w:pPr>
        <w:spacing w:line="259" w:lineRule="auto"/>
        <w:jc w:val="both"/>
        <w:rPr>
          <w:rFonts w:eastAsiaTheme="minorHAnsi"/>
          <w:b/>
          <w:lang w:eastAsia="en-US"/>
        </w:rPr>
      </w:pPr>
    </w:p>
    <w:p w14:paraId="1BD42471" w14:textId="77777777" w:rsidR="004A117C" w:rsidRPr="004A117C" w:rsidRDefault="004A117C" w:rsidP="004A117C">
      <w:pPr>
        <w:spacing w:line="259" w:lineRule="auto"/>
        <w:jc w:val="both"/>
        <w:rPr>
          <w:rFonts w:eastAsiaTheme="minorHAnsi"/>
          <w:b/>
          <w:lang w:eastAsia="en-US"/>
        </w:rPr>
      </w:pPr>
    </w:p>
    <w:p w14:paraId="3486D1F4" w14:textId="77777777" w:rsidR="004A117C" w:rsidRPr="004A117C" w:rsidRDefault="004A117C" w:rsidP="004A117C">
      <w:pPr>
        <w:spacing w:line="259" w:lineRule="auto"/>
        <w:jc w:val="both"/>
        <w:rPr>
          <w:rFonts w:eastAsiaTheme="minorHAnsi"/>
          <w:b/>
          <w:lang w:eastAsia="en-US"/>
        </w:rPr>
      </w:pPr>
    </w:p>
    <w:p w14:paraId="33313B62" w14:textId="77777777" w:rsidR="004A117C" w:rsidRPr="004A117C" w:rsidRDefault="004A117C" w:rsidP="004A117C">
      <w:pPr>
        <w:spacing w:line="259" w:lineRule="auto"/>
        <w:jc w:val="both"/>
        <w:rPr>
          <w:rFonts w:eastAsiaTheme="minorHAnsi"/>
          <w:b/>
          <w:lang w:eastAsia="en-US"/>
        </w:rPr>
      </w:pPr>
    </w:p>
    <w:p w14:paraId="02BFEBDB" w14:textId="77777777" w:rsidR="004A117C" w:rsidRPr="004A117C" w:rsidRDefault="004A117C" w:rsidP="004A117C">
      <w:pPr>
        <w:spacing w:line="259" w:lineRule="auto"/>
        <w:jc w:val="both"/>
        <w:rPr>
          <w:rFonts w:eastAsiaTheme="minorHAnsi"/>
          <w:b/>
          <w:lang w:eastAsia="en-US"/>
        </w:rPr>
      </w:pPr>
    </w:p>
    <w:p w14:paraId="17C7EE74" w14:textId="77777777" w:rsidR="004A117C" w:rsidRPr="004A117C" w:rsidRDefault="004A117C" w:rsidP="004A117C">
      <w:pPr>
        <w:spacing w:line="259" w:lineRule="auto"/>
        <w:jc w:val="both"/>
        <w:rPr>
          <w:rFonts w:eastAsiaTheme="minorHAnsi"/>
          <w:b/>
          <w:lang w:eastAsia="en-US"/>
        </w:rPr>
      </w:pPr>
    </w:p>
    <w:p w14:paraId="6C138CF7" w14:textId="77777777" w:rsidR="004A117C" w:rsidRPr="004A117C" w:rsidRDefault="004A117C" w:rsidP="004A117C">
      <w:pPr>
        <w:spacing w:line="259" w:lineRule="auto"/>
        <w:jc w:val="both"/>
        <w:rPr>
          <w:rFonts w:eastAsiaTheme="minorHAnsi"/>
          <w:b/>
          <w:lang w:eastAsia="en-US"/>
        </w:rPr>
      </w:pPr>
    </w:p>
    <w:p w14:paraId="4513D2BF" w14:textId="77777777" w:rsidR="004A117C" w:rsidRPr="004A117C" w:rsidRDefault="004A117C" w:rsidP="004A117C">
      <w:pPr>
        <w:spacing w:line="259" w:lineRule="auto"/>
        <w:jc w:val="both"/>
        <w:rPr>
          <w:rFonts w:eastAsiaTheme="minorHAnsi"/>
          <w:b/>
          <w:lang w:eastAsia="en-US"/>
        </w:rPr>
      </w:pPr>
    </w:p>
    <w:p w14:paraId="2488BC56" w14:textId="77777777" w:rsidR="004A117C" w:rsidRPr="004A117C" w:rsidRDefault="004A117C" w:rsidP="004A117C">
      <w:pPr>
        <w:spacing w:line="259" w:lineRule="auto"/>
        <w:jc w:val="both"/>
        <w:rPr>
          <w:rFonts w:eastAsiaTheme="minorHAnsi"/>
          <w:b/>
          <w:lang w:eastAsia="en-US"/>
        </w:rPr>
      </w:pPr>
    </w:p>
    <w:p w14:paraId="2CADE5A4" w14:textId="77777777" w:rsidR="004A117C" w:rsidRPr="004A117C" w:rsidRDefault="004A117C" w:rsidP="004A117C">
      <w:pPr>
        <w:spacing w:line="259" w:lineRule="auto"/>
        <w:jc w:val="both"/>
        <w:rPr>
          <w:rFonts w:eastAsiaTheme="minorHAnsi"/>
          <w:b/>
          <w:lang w:eastAsia="en-US"/>
        </w:rPr>
      </w:pPr>
    </w:p>
    <w:p w14:paraId="264F9979" w14:textId="77777777" w:rsidR="004A117C" w:rsidRPr="004A117C" w:rsidRDefault="004A117C" w:rsidP="004A117C">
      <w:pPr>
        <w:spacing w:line="259" w:lineRule="auto"/>
        <w:jc w:val="both"/>
        <w:rPr>
          <w:rFonts w:eastAsiaTheme="minorHAnsi"/>
          <w:b/>
          <w:lang w:eastAsia="en-US"/>
        </w:rPr>
      </w:pPr>
    </w:p>
    <w:p w14:paraId="56BF8914" w14:textId="77777777" w:rsidR="004A117C" w:rsidRPr="004A117C" w:rsidRDefault="004A117C" w:rsidP="004A117C">
      <w:pPr>
        <w:spacing w:line="259" w:lineRule="auto"/>
        <w:jc w:val="both"/>
        <w:rPr>
          <w:rFonts w:eastAsiaTheme="minorHAnsi"/>
          <w:b/>
          <w:lang w:eastAsia="en-US"/>
        </w:rPr>
      </w:pPr>
    </w:p>
    <w:p w14:paraId="0CFAA11B" w14:textId="77777777" w:rsidR="004A117C" w:rsidRPr="004A117C" w:rsidRDefault="004A117C" w:rsidP="004A117C">
      <w:pPr>
        <w:spacing w:line="259" w:lineRule="auto"/>
        <w:jc w:val="both"/>
        <w:rPr>
          <w:rFonts w:eastAsiaTheme="minorHAnsi"/>
          <w:b/>
          <w:lang w:eastAsia="en-US"/>
        </w:rPr>
      </w:pPr>
    </w:p>
    <w:p w14:paraId="06033E50" w14:textId="77777777" w:rsidR="004A117C" w:rsidRPr="004A117C" w:rsidRDefault="004A117C" w:rsidP="004A117C">
      <w:pPr>
        <w:spacing w:line="259" w:lineRule="auto"/>
        <w:jc w:val="both"/>
        <w:rPr>
          <w:rFonts w:eastAsiaTheme="minorHAnsi"/>
          <w:b/>
          <w:lang w:eastAsia="en-US"/>
        </w:rPr>
      </w:pPr>
    </w:p>
    <w:p w14:paraId="457A2AB3" w14:textId="77777777" w:rsidR="004A117C" w:rsidRPr="004A117C" w:rsidRDefault="004A117C" w:rsidP="004A117C">
      <w:pPr>
        <w:spacing w:line="259" w:lineRule="auto"/>
        <w:jc w:val="both"/>
        <w:rPr>
          <w:rFonts w:eastAsiaTheme="minorHAnsi"/>
          <w:b/>
          <w:lang w:eastAsia="en-US"/>
        </w:rPr>
      </w:pPr>
    </w:p>
    <w:p w14:paraId="7AC4F23C" w14:textId="77777777" w:rsidR="004A117C" w:rsidRPr="004A117C" w:rsidRDefault="004A117C" w:rsidP="004A117C">
      <w:pPr>
        <w:spacing w:line="259" w:lineRule="auto"/>
        <w:jc w:val="both"/>
        <w:rPr>
          <w:rFonts w:eastAsiaTheme="minorHAnsi"/>
          <w:b/>
          <w:lang w:eastAsia="en-US"/>
        </w:rPr>
      </w:pPr>
    </w:p>
    <w:p w14:paraId="708DE67F" w14:textId="77777777" w:rsidR="004A117C" w:rsidRPr="004A117C" w:rsidRDefault="004A117C" w:rsidP="004A117C">
      <w:pPr>
        <w:spacing w:line="259" w:lineRule="auto"/>
        <w:jc w:val="both"/>
        <w:rPr>
          <w:rFonts w:eastAsiaTheme="minorHAnsi"/>
          <w:b/>
          <w:lang w:eastAsia="en-US"/>
        </w:rPr>
      </w:pPr>
    </w:p>
    <w:p w14:paraId="0ED09C56" w14:textId="77777777" w:rsidR="004A117C" w:rsidRPr="004A117C" w:rsidRDefault="004A117C" w:rsidP="004A117C">
      <w:pPr>
        <w:spacing w:line="259" w:lineRule="auto"/>
        <w:jc w:val="both"/>
        <w:rPr>
          <w:rFonts w:eastAsiaTheme="minorHAnsi"/>
          <w:b/>
          <w:lang w:eastAsia="en-US"/>
        </w:rPr>
      </w:pPr>
    </w:p>
    <w:p w14:paraId="740A4F01" w14:textId="77777777" w:rsidR="004A117C" w:rsidRPr="004A117C" w:rsidRDefault="004A117C" w:rsidP="004A117C">
      <w:pPr>
        <w:spacing w:line="259" w:lineRule="auto"/>
        <w:jc w:val="both"/>
        <w:rPr>
          <w:rFonts w:eastAsiaTheme="minorHAnsi"/>
          <w:b/>
          <w:lang w:eastAsia="en-US"/>
        </w:rPr>
      </w:pPr>
    </w:p>
    <w:p w14:paraId="4A85C94E" w14:textId="77777777" w:rsidR="004A117C" w:rsidRPr="004A117C" w:rsidRDefault="004A117C" w:rsidP="004A117C">
      <w:pPr>
        <w:spacing w:line="259" w:lineRule="auto"/>
        <w:jc w:val="both"/>
        <w:rPr>
          <w:rFonts w:eastAsiaTheme="minorHAnsi"/>
          <w:b/>
          <w:lang w:eastAsia="en-US"/>
        </w:rPr>
      </w:pPr>
    </w:p>
    <w:p w14:paraId="09889D91" w14:textId="77777777" w:rsidR="004A117C" w:rsidRPr="004A117C" w:rsidRDefault="004A117C" w:rsidP="004A117C">
      <w:pPr>
        <w:spacing w:line="259" w:lineRule="auto"/>
        <w:jc w:val="both"/>
        <w:rPr>
          <w:rFonts w:eastAsiaTheme="minorHAnsi"/>
          <w:b/>
          <w:lang w:eastAsia="en-US"/>
        </w:rPr>
      </w:pPr>
    </w:p>
    <w:p w14:paraId="59116A30" w14:textId="77777777" w:rsidR="004A117C" w:rsidRPr="004A117C" w:rsidRDefault="004A117C" w:rsidP="004A117C">
      <w:pPr>
        <w:spacing w:line="259" w:lineRule="auto"/>
        <w:jc w:val="both"/>
        <w:rPr>
          <w:rFonts w:eastAsiaTheme="minorHAnsi"/>
          <w:b/>
          <w:lang w:eastAsia="en-US"/>
        </w:rPr>
      </w:pPr>
    </w:p>
    <w:p w14:paraId="0C239B37" w14:textId="77777777" w:rsidR="004A117C" w:rsidRPr="004A117C" w:rsidRDefault="004A117C" w:rsidP="004A117C">
      <w:pPr>
        <w:spacing w:line="259" w:lineRule="auto"/>
        <w:jc w:val="both"/>
        <w:rPr>
          <w:rFonts w:eastAsiaTheme="minorHAnsi"/>
          <w:b/>
          <w:lang w:eastAsia="en-US"/>
        </w:rPr>
      </w:pPr>
    </w:p>
    <w:p w14:paraId="4D065669" w14:textId="77777777" w:rsidR="004A117C" w:rsidRPr="004A117C" w:rsidRDefault="004A117C" w:rsidP="004A117C">
      <w:pPr>
        <w:spacing w:line="259" w:lineRule="auto"/>
        <w:jc w:val="both"/>
        <w:rPr>
          <w:rFonts w:eastAsiaTheme="minorHAnsi"/>
          <w:b/>
          <w:lang w:eastAsia="en-US"/>
        </w:rPr>
      </w:pPr>
    </w:p>
    <w:p w14:paraId="072DD449" w14:textId="77777777" w:rsidR="004A117C" w:rsidRPr="004A117C" w:rsidRDefault="004A117C" w:rsidP="004A117C">
      <w:pPr>
        <w:spacing w:line="259" w:lineRule="auto"/>
        <w:jc w:val="both"/>
        <w:rPr>
          <w:rFonts w:eastAsiaTheme="minorHAnsi"/>
          <w:b/>
          <w:lang w:eastAsia="en-US"/>
        </w:rPr>
      </w:pPr>
    </w:p>
    <w:p w14:paraId="0435BBB5" w14:textId="77777777" w:rsidR="004A117C" w:rsidRPr="004A117C" w:rsidRDefault="004A117C" w:rsidP="004A117C">
      <w:pPr>
        <w:spacing w:line="259" w:lineRule="auto"/>
        <w:jc w:val="both"/>
        <w:rPr>
          <w:rFonts w:eastAsiaTheme="minorHAnsi"/>
          <w:b/>
          <w:lang w:eastAsia="en-US"/>
        </w:rPr>
      </w:pPr>
    </w:p>
    <w:p w14:paraId="1C6EB14C" w14:textId="77777777" w:rsidR="004A117C" w:rsidRPr="004A117C" w:rsidRDefault="004A117C" w:rsidP="004A117C">
      <w:pPr>
        <w:spacing w:line="259" w:lineRule="auto"/>
        <w:jc w:val="both"/>
        <w:rPr>
          <w:rFonts w:eastAsiaTheme="minorHAnsi"/>
          <w:b/>
          <w:lang w:eastAsia="en-US"/>
        </w:rPr>
      </w:pPr>
    </w:p>
    <w:p w14:paraId="5D948055" w14:textId="77777777" w:rsidR="004A117C" w:rsidRPr="004A117C" w:rsidRDefault="004A117C" w:rsidP="004A117C">
      <w:pPr>
        <w:spacing w:line="259" w:lineRule="auto"/>
        <w:jc w:val="both"/>
        <w:rPr>
          <w:rFonts w:eastAsiaTheme="minorHAnsi"/>
          <w:b/>
          <w:lang w:eastAsia="en-US"/>
        </w:rPr>
      </w:pPr>
    </w:p>
    <w:p w14:paraId="250C20E9" w14:textId="77777777" w:rsidR="004A117C" w:rsidRPr="004A117C" w:rsidRDefault="004A117C" w:rsidP="004A117C">
      <w:pPr>
        <w:spacing w:line="259" w:lineRule="auto"/>
        <w:jc w:val="both"/>
        <w:rPr>
          <w:rFonts w:eastAsiaTheme="minorHAnsi"/>
          <w:b/>
          <w:lang w:eastAsia="en-US"/>
        </w:rPr>
      </w:pPr>
    </w:p>
    <w:p w14:paraId="5D5750ED" w14:textId="77777777" w:rsidR="004A117C" w:rsidRPr="004A117C" w:rsidRDefault="004A117C" w:rsidP="004A117C">
      <w:pPr>
        <w:spacing w:line="259" w:lineRule="auto"/>
        <w:jc w:val="both"/>
        <w:rPr>
          <w:rFonts w:eastAsiaTheme="minorHAnsi"/>
          <w:b/>
          <w:lang w:eastAsia="en-US"/>
        </w:rPr>
      </w:pPr>
    </w:p>
    <w:p w14:paraId="79C87C78"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Čl. IV – zákon č. 203/2011 Z. z. o kolektívnom investovaní</w:t>
      </w:r>
    </w:p>
    <w:p w14:paraId="1B5C08C6" w14:textId="77777777" w:rsidR="004A117C" w:rsidRPr="004A117C" w:rsidRDefault="004A117C" w:rsidP="004A117C">
      <w:pPr>
        <w:spacing w:line="259" w:lineRule="auto"/>
        <w:jc w:val="both"/>
        <w:rPr>
          <w:rFonts w:eastAsiaTheme="minorHAnsi"/>
          <w:b/>
          <w:lang w:eastAsia="en-US"/>
        </w:rPr>
      </w:pPr>
    </w:p>
    <w:p w14:paraId="34C94D1A"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 [§ 3 pís. ap)]</w:t>
      </w:r>
    </w:p>
    <w:p w14:paraId="299FA8A0"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Z dôvodu zabezpečenia vyššej ochrany kvalifikovaných investorov sa zavádza vnútorný odkaz na § 31d.</w:t>
      </w:r>
    </w:p>
    <w:p w14:paraId="6D14D538" w14:textId="77777777" w:rsidR="004A117C" w:rsidRPr="004A117C" w:rsidRDefault="004A117C" w:rsidP="004A117C">
      <w:pPr>
        <w:spacing w:line="259" w:lineRule="auto"/>
        <w:jc w:val="both"/>
        <w:rPr>
          <w:rFonts w:eastAsiaTheme="minorHAnsi"/>
          <w:lang w:eastAsia="en-US"/>
        </w:rPr>
      </w:pPr>
    </w:p>
    <w:p w14:paraId="5344B00A"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2 [§ 3 pís. aq) a ar)]</w:t>
      </w:r>
    </w:p>
    <w:p w14:paraId="0D2262A7"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Dopĺňa sa definícia rizík ohrozujúceho udržateľnosť a faktorov udržateľnosti. Ide o transpozíciu článku 1 bod 1 delegovanej smernice (EÚ) 2021/1270.</w:t>
      </w:r>
    </w:p>
    <w:p w14:paraId="7B2F4D2C" w14:textId="77777777" w:rsidR="004A117C" w:rsidRPr="004A117C" w:rsidRDefault="004A117C" w:rsidP="004A117C">
      <w:pPr>
        <w:spacing w:line="259" w:lineRule="auto"/>
        <w:jc w:val="both"/>
        <w:rPr>
          <w:rFonts w:eastAsiaTheme="minorHAnsi"/>
          <w:b/>
          <w:lang w:eastAsia="en-US"/>
        </w:rPr>
      </w:pPr>
    </w:p>
    <w:p w14:paraId="60B08D24"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3 [§ 4 ods. 4]</w:t>
      </w:r>
    </w:p>
    <w:p w14:paraId="7023772A"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Za účelom umožnenia nadobúdania podielov vo vybraných alternatívnych investičných fondoch obmedzenému počtu neprofesionálnych investorov sa umožňuje nadobúdať cenné papiere a majetkové podiely v alternatívnych investičných fondoch podľa § 4 odseku 2 písm. b) obmedzenému počtu kvalifikovaných investorov a neprofesionálnych investorov. Z dôvodu zachovania charakteru takýchto fondov sa zákonom zároveň zavádza limit maximálneho počtu kvalifikovaných a neprofesionálnych investorov, ktorým je možné investíciu do takéhoto  fondu ponúknuť. </w:t>
      </w:r>
    </w:p>
    <w:p w14:paraId="1B9F8557" w14:textId="77777777" w:rsidR="004A117C" w:rsidRPr="004A117C" w:rsidRDefault="004A117C" w:rsidP="004A117C">
      <w:pPr>
        <w:spacing w:line="259" w:lineRule="auto"/>
        <w:jc w:val="both"/>
        <w:rPr>
          <w:rFonts w:eastAsiaTheme="minorHAnsi"/>
          <w:b/>
          <w:lang w:eastAsia="en-US"/>
        </w:rPr>
      </w:pPr>
    </w:p>
    <w:p w14:paraId="51CB107A"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4 [§ 10a ods. 5 písm. e)]</w:t>
      </w:r>
    </w:p>
    <w:p w14:paraId="76440929"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Úprava na základe aplikačnej praxe. Uvedené doklady sa nahrádzajú vyhlásením správcovskej spoločnosti a depozitára.   </w:t>
      </w:r>
    </w:p>
    <w:p w14:paraId="2B2058DD" w14:textId="77777777" w:rsidR="004A117C" w:rsidRPr="004A117C" w:rsidRDefault="004A117C" w:rsidP="004A117C">
      <w:pPr>
        <w:spacing w:line="259" w:lineRule="auto"/>
        <w:jc w:val="both"/>
        <w:rPr>
          <w:rFonts w:eastAsiaTheme="minorHAnsi"/>
          <w:lang w:eastAsia="en-US"/>
        </w:rPr>
      </w:pPr>
    </w:p>
    <w:p w14:paraId="12FDF094"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5 [§ 13 ods. 3]</w:t>
      </w:r>
    </w:p>
    <w:p w14:paraId="33030C86" w14:textId="77777777" w:rsidR="004A117C" w:rsidRPr="004A117C" w:rsidRDefault="004A117C" w:rsidP="004A117C">
      <w:pPr>
        <w:spacing w:line="259" w:lineRule="auto"/>
        <w:jc w:val="both"/>
        <w:rPr>
          <w:rFonts w:eastAsiaTheme="minorHAnsi"/>
          <w:b/>
          <w:lang w:eastAsia="en-US"/>
        </w:rPr>
      </w:pPr>
      <w:r w:rsidRPr="004A117C">
        <w:rPr>
          <w:rFonts w:eastAsiaTheme="minorHAnsi"/>
          <w:lang w:eastAsia="en-US"/>
        </w:rPr>
        <w:t>Znenie ustanovenia sa zosúlaďuje s Čl. 72 ods. 1 delegovaného nariadenia (EÚ) č. </w:t>
      </w:r>
      <w:hyperlink r:id="rId10"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4A117C">
          <w:rPr>
            <w:rFonts w:eastAsiaTheme="minorHAnsi"/>
            <w:lang w:eastAsia="en-US"/>
          </w:rPr>
          <w:t>231/2013</w:t>
        </w:r>
      </w:hyperlink>
      <w:r w:rsidRPr="004A117C">
        <w:rPr>
          <w:rFonts w:eastAsiaTheme="minorHAnsi"/>
          <w:lang w:eastAsia="en-US"/>
        </w:rPr>
        <w:t>, podľa ktorého správca zabezpečí výpočet čistej hodnoty aktív pri každom vydaní, upísaní, vyplatení alebo zrušení podielových listov  alebo cenných papierov alternatívneho investičného fondu.</w:t>
      </w:r>
    </w:p>
    <w:p w14:paraId="17043158" w14:textId="77777777" w:rsidR="004A117C" w:rsidRPr="004A117C" w:rsidRDefault="004A117C" w:rsidP="004A117C">
      <w:pPr>
        <w:spacing w:line="259" w:lineRule="auto"/>
        <w:jc w:val="both"/>
        <w:rPr>
          <w:rFonts w:eastAsiaTheme="minorHAnsi"/>
          <w:lang w:eastAsia="en-US"/>
        </w:rPr>
      </w:pPr>
    </w:p>
    <w:p w14:paraId="16E5CD72" w14:textId="77777777" w:rsidR="004A117C" w:rsidRPr="004A117C" w:rsidRDefault="004A117C" w:rsidP="004A117C">
      <w:pPr>
        <w:spacing w:line="259" w:lineRule="auto"/>
        <w:jc w:val="both"/>
        <w:rPr>
          <w:rFonts w:eastAsiaTheme="minorHAnsi"/>
          <w:b/>
          <w:lang w:eastAsia="en-US"/>
        </w:rPr>
      </w:pPr>
    </w:p>
    <w:p w14:paraId="0907450A"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bodom 6 a 7 [§ 17 ods. 2 a 3]</w:t>
      </w:r>
    </w:p>
    <w:p w14:paraId="76F05411"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Vypúšťajú sa nadbytočné časti zákona upravujúce povinnosť podať žiadosť o prijatie podielových listov uzavretého podielového fondu na regulovaný trh alebo podať žiadosť o ich zaradenie do zoznamu mnohostranného obchodného systému.</w:t>
      </w:r>
    </w:p>
    <w:p w14:paraId="7CD5FC4B" w14:textId="77777777" w:rsidR="004A117C" w:rsidRPr="004A117C" w:rsidRDefault="004A117C" w:rsidP="004A117C">
      <w:pPr>
        <w:spacing w:line="259" w:lineRule="auto"/>
        <w:jc w:val="both"/>
        <w:rPr>
          <w:rFonts w:eastAsiaTheme="minorHAnsi"/>
          <w:b/>
          <w:lang w:eastAsia="en-US"/>
        </w:rPr>
      </w:pPr>
    </w:p>
    <w:p w14:paraId="383CCDA5"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8 [§ 31b ods. 13]</w:t>
      </w:r>
    </w:p>
    <w:p w14:paraId="0FAA0B49" w14:textId="77777777" w:rsidR="004A117C" w:rsidRPr="004A117C" w:rsidRDefault="004A117C" w:rsidP="004A117C">
      <w:pPr>
        <w:spacing w:after="160" w:line="259" w:lineRule="auto"/>
        <w:jc w:val="both"/>
        <w:rPr>
          <w:rFonts w:eastAsiaTheme="minorHAnsi"/>
          <w:lang w:eastAsia="en-US"/>
        </w:rPr>
      </w:pPr>
      <w:r w:rsidRPr="004A117C">
        <w:rPr>
          <w:rFonts w:eastAsiaTheme="minorHAnsi"/>
          <w:lang w:eastAsia="en-US"/>
        </w:rPr>
        <w:t xml:space="preserve">Ide o zosúladenie terminológie s nariadením Európskeho parlamentu a Rady (EÚ) č. 345/2013 o európskych fondoch rizikového kapitálu (Ú. v. EÚ L 115, 25. 4. 2013) v platnom znením a </w:t>
      </w:r>
      <w:r w:rsidRPr="004A117C">
        <w:rPr>
          <w:rFonts w:eastAsiaTheme="minorHAnsi"/>
          <w:lang w:eastAsia="en-US"/>
        </w:rPr>
        <w:lastRenderedPageBreak/>
        <w:t>nariadením Európskeho parlamentu a Rady (EÚ) č. 346/2013 o európskych fondoch sociálneho podnikania (Ú. v. EÚ L 115, 25. 4. 2013) v platnom znení.</w:t>
      </w:r>
    </w:p>
    <w:p w14:paraId="097FA8EB"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9 [§ 31d]</w:t>
      </w:r>
    </w:p>
    <w:p w14:paraId="017FF819"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Umožňuje sa nadobúdať cenné papiere a majetkové podiely v alternatívnych investičných fondoch podľa § 4 odseku 2 písm. b) obmedzenému počtu kvalifikovaných investorov. Zároveň sa požaduje, aby kvalifikovaný investor mohol nadobudnúť podiely v alternatívnom investičnom fonde podľa § 4 ods. 2 písm. b) len na základe poskytnutej investičnej služby investičné poradenstvo alebo investičnej služby riadenie portfólia, v rámci ktorých sa vykoná test vhodnosti danej investície pre kvalifikovaného investora.    </w:t>
      </w:r>
    </w:p>
    <w:p w14:paraId="255D7774"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V dôsledku navrhovaných zmien týkajúcich sa umožnenia distribúcie alternatívnych investičných fondov podľa § 4 odseku 2 písm. b) obmedzenému počtu kvalifikovaných investorov sa dopĺňa informačná povinnosť voči takýmto investorom týkajúca sa charakteru fondov, súvisiacich rizík a poplatkov a údajov súvisiacich  s investovaním do týchto fondov. Investície do alternatívnych investičných fondov sú vo všeobecnosti rizikovejšie oproti investíciám v štandardných fondoch, preto je potrebné zabezpečiť aj dostupnosť relevantných údajov o danom  alternatívnom investičnom fonde.</w:t>
      </w:r>
    </w:p>
    <w:p w14:paraId="0DBC629B" w14:textId="77777777" w:rsidR="004A117C" w:rsidRPr="004A117C" w:rsidRDefault="004A117C" w:rsidP="004A117C">
      <w:pPr>
        <w:spacing w:line="259" w:lineRule="auto"/>
        <w:jc w:val="both"/>
        <w:rPr>
          <w:rFonts w:eastAsiaTheme="minorHAnsi"/>
          <w:b/>
          <w:lang w:eastAsia="en-US"/>
        </w:rPr>
      </w:pPr>
    </w:p>
    <w:p w14:paraId="0F1F7B89"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10 [§ 32 ods. 7]</w:t>
      </w:r>
    </w:p>
    <w:p w14:paraId="45D300D6"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Ustanovuje sa povinnosť správcovskej spoločnosti  zohľadňovať v riadení správcovskej spoločnosti  riziká ohrozujúce udržateľnosť. Ide o transpozíciu článku 1 bod 2 delegovanej smernice (EÚ)  2021/1270.</w:t>
      </w:r>
    </w:p>
    <w:p w14:paraId="4AD3ED91" w14:textId="77777777" w:rsidR="004A117C" w:rsidRPr="004A117C" w:rsidRDefault="004A117C" w:rsidP="004A117C">
      <w:pPr>
        <w:spacing w:line="259" w:lineRule="auto"/>
        <w:jc w:val="both"/>
        <w:rPr>
          <w:rFonts w:eastAsiaTheme="minorHAnsi"/>
          <w:lang w:eastAsia="en-US"/>
        </w:rPr>
      </w:pPr>
    </w:p>
    <w:p w14:paraId="3F4DB156"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11 [§ 33 ods. 19]</w:t>
      </w:r>
    </w:p>
    <w:p w14:paraId="22990C08"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Z dôvodu potrieb v aplikačnej praxi je potrebné, aby príslušné správcovské spoločnosti plnili povinnosti podľa § 40 a 41 zákona č. 203/2011 z. z.</w:t>
      </w:r>
    </w:p>
    <w:p w14:paraId="646F55F0" w14:textId="77777777" w:rsidR="004A117C" w:rsidRPr="004A117C" w:rsidRDefault="004A117C" w:rsidP="004A117C">
      <w:pPr>
        <w:spacing w:line="259" w:lineRule="auto"/>
        <w:jc w:val="both"/>
        <w:rPr>
          <w:rFonts w:eastAsiaTheme="minorHAnsi"/>
          <w:lang w:eastAsia="en-US"/>
        </w:rPr>
      </w:pPr>
    </w:p>
    <w:p w14:paraId="1E40B986"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12 [§ 34 ods. 2 písm. g)]</w:t>
      </w:r>
    </w:p>
    <w:p w14:paraId="3419FB49"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Ustanovuje sa zodpovednosť vrcholového manažmentu správcovskej spoločnosti  za začlenenie rizík ohrozujúcich udržateľnosť pri vykonávaní investičnej politiky. Ide o transpozíciu článku 1 bod 5 delegovanej smernice (EÚ)  2021/1270.</w:t>
      </w:r>
    </w:p>
    <w:p w14:paraId="63C9DC6F" w14:textId="77777777" w:rsidR="004A117C" w:rsidRPr="004A117C" w:rsidRDefault="004A117C" w:rsidP="004A117C">
      <w:pPr>
        <w:spacing w:line="259" w:lineRule="auto"/>
        <w:jc w:val="both"/>
        <w:rPr>
          <w:rFonts w:eastAsiaTheme="minorHAnsi"/>
          <w:lang w:eastAsia="en-US"/>
        </w:rPr>
      </w:pPr>
    </w:p>
    <w:p w14:paraId="521A8203"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13 [§ 43 ods. 5]</w:t>
      </w:r>
    </w:p>
    <w:p w14:paraId="5DFA9850"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Správcovská spoločnosť je povinná identifikovať aj také konflikty, ktoré vzniknú v dôsledku začlenenia rizík ohrozujúcich udržateľnosť do jej postupov riadenia rizík.   Ide o transpozíciu článku 1 bod 6 delegovanej smernice (EÚ) 2021/1270.   </w:t>
      </w:r>
    </w:p>
    <w:p w14:paraId="71B20C20" w14:textId="77777777" w:rsidR="004A117C" w:rsidRPr="004A117C" w:rsidRDefault="004A117C" w:rsidP="004A117C">
      <w:pPr>
        <w:spacing w:line="259" w:lineRule="auto"/>
        <w:jc w:val="both"/>
        <w:rPr>
          <w:rFonts w:eastAsiaTheme="minorHAnsi"/>
          <w:lang w:eastAsia="en-US"/>
        </w:rPr>
      </w:pPr>
    </w:p>
    <w:p w14:paraId="56882A60"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14 [§ 48 ods. 13 a 14]</w:t>
      </w:r>
    </w:p>
    <w:p w14:paraId="40CE7D5E"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Uvádza sa spôsob zohľadňovania rizík ohrozujúcich udržateľnosť. Ide o transpozíciu článku 1 bod 7 delegovanej smernice (EÚ) 2021/1270.   </w:t>
      </w:r>
    </w:p>
    <w:p w14:paraId="4CAC467B" w14:textId="77777777" w:rsidR="004A117C" w:rsidRPr="004A117C" w:rsidRDefault="004A117C" w:rsidP="004A117C">
      <w:pPr>
        <w:spacing w:line="259" w:lineRule="auto"/>
        <w:jc w:val="both"/>
        <w:rPr>
          <w:rFonts w:eastAsiaTheme="minorHAnsi"/>
          <w:lang w:eastAsia="en-US"/>
        </w:rPr>
      </w:pPr>
    </w:p>
    <w:p w14:paraId="0818B387"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15 [§ 57 ods. 1]</w:t>
      </w:r>
    </w:p>
    <w:p w14:paraId="36AC0987"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Ide o doplnenie správnej transpozície čl. 20 smernice Európskeho parlamentu a Rady 2011/61/EÚ z 8. júna 2011 o správcoch alternatívnych investičných fondov a o zmene a doplnení smerníc 2003/41/ES a 2009/65/ES a nariadení (ES) č. 1060/2009 a (EÚ) č. 1095/2010 (Ú. v. EÚ L 174, 1. 7. 2011).</w:t>
      </w:r>
    </w:p>
    <w:p w14:paraId="00F63E76" w14:textId="77777777" w:rsidR="004A117C" w:rsidRPr="004A117C" w:rsidRDefault="004A117C" w:rsidP="004A117C">
      <w:pPr>
        <w:spacing w:line="259" w:lineRule="auto"/>
        <w:jc w:val="both"/>
        <w:rPr>
          <w:rFonts w:eastAsiaTheme="minorHAnsi"/>
          <w:lang w:eastAsia="en-US"/>
        </w:rPr>
      </w:pPr>
    </w:p>
    <w:p w14:paraId="01C6F41C"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lastRenderedPageBreak/>
        <w:t>K bodu 16 [§ 57a ods. 1 písm. c)]</w:t>
      </w:r>
    </w:p>
    <w:p w14:paraId="488F9556" w14:textId="77777777" w:rsidR="004A117C" w:rsidRPr="004A117C" w:rsidRDefault="004A117C" w:rsidP="004A117C">
      <w:pPr>
        <w:spacing w:line="259" w:lineRule="auto"/>
        <w:ind w:left="142" w:hanging="142"/>
        <w:jc w:val="both"/>
        <w:rPr>
          <w:rFonts w:eastAsiaTheme="minorHAnsi"/>
          <w:lang w:eastAsia="en-US"/>
        </w:rPr>
      </w:pPr>
      <w:r w:rsidRPr="004A117C">
        <w:rPr>
          <w:rFonts w:eastAsiaTheme="minorHAnsi"/>
          <w:lang w:eastAsia="en-US"/>
        </w:rPr>
        <w:t>Ide o doplnenie správnej transpozície čl. 20 smernice 2011/61/EÚ.</w:t>
      </w:r>
    </w:p>
    <w:p w14:paraId="4760EE4D" w14:textId="77777777" w:rsidR="004A117C" w:rsidRPr="004A117C" w:rsidRDefault="004A117C" w:rsidP="004A117C">
      <w:pPr>
        <w:spacing w:line="259" w:lineRule="auto"/>
        <w:jc w:val="both"/>
        <w:rPr>
          <w:rFonts w:eastAsiaTheme="minorHAnsi"/>
          <w:lang w:eastAsia="en-US"/>
        </w:rPr>
      </w:pPr>
    </w:p>
    <w:p w14:paraId="6CA2DA55"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17 [§ 63a ods. 7 a § 150c ods. 5]</w:t>
      </w:r>
    </w:p>
    <w:p w14:paraId="3E9EF154"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Ide o zosúladenie znenia so smernicou 2019/1160/EÚ.</w:t>
      </w:r>
    </w:p>
    <w:p w14:paraId="729D067E" w14:textId="77777777" w:rsidR="004A117C" w:rsidRPr="004A117C" w:rsidRDefault="004A117C" w:rsidP="004A117C">
      <w:pPr>
        <w:spacing w:line="259" w:lineRule="auto"/>
        <w:jc w:val="both"/>
        <w:rPr>
          <w:rFonts w:eastAsiaTheme="minorHAnsi"/>
          <w:lang w:eastAsia="en-US"/>
        </w:rPr>
      </w:pPr>
    </w:p>
    <w:p w14:paraId="0D0F0DF5"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18 [§ 99 ods. 2]</w:t>
      </w:r>
    </w:p>
    <w:p w14:paraId="15971EFD"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Správcovská spoločnosť má disponovať dostatočnými zdrojmi a odborne spôsobilými zamestnancami na účinné začlenenie rizík ohrozujúcich udržateľnosť. Ide o transpozíciu článku 1 bod 3 delegovanej smernice (EÚ) 2021/1270.   </w:t>
      </w:r>
    </w:p>
    <w:p w14:paraId="618C7F1D" w14:textId="77777777" w:rsidR="004A117C" w:rsidRPr="004A117C" w:rsidRDefault="004A117C" w:rsidP="004A117C">
      <w:pPr>
        <w:spacing w:line="259" w:lineRule="auto"/>
        <w:jc w:val="both"/>
        <w:rPr>
          <w:rFonts w:eastAsiaTheme="minorHAnsi"/>
          <w:b/>
          <w:lang w:eastAsia="en-US"/>
        </w:rPr>
      </w:pPr>
    </w:p>
    <w:p w14:paraId="65F56602"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19 [§ 101 ods. 2]</w:t>
      </w:r>
    </w:p>
    <w:p w14:paraId="125738D7"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Politika riadenia rizík má obsahovať aj riziká ohrozujúce udržateľnosť. Ide o transpozíciu článku 1 bod 8 delegovanej smernice (EÚ) 2021/1270.   </w:t>
      </w:r>
    </w:p>
    <w:p w14:paraId="372C48FA" w14:textId="77777777" w:rsidR="004A117C" w:rsidRPr="004A117C" w:rsidRDefault="004A117C" w:rsidP="004A117C">
      <w:pPr>
        <w:spacing w:line="259" w:lineRule="auto"/>
        <w:jc w:val="both"/>
        <w:rPr>
          <w:rFonts w:eastAsiaTheme="minorHAnsi"/>
          <w:lang w:eastAsia="en-US"/>
        </w:rPr>
      </w:pPr>
    </w:p>
    <w:p w14:paraId="38F8737D"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20 [§ 101 ods. 5]</w:t>
      </w:r>
    </w:p>
    <w:p w14:paraId="2E7365FE"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Ustanovujú sa požiadavky na postupy riadenia rizík. Ide o transpozíciu článku 1 bod 4 delegovanej smernice (EÚ) 2021/1270.   </w:t>
      </w:r>
    </w:p>
    <w:p w14:paraId="1C1C841D" w14:textId="77777777" w:rsidR="004A117C" w:rsidRPr="004A117C" w:rsidRDefault="004A117C" w:rsidP="004A117C">
      <w:pPr>
        <w:spacing w:line="259" w:lineRule="auto"/>
        <w:jc w:val="both"/>
        <w:rPr>
          <w:rFonts w:eastAsiaTheme="minorHAnsi"/>
          <w:b/>
          <w:lang w:eastAsia="en-US"/>
        </w:rPr>
      </w:pPr>
    </w:p>
    <w:p w14:paraId="0D0500EA"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21 [§ 136 ods. 2]</w:t>
      </w:r>
    </w:p>
    <w:p w14:paraId="1400C336"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Pre účely vytvorenia vhodných podmienok pre sekundárne obchodovanie s cennými papiermi špeciálneho fondu kvalifikovaných investorov je potrebné odstrániť súčasnú prekážku v podobe predchádzajúceho súhlasu správcovskej spoločnosti k prevodom cenných papierov daného fondu. Predchádzajúci súhlas správcovskej spoločnosti sa bude zo zákona aj naďalej vyžadovať v prípade tých špeciálnych fondov kvalifikovaných investorov, ktoré nebudú predmetom žiadosti o ich prijatie na obchodovanie na regulovanom trhu alebo zaradenie do zoznamu mnohostranného obchodného systému.       </w:t>
      </w:r>
    </w:p>
    <w:p w14:paraId="7C4DBCEA" w14:textId="77777777" w:rsidR="004A117C" w:rsidRPr="004A117C" w:rsidRDefault="004A117C" w:rsidP="004A117C">
      <w:pPr>
        <w:spacing w:line="259" w:lineRule="auto"/>
        <w:jc w:val="both"/>
        <w:rPr>
          <w:rFonts w:eastAsiaTheme="minorHAnsi"/>
          <w:b/>
          <w:lang w:eastAsia="en-US"/>
        </w:rPr>
      </w:pPr>
    </w:p>
    <w:p w14:paraId="4D555617"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22 [§ 140 ods. 6]</w:t>
      </w:r>
    </w:p>
    <w:p w14:paraId="5DD49E93" w14:textId="77777777" w:rsidR="004A117C" w:rsidRPr="004A117C" w:rsidRDefault="004A117C" w:rsidP="004A117C">
      <w:pPr>
        <w:spacing w:line="259" w:lineRule="auto"/>
        <w:ind w:left="709" w:hanging="709"/>
        <w:contextualSpacing/>
        <w:jc w:val="both"/>
        <w:rPr>
          <w:rFonts w:eastAsiaTheme="minorHAnsi"/>
          <w:lang w:eastAsia="en-US"/>
        </w:rPr>
      </w:pPr>
      <w:r w:rsidRPr="004A117C">
        <w:rPr>
          <w:rFonts w:eastAsiaTheme="minorHAnsi"/>
          <w:lang w:eastAsia="en-US"/>
        </w:rPr>
        <w:t>Ide o zosúladenie znenia so smernicou 2019/1160/EÚ.</w:t>
      </w:r>
    </w:p>
    <w:p w14:paraId="40D44EA9" w14:textId="77777777" w:rsidR="004A117C" w:rsidRPr="004A117C" w:rsidRDefault="004A117C" w:rsidP="004A117C">
      <w:pPr>
        <w:spacing w:line="259" w:lineRule="auto"/>
        <w:jc w:val="both"/>
        <w:rPr>
          <w:rFonts w:eastAsiaTheme="minorHAnsi"/>
          <w:b/>
          <w:lang w:eastAsia="en-US"/>
        </w:rPr>
      </w:pPr>
    </w:p>
    <w:p w14:paraId="2BDA7A65"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23 [§141 ods. 5 písm. c) a 144 ods. 5 písm. c)]</w:t>
      </w:r>
    </w:p>
    <w:p w14:paraId="779635BA"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Ide o transpozíciu čl. 1 bod 4 smernice (EÚ) 2019/1160. Upresňuje sa doterajšie znenie ustanovenia.</w:t>
      </w:r>
    </w:p>
    <w:p w14:paraId="589813E2" w14:textId="77777777" w:rsidR="004A117C" w:rsidRPr="004A117C" w:rsidRDefault="004A117C" w:rsidP="004A117C">
      <w:pPr>
        <w:spacing w:line="259" w:lineRule="auto"/>
        <w:jc w:val="both"/>
        <w:rPr>
          <w:rFonts w:eastAsiaTheme="minorHAnsi"/>
          <w:lang w:eastAsia="en-US"/>
        </w:rPr>
      </w:pPr>
    </w:p>
    <w:p w14:paraId="5D3FB3EB"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24 [§141a ods. 6]</w:t>
      </w:r>
    </w:p>
    <w:p w14:paraId="6FE63102"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Ide o transpozíciu čl. 1 bod 6 smernice (EÚ) 2019/1160. </w:t>
      </w:r>
    </w:p>
    <w:p w14:paraId="6CF3167B" w14:textId="77777777" w:rsidR="004A117C" w:rsidRPr="004A117C" w:rsidRDefault="004A117C" w:rsidP="004A117C">
      <w:pPr>
        <w:spacing w:line="259" w:lineRule="auto"/>
        <w:jc w:val="both"/>
        <w:rPr>
          <w:rFonts w:eastAsiaTheme="minorHAnsi"/>
          <w:lang w:eastAsia="en-US"/>
        </w:rPr>
      </w:pPr>
    </w:p>
    <w:p w14:paraId="44B25728"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25 [§ 144 ods. 7]</w:t>
      </w:r>
    </w:p>
    <w:p w14:paraId="08C677B8"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Ide o transpozíciu čl. 1 bod 4 smernice (EÚ) 2019/1160. Požaduje sa sprístupnenie daných informácií aj v elektronickej podobe.</w:t>
      </w:r>
    </w:p>
    <w:p w14:paraId="40EB8DAF" w14:textId="77777777" w:rsidR="004A117C" w:rsidRPr="004A117C" w:rsidRDefault="004A117C" w:rsidP="004A117C">
      <w:pPr>
        <w:spacing w:line="259" w:lineRule="auto"/>
        <w:jc w:val="both"/>
        <w:rPr>
          <w:rFonts w:eastAsiaTheme="minorHAnsi"/>
          <w:lang w:eastAsia="en-US"/>
        </w:rPr>
      </w:pPr>
    </w:p>
    <w:p w14:paraId="27A74320"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26 [§ 144 ods. 9]</w:t>
      </w:r>
    </w:p>
    <w:p w14:paraId="56C6E037"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Ide o transpozíciu čl. 1 bod 4 smernice (EÚ) 2019/1160. Ide o zavedenie zákonnej právnej istoty pre správcov, ktorí distribuujú cenné papiere spravovaných fondov, že za týmto účelom sa od nich nevyžaduje akákoľvek fyzická prítomnosť, a všetky aktivity spojené s distribúciou </w:t>
      </w:r>
      <w:r w:rsidRPr="004A117C">
        <w:rPr>
          <w:rFonts w:eastAsiaTheme="minorHAnsi"/>
          <w:lang w:eastAsia="en-US"/>
        </w:rPr>
        <w:lastRenderedPageBreak/>
        <w:t xml:space="preserve">cenných papierov a vybavovaním podnetov investorov je možné vybavovať na diaľku prostredníctvom webových aplikácií a zaužívanými komunikačnými prostriedkami.     </w:t>
      </w:r>
    </w:p>
    <w:p w14:paraId="269483A9" w14:textId="77777777" w:rsidR="004A117C" w:rsidRPr="004A117C" w:rsidRDefault="004A117C" w:rsidP="004A117C">
      <w:pPr>
        <w:spacing w:line="259" w:lineRule="auto"/>
        <w:jc w:val="both"/>
        <w:rPr>
          <w:rFonts w:eastAsiaTheme="minorHAnsi"/>
          <w:lang w:eastAsia="en-US"/>
        </w:rPr>
      </w:pPr>
    </w:p>
    <w:p w14:paraId="2A8BB087"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27 [§ 144a ods. 4]</w:t>
      </w:r>
    </w:p>
    <w:p w14:paraId="4C00057B"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Ide o zosúladenie znenia so smernicou 2019/1160/EÚ.</w:t>
      </w:r>
    </w:p>
    <w:p w14:paraId="37DF22BD" w14:textId="77777777" w:rsidR="004A117C" w:rsidRPr="004A117C" w:rsidRDefault="004A117C" w:rsidP="004A117C">
      <w:pPr>
        <w:spacing w:line="259" w:lineRule="auto"/>
        <w:jc w:val="both"/>
        <w:rPr>
          <w:rFonts w:eastAsiaTheme="minorHAnsi"/>
          <w:lang w:eastAsia="en-US"/>
        </w:rPr>
      </w:pPr>
    </w:p>
    <w:p w14:paraId="06448B73"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28 [§ 144a ods. 6]</w:t>
      </w:r>
    </w:p>
    <w:p w14:paraId="0EA665A4"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Ide o zosúladenie znenia so smernicou 2019/1160/EÚ.</w:t>
      </w:r>
    </w:p>
    <w:p w14:paraId="2095F429" w14:textId="77777777" w:rsidR="004A117C" w:rsidRPr="004A117C" w:rsidRDefault="004A117C" w:rsidP="004A117C">
      <w:pPr>
        <w:spacing w:line="259" w:lineRule="auto"/>
        <w:jc w:val="both"/>
        <w:rPr>
          <w:rFonts w:eastAsiaTheme="minorHAnsi"/>
          <w:lang w:eastAsia="en-US"/>
        </w:rPr>
      </w:pPr>
    </w:p>
    <w:p w14:paraId="33C4897C"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29 [§ 147 ods. 1]</w:t>
      </w:r>
    </w:p>
    <w:p w14:paraId="15DB238E"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Ide o zabezpečenie rovnakých podmienok distribúcie pre zahraničné a tuzemské alternatívne investičné fondy.</w:t>
      </w:r>
    </w:p>
    <w:p w14:paraId="12EFB955" w14:textId="77777777" w:rsidR="004A117C" w:rsidRPr="004A117C" w:rsidRDefault="004A117C" w:rsidP="004A117C">
      <w:pPr>
        <w:spacing w:line="259" w:lineRule="auto"/>
        <w:jc w:val="both"/>
        <w:rPr>
          <w:rFonts w:eastAsiaTheme="minorHAnsi"/>
          <w:lang w:eastAsia="en-US"/>
        </w:rPr>
      </w:pPr>
    </w:p>
    <w:p w14:paraId="11A5B4F1"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30 [§ 148 ods. 1]</w:t>
      </w:r>
    </w:p>
    <w:p w14:paraId="1D1B4AD5"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Ide o zosúladenie znenia so smernicou 2019/1160/EÚ.</w:t>
      </w:r>
    </w:p>
    <w:p w14:paraId="3B129995" w14:textId="77777777" w:rsidR="004A117C" w:rsidRPr="004A117C" w:rsidRDefault="004A117C" w:rsidP="004A117C">
      <w:pPr>
        <w:spacing w:line="259" w:lineRule="auto"/>
        <w:jc w:val="both"/>
        <w:rPr>
          <w:rFonts w:eastAsiaTheme="minorHAnsi"/>
          <w:lang w:eastAsia="en-US"/>
        </w:rPr>
      </w:pPr>
    </w:p>
    <w:p w14:paraId="539AB88D"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31 [§ 150 ods. 1 písm. c]</w:t>
      </w:r>
    </w:p>
    <w:p w14:paraId="71A6E7BD"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Ide o transpozíciu čl. 1 bod 4 smernice (EÚ) 2019/1160. </w:t>
      </w:r>
    </w:p>
    <w:p w14:paraId="2B153ACB" w14:textId="77777777" w:rsidR="004A117C" w:rsidRPr="004A117C" w:rsidRDefault="004A117C" w:rsidP="004A117C">
      <w:pPr>
        <w:spacing w:line="259" w:lineRule="auto"/>
        <w:jc w:val="both"/>
        <w:rPr>
          <w:rFonts w:eastAsiaTheme="minorHAnsi"/>
          <w:lang w:eastAsia="en-US"/>
        </w:rPr>
      </w:pPr>
    </w:p>
    <w:p w14:paraId="687D3E68"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32 [§ 150 ods. 3]</w:t>
      </w:r>
    </w:p>
    <w:p w14:paraId="27D0129F"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Ide o transpozíciu čl. 2 bod 6 smernice (EÚ) 2019/1160. </w:t>
      </w:r>
    </w:p>
    <w:p w14:paraId="74671462" w14:textId="77777777" w:rsidR="004A117C" w:rsidRPr="004A117C" w:rsidRDefault="004A117C" w:rsidP="004A117C">
      <w:pPr>
        <w:spacing w:line="259" w:lineRule="auto"/>
        <w:jc w:val="both"/>
        <w:rPr>
          <w:rFonts w:eastAsiaTheme="minorHAnsi"/>
          <w:lang w:eastAsia="en-US"/>
        </w:rPr>
      </w:pPr>
    </w:p>
    <w:p w14:paraId="3185DD67"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33 [§ 150 ods. 6]</w:t>
      </w:r>
    </w:p>
    <w:p w14:paraId="778B7E2C"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Ide o transpozíciu čl. 2 bod 6 smernice (EÚ) 2019/1160. Ide o zavedenie zákonnej právnej istoty pre zahraničných správcov, ktorí distribuujú cenné papiere spravovaných fondov, že za týmto účelom sa od nich nevyžaduje akákoľvek fyzická prítomnosť na území Slovenskej republiky, a všetky aktivity spojené s distribúciou cenných papierov a vybavovaním podnetov investorov je možné vybavovať na diaľku prostredníctvom webových aplikácií a zaužívanými komunikačnými prostriedkami.</w:t>
      </w:r>
    </w:p>
    <w:p w14:paraId="3D74624F" w14:textId="77777777" w:rsidR="004A117C" w:rsidRPr="004A117C" w:rsidRDefault="004A117C" w:rsidP="004A117C">
      <w:pPr>
        <w:spacing w:line="259" w:lineRule="auto"/>
        <w:jc w:val="both"/>
        <w:rPr>
          <w:rFonts w:eastAsiaTheme="minorHAnsi"/>
          <w:lang w:eastAsia="en-US"/>
        </w:rPr>
      </w:pPr>
    </w:p>
    <w:p w14:paraId="34EC4226"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34 [§ 150c ods. 11]</w:t>
      </w:r>
    </w:p>
    <w:p w14:paraId="66B2704A"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Ide o transpozíciu čl. 2 bod 4 smernice (EÚ) 2019/1160.</w:t>
      </w:r>
    </w:p>
    <w:p w14:paraId="668AA178" w14:textId="77777777" w:rsidR="004A117C" w:rsidRPr="004A117C" w:rsidRDefault="004A117C" w:rsidP="004A117C">
      <w:pPr>
        <w:spacing w:line="259" w:lineRule="auto"/>
        <w:jc w:val="both"/>
        <w:rPr>
          <w:rFonts w:eastAsiaTheme="minorHAnsi"/>
          <w:b/>
          <w:lang w:eastAsia="en-US"/>
        </w:rPr>
      </w:pPr>
    </w:p>
    <w:p w14:paraId="6F616995"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35 [§ 155a]</w:t>
      </w:r>
    </w:p>
    <w:p w14:paraId="071C760A"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Ide o zosúladenie zákona so smernicou 2021/2261. Do zákona o kolektívnom investovaní sa transponuje aj smernica (EÚ) 2021/2261 z 15. decembra 2021, ktorou sa mení smernica 2009/65/ES, pokiaľ ide o používanie dokumentov s kľúčovými informáciami správcovskými spoločnosťami podnikov kolektívneho investovania do prevoditeľných cenných papierov (PKIPCP) (Ú.v. EÚ L 455, 20.12.2021), podľa ktorej sa dokument s kľúčovými informáciami vypracovaný podľa Nariadenia (EÚ) č. 1286/2014 (PRIIP) sa od 1. januára 2023 bude považovať za dokument spĺňajúci požiadavky uplatniteľné na dokument s kľúčovými informáciami pre investorov podľa smernice UCITS, a retailoví investori tak už nebudú dostávať dva dokumenty obsahujúce tie isté informácie týkajúce sa toho istého finančného produktu.</w:t>
      </w:r>
    </w:p>
    <w:p w14:paraId="69E90950" w14:textId="77777777" w:rsidR="004A117C" w:rsidRPr="004A117C" w:rsidRDefault="004A117C" w:rsidP="004A117C">
      <w:pPr>
        <w:spacing w:line="259" w:lineRule="auto"/>
        <w:jc w:val="both"/>
        <w:rPr>
          <w:rFonts w:eastAsiaTheme="minorHAnsi"/>
          <w:b/>
          <w:lang w:eastAsia="en-US"/>
        </w:rPr>
      </w:pPr>
    </w:p>
    <w:p w14:paraId="2C173E4C"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36 [§ 163 ods. 1 písm. e)]</w:t>
      </w:r>
    </w:p>
    <w:p w14:paraId="12BDA33B"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lastRenderedPageBreak/>
        <w:t>Ide o doplnenie správnej transpozície čl. 20 smernice 2011/61/EÚ.</w:t>
      </w:r>
    </w:p>
    <w:p w14:paraId="102BDC10" w14:textId="77777777" w:rsidR="004A117C" w:rsidRPr="004A117C" w:rsidRDefault="004A117C" w:rsidP="004A117C">
      <w:pPr>
        <w:spacing w:line="259" w:lineRule="auto"/>
        <w:jc w:val="both"/>
        <w:rPr>
          <w:rFonts w:eastAsiaTheme="minorHAnsi"/>
          <w:b/>
          <w:lang w:eastAsia="en-US"/>
        </w:rPr>
      </w:pPr>
    </w:p>
    <w:p w14:paraId="7DA60C2E"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37 [§ 163 ods. 3]</w:t>
      </w:r>
    </w:p>
    <w:p w14:paraId="662E2DA8" w14:textId="77777777" w:rsidR="004A117C" w:rsidRPr="004A117C" w:rsidRDefault="004A117C" w:rsidP="004A117C">
      <w:pPr>
        <w:spacing w:line="259" w:lineRule="auto"/>
        <w:ind w:left="284" w:hanging="284"/>
        <w:contextualSpacing/>
        <w:jc w:val="both"/>
        <w:rPr>
          <w:rFonts w:eastAsiaTheme="minorHAnsi"/>
          <w:lang w:eastAsia="en-US"/>
        </w:rPr>
      </w:pPr>
      <w:r w:rsidRPr="004A117C">
        <w:rPr>
          <w:rFonts w:eastAsiaTheme="minorHAnsi"/>
          <w:lang w:eastAsia="en-US"/>
        </w:rPr>
        <w:t>Ide o legislatívno-technickú úpravu.</w:t>
      </w:r>
    </w:p>
    <w:p w14:paraId="149A6412" w14:textId="77777777" w:rsidR="004A117C" w:rsidRPr="004A117C" w:rsidRDefault="004A117C" w:rsidP="004A117C">
      <w:pPr>
        <w:spacing w:line="259" w:lineRule="auto"/>
        <w:jc w:val="both"/>
        <w:rPr>
          <w:rFonts w:eastAsiaTheme="minorHAnsi"/>
          <w:b/>
          <w:lang w:eastAsia="en-US"/>
        </w:rPr>
      </w:pPr>
    </w:p>
    <w:p w14:paraId="01FDB872"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38 [§ 202 ods. 4]</w:t>
      </w:r>
    </w:p>
    <w:p w14:paraId="7D999FD6" w14:textId="77777777" w:rsidR="004A117C" w:rsidRPr="004A117C" w:rsidRDefault="004A117C" w:rsidP="004A117C">
      <w:pPr>
        <w:spacing w:line="259" w:lineRule="auto"/>
        <w:ind w:left="284" w:hanging="284"/>
        <w:contextualSpacing/>
        <w:jc w:val="both"/>
        <w:rPr>
          <w:rFonts w:eastAsiaTheme="minorHAnsi"/>
          <w:lang w:eastAsia="en-US"/>
        </w:rPr>
      </w:pPr>
      <w:r w:rsidRPr="004A117C">
        <w:rPr>
          <w:rFonts w:eastAsiaTheme="minorHAnsi"/>
          <w:lang w:eastAsia="en-US"/>
        </w:rPr>
        <w:t>Ide o legislatívno-technickú úpravu.</w:t>
      </w:r>
    </w:p>
    <w:p w14:paraId="0995DE51" w14:textId="77777777" w:rsidR="004A117C" w:rsidRPr="004A117C" w:rsidRDefault="004A117C" w:rsidP="004A117C">
      <w:pPr>
        <w:spacing w:line="259" w:lineRule="auto"/>
        <w:jc w:val="both"/>
        <w:rPr>
          <w:rFonts w:eastAsiaTheme="minorHAnsi"/>
          <w:b/>
          <w:lang w:eastAsia="en-US"/>
        </w:rPr>
      </w:pPr>
    </w:p>
    <w:p w14:paraId="557E807F"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bodu 39 [§ 221a]</w:t>
      </w:r>
    </w:p>
    <w:p w14:paraId="71147561" w14:textId="77777777" w:rsidR="004A117C" w:rsidRPr="004A117C" w:rsidRDefault="004A117C" w:rsidP="004A117C">
      <w:pPr>
        <w:spacing w:line="259" w:lineRule="auto"/>
        <w:jc w:val="both"/>
        <w:rPr>
          <w:rFonts w:eastAsiaTheme="minorHAnsi"/>
          <w:b/>
          <w:lang w:eastAsia="en-US"/>
        </w:rPr>
      </w:pPr>
      <w:r w:rsidRPr="004A117C">
        <w:rPr>
          <w:rFonts w:eastAsiaTheme="minorHAnsi"/>
          <w:lang w:eastAsia="en-US"/>
        </w:rPr>
        <w:t>Nariadenie Európskeho Parlamentu a Rady (EÚ) 2017/1131 zo 14. júna 2017 o fondoch peňažného trhu (Ú. v. EÚ L 169, 30. 6. 2017) nahradilo doterajšiu právnu úpravu, čím došlo k vypusteniu splnomocňovacieho ustanovenia, avšak nie k zrušeniu samotného predpisu (Opatrenie Národnej banky Slovenska z 13. septembra 2011 č. 10/2011 o kritériách, limitoch a obmedzeniach, ktoré musí spĺňať fond krátkodobého peňažného trhu a fond peňažného trhu), preto sa navrhuje zrušenie predmetného opatrenia doplnením zrušovacieho ustanovenia za účelom zosúladenia zákona s uvedeným nariadením.</w:t>
      </w:r>
    </w:p>
    <w:p w14:paraId="38E803FF" w14:textId="77777777" w:rsidR="004A117C" w:rsidRPr="004A117C" w:rsidRDefault="004A117C" w:rsidP="004A117C">
      <w:pPr>
        <w:spacing w:line="259" w:lineRule="auto"/>
        <w:jc w:val="both"/>
        <w:rPr>
          <w:rFonts w:eastAsiaTheme="minorHAnsi"/>
          <w:b/>
          <w:lang w:eastAsia="en-US"/>
        </w:rPr>
      </w:pPr>
    </w:p>
    <w:p w14:paraId="37EE2DEC"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t>K bodom 40 a 41 [Príloha]</w:t>
      </w:r>
    </w:p>
    <w:p w14:paraId="476479DF"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 xml:space="preserve">Do prílohy sa dopĺňa transponovaná delegovaná smernica (EÚ) 2021/1270 a smernica (EÚ) 2021/2261. Ide o transpozíciu článku 2,  bod 1 delegovanej smernice (EÚ) 2021/1270 a transpozíciu  článku 2, bod 1 smernice (EÚ)  2021/2261. </w:t>
      </w:r>
    </w:p>
    <w:p w14:paraId="74A43042" w14:textId="77777777" w:rsidR="004A117C" w:rsidRPr="004A117C" w:rsidRDefault="004A117C" w:rsidP="004A117C">
      <w:pPr>
        <w:spacing w:line="259" w:lineRule="auto"/>
        <w:jc w:val="both"/>
        <w:rPr>
          <w:rFonts w:eastAsiaTheme="minorHAnsi"/>
          <w:b/>
          <w:lang w:eastAsia="en-US"/>
        </w:rPr>
      </w:pPr>
    </w:p>
    <w:p w14:paraId="59DC426B" w14:textId="77777777" w:rsidR="004A117C" w:rsidRPr="004A117C" w:rsidRDefault="004A117C" w:rsidP="004A117C">
      <w:pPr>
        <w:spacing w:line="259" w:lineRule="auto"/>
        <w:jc w:val="both"/>
        <w:rPr>
          <w:rFonts w:eastAsiaTheme="minorHAnsi"/>
          <w:b/>
          <w:lang w:eastAsia="en-US"/>
        </w:rPr>
      </w:pPr>
    </w:p>
    <w:p w14:paraId="71ECF92E" w14:textId="77777777" w:rsidR="004A117C" w:rsidRPr="004A117C" w:rsidRDefault="004A117C" w:rsidP="004A117C">
      <w:pPr>
        <w:spacing w:line="259" w:lineRule="auto"/>
        <w:jc w:val="both"/>
        <w:rPr>
          <w:rFonts w:eastAsiaTheme="minorHAnsi"/>
          <w:b/>
          <w:lang w:eastAsia="en-US"/>
        </w:rPr>
      </w:pPr>
    </w:p>
    <w:p w14:paraId="2B2052A6" w14:textId="77777777" w:rsidR="004A117C" w:rsidRPr="004A117C" w:rsidRDefault="004A117C" w:rsidP="004A117C">
      <w:pPr>
        <w:spacing w:line="259" w:lineRule="auto"/>
        <w:jc w:val="both"/>
        <w:rPr>
          <w:rFonts w:eastAsiaTheme="minorHAnsi"/>
          <w:b/>
          <w:lang w:eastAsia="en-US"/>
        </w:rPr>
      </w:pPr>
    </w:p>
    <w:p w14:paraId="120F6461" w14:textId="77777777" w:rsidR="004A117C" w:rsidRPr="004A117C" w:rsidRDefault="004A117C" w:rsidP="004A117C">
      <w:pPr>
        <w:spacing w:line="259" w:lineRule="auto"/>
        <w:jc w:val="both"/>
        <w:rPr>
          <w:rFonts w:eastAsiaTheme="minorHAnsi"/>
          <w:b/>
          <w:lang w:eastAsia="en-US"/>
        </w:rPr>
      </w:pPr>
    </w:p>
    <w:p w14:paraId="738A87F2" w14:textId="77777777" w:rsidR="004A117C" w:rsidRPr="004A117C" w:rsidRDefault="004A117C" w:rsidP="004A117C">
      <w:pPr>
        <w:spacing w:line="259" w:lineRule="auto"/>
        <w:jc w:val="both"/>
        <w:rPr>
          <w:rFonts w:eastAsiaTheme="minorHAnsi"/>
          <w:b/>
          <w:lang w:eastAsia="en-US"/>
        </w:rPr>
      </w:pPr>
    </w:p>
    <w:p w14:paraId="248E3D49" w14:textId="77777777" w:rsidR="004A117C" w:rsidRPr="004A117C" w:rsidRDefault="004A117C" w:rsidP="004A117C">
      <w:pPr>
        <w:spacing w:line="259" w:lineRule="auto"/>
        <w:jc w:val="both"/>
        <w:rPr>
          <w:rFonts w:eastAsiaTheme="minorHAnsi"/>
          <w:b/>
          <w:lang w:eastAsia="en-US"/>
        </w:rPr>
      </w:pPr>
    </w:p>
    <w:p w14:paraId="7FD1E26C" w14:textId="77777777" w:rsidR="004A117C" w:rsidRPr="004A117C" w:rsidRDefault="004A117C" w:rsidP="004A117C">
      <w:pPr>
        <w:spacing w:line="259" w:lineRule="auto"/>
        <w:jc w:val="both"/>
        <w:rPr>
          <w:rFonts w:eastAsiaTheme="minorHAnsi"/>
          <w:b/>
          <w:lang w:eastAsia="en-US"/>
        </w:rPr>
      </w:pPr>
    </w:p>
    <w:p w14:paraId="31E83F53" w14:textId="77777777" w:rsidR="004A117C" w:rsidRPr="004A117C" w:rsidRDefault="004A117C" w:rsidP="004A117C">
      <w:pPr>
        <w:spacing w:line="259" w:lineRule="auto"/>
        <w:jc w:val="both"/>
        <w:rPr>
          <w:rFonts w:eastAsiaTheme="minorHAnsi"/>
          <w:b/>
          <w:lang w:eastAsia="en-US"/>
        </w:rPr>
      </w:pPr>
    </w:p>
    <w:p w14:paraId="35D210D2" w14:textId="77777777" w:rsidR="004A117C" w:rsidRPr="004A117C" w:rsidRDefault="004A117C" w:rsidP="004A117C">
      <w:pPr>
        <w:spacing w:line="259" w:lineRule="auto"/>
        <w:jc w:val="both"/>
        <w:rPr>
          <w:rFonts w:eastAsiaTheme="minorHAnsi"/>
          <w:b/>
          <w:lang w:eastAsia="en-US"/>
        </w:rPr>
      </w:pPr>
    </w:p>
    <w:p w14:paraId="56DC0E92" w14:textId="77777777" w:rsidR="004A117C" w:rsidRPr="004A117C" w:rsidRDefault="004A117C" w:rsidP="004A117C">
      <w:pPr>
        <w:spacing w:line="259" w:lineRule="auto"/>
        <w:jc w:val="both"/>
        <w:rPr>
          <w:rFonts w:eastAsiaTheme="minorHAnsi"/>
          <w:b/>
          <w:lang w:eastAsia="en-US"/>
        </w:rPr>
      </w:pPr>
    </w:p>
    <w:p w14:paraId="5327DF6A" w14:textId="77777777" w:rsidR="004A117C" w:rsidRPr="004A117C" w:rsidRDefault="004A117C" w:rsidP="004A117C">
      <w:pPr>
        <w:spacing w:line="259" w:lineRule="auto"/>
        <w:jc w:val="both"/>
        <w:rPr>
          <w:rFonts w:eastAsiaTheme="minorHAnsi"/>
          <w:b/>
          <w:lang w:eastAsia="en-US"/>
        </w:rPr>
      </w:pPr>
    </w:p>
    <w:p w14:paraId="3BB2C052" w14:textId="77777777" w:rsidR="004A117C" w:rsidRPr="004A117C" w:rsidRDefault="004A117C" w:rsidP="004A117C">
      <w:pPr>
        <w:spacing w:line="259" w:lineRule="auto"/>
        <w:jc w:val="both"/>
        <w:rPr>
          <w:rFonts w:eastAsiaTheme="minorHAnsi"/>
          <w:b/>
          <w:lang w:eastAsia="en-US"/>
        </w:rPr>
      </w:pPr>
    </w:p>
    <w:p w14:paraId="5388E952" w14:textId="77777777" w:rsidR="004A117C" w:rsidRPr="004A117C" w:rsidRDefault="004A117C" w:rsidP="004A117C">
      <w:pPr>
        <w:spacing w:line="259" w:lineRule="auto"/>
        <w:jc w:val="both"/>
        <w:rPr>
          <w:rFonts w:eastAsiaTheme="minorHAnsi"/>
          <w:b/>
          <w:lang w:eastAsia="en-US"/>
        </w:rPr>
      </w:pPr>
    </w:p>
    <w:p w14:paraId="466BDF55" w14:textId="77777777" w:rsidR="004A117C" w:rsidRPr="004A117C" w:rsidRDefault="004A117C" w:rsidP="004A117C">
      <w:pPr>
        <w:spacing w:line="259" w:lineRule="auto"/>
        <w:jc w:val="both"/>
        <w:rPr>
          <w:rFonts w:eastAsiaTheme="minorHAnsi"/>
          <w:b/>
          <w:lang w:eastAsia="en-US"/>
        </w:rPr>
      </w:pPr>
    </w:p>
    <w:p w14:paraId="336392FA" w14:textId="77777777" w:rsidR="004A117C" w:rsidRPr="004A117C" w:rsidRDefault="004A117C" w:rsidP="004A117C">
      <w:pPr>
        <w:spacing w:line="259" w:lineRule="auto"/>
        <w:jc w:val="both"/>
        <w:rPr>
          <w:rFonts w:eastAsiaTheme="minorHAnsi"/>
          <w:b/>
          <w:lang w:eastAsia="en-US"/>
        </w:rPr>
      </w:pPr>
    </w:p>
    <w:p w14:paraId="0E0A4529" w14:textId="77777777" w:rsidR="004A117C" w:rsidRPr="004A117C" w:rsidRDefault="004A117C" w:rsidP="004A117C">
      <w:pPr>
        <w:spacing w:line="259" w:lineRule="auto"/>
        <w:jc w:val="both"/>
        <w:rPr>
          <w:rFonts w:eastAsiaTheme="minorHAnsi"/>
          <w:b/>
          <w:lang w:eastAsia="en-US"/>
        </w:rPr>
      </w:pPr>
    </w:p>
    <w:p w14:paraId="3B0BDC2F" w14:textId="77777777" w:rsidR="004A117C" w:rsidRPr="004A117C" w:rsidRDefault="004A117C" w:rsidP="004A117C">
      <w:pPr>
        <w:spacing w:line="259" w:lineRule="auto"/>
        <w:jc w:val="both"/>
        <w:rPr>
          <w:rFonts w:eastAsiaTheme="minorHAnsi"/>
          <w:b/>
          <w:lang w:eastAsia="en-US"/>
        </w:rPr>
      </w:pPr>
    </w:p>
    <w:p w14:paraId="510AC9F2" w14:textId="77777777" w:rsidR="004A117C" w:rsidRPr="004A117C" w:rsidRDefault="004A117C" w:rsidP="004A117C">
      <w:pPr>
        <w:spacing w:line="259" w:lineRule="auto"/>
        <w:jc w:val="both"/>
        <w:rPr>
          <w:rFonts w:eastAsiaTheme="minorHAnsi"/>
          <w:b/>
          <w:lang w:eastAsia="en-US"/>
        </w:rPr>
      </w:pPr>
    </w:p>
    <w:p w14:paraId="25F21EB5" w14:textId="77777777" w:rsidR="004A117C" w:rsidRPr="004A117C" w:rsidRDefault="004A117C" w:rsidP="004A117C">
      <w:pPr>
        <w:spacing w:line="259" w:lineRule="auto"/>
        <w:jc w:val="both"/>
        <w:rPr>
          <w:rFonts w:eastAsiaTheme="minorHAnsi"/>
          <w:b/>
          <w:lang w:eastAsia="en-US"/>
        </w:rPr>
      </w:pPr>
    </w:p>
    <w:p w14:paraId="5490DEC5" w14:textId="77777777" w:rsidR="004A117C" w:rsidRPr="004A117C" w:rsidRDefault="004A117C" w:rsidP="004A117C">
      <w:pPr>
        <w:spacing w:line="259" w:lineRule="auto"/>
        <w:jc w:val="both"/>
        <w:rPr>
          <w:rFonts w:eastAsiaTheme="minorHAnsi"/>
          <w:b/>
          <w:lang w:eastAsia="en-US"/>
        </w:rPr>
      </w:pPr>
    </w:p>
    <w:p w14:paraId="54BEFD50" w14:textId="77777777" w:rsidR="004A117C" w:rsidRPr="004A117C" w:rsidRDefault="004A117C" w:rsidP="004A117C">
      <w:pPr>
        <w:spacing w:line="259" w:lineRule="auto"/>
        <w:jc w:val="both"/>
        <w:rPr>
          <w:rFonts w:eastAsiaTheme="minorHAnsi"/>
          <w:b/>
          <w:lang w:eastAsia="en-US"/>
        </w:rPr>
      </w:pPr>
    </w:p>
    <w:p w14:paraId="3E08C66C" w14:textId="77777777" w:rsidR="004A117C" w:rsidRPr="004A117C" w:rsidRDefault="004A117C" w:rsidP="004A117C">
      <w:pPr>
        <w:spacing w:line="259" w:lineRule="auto"/>
        <w:jc w:val="both"/>
        <w:rPr>
          <w:rFonts w:eastAsiaTheme="minorHAnsi"/>
          <w:b/>
          <w:lang w:eastAsia="en-US"/>
        </w:rPr>
      </w:pPr>
    </w:p>
    <w:p w14:paraId="71B0E756" w14:textId="77777777" w:rsidR="004A117C" w:rsidRPr="004A117C" w:rsidRDefault="004A117C" w:rsidP="004A117C">
      <w:pPr>
        <w:spacing w:line="259" w:lineRule="auto"/>
        <w:jc w:val="both"/>
        <w:rPr>
          <w:rFonts w:eastAsiaTheme="minorHAnsi"/>
          <w:b/>
          <w:lang w:eastAsia="en-US"/>
        </w:rPr>
      </w:pPr>
    </w:p>
    <w:p w14:paraId="2AA7C0BC" w14:textId="77777777" w:rsidR="004A117C" w:rsidRPr="004A117C" w:rsidRDefault="004A117C" w:rsidP="004A117C">
      <w:pPr>
        <w:spacing w:line="259" w:lineRule="auto"/>
        <w:jc w:val="both"/>
        <w:rPr>
          <w:rFonts w:eastAsiaTheme="minorHAnsi"/>
          <w:b/>
          <w:lang w:eastAsia="en-US"/>
        </w:rPr>
      </w:pPr>
    </w:p>
    <w:p w14:paraId="3976DE17" w14:textId="77777777" w:rsidR="004A117C" w:rsidRPr="004A117C" w:rsidRDefault="004A117C" w:rsidP="004A117C">
      <w:pPr>
        <w:spacing w:line="259" w:lineRule="auto"/>
        <w:jc w:val="both"/>
        <w:rPr>
          <w:rFonts w:eastAsiaTheme="minorHAnsi"/>
          <w:b/>
          <w:lang w:eastAsia="en-US"/>
        </w:rPr>
      </w:pPr>
      <w:r w:rsidRPr="004A117C">
        <w:rPr>
          <w:rFonts w:eastAsiaTheme="minorHAnsi"/>
          <w:b/>
          <w:lang w:eastAsia="en-US"/>
        </w:rPr>
        <w:lastRenderedPageBreak/>
        <w:t>Čl. V - účinnosť</w:t>
      </w:r>
    </w:p>
    <w:p w14:paraId="2032F1D2" w14:textId="77777777" w:rsidR="004A117C" w:rsidRPr="004A117C" w:rsidRDefault="004A117C" w:rsidP="004A117C">
      <w:pPr>
        <w:spacing w:line="259" w:lineRule="auto"/>
        <w:jc w:val="both"/>
        <w:rPr>
          <w:rFonts w:eastAsiaTheme="minorHAnsi"/>
          <w:b/>
          <w:lang w:eastAsia="en-US"/>
        </w:rPr>
      </w:pPr>
    </w:p>
    <w:p w14:paraId="5D73DA7B" w14:textId="77777777" w:rsidR="004A117C" w:rsidRPr="004A117C" w:rsidRDefault="004A117C" w:rsidP="004A117C">
      <w:pPr>
        <w:spacing w:line="259" w:lineRule="auto"/>
        <w:jc w:val="both"/>
        <w:rPr>
          <w:rFonts w:eastAsiaTheme="minorHAnsi"/>
          <w:lang w:eastAsia="en-US"/>
        </w:rPr>
      </w:pPr>
      <w:r w:rsidRPr="004A117C">
        <w:rPr>
          <w:rFonts w:eastAsiaTheme="minorHAnsi"/>
          <w:lang w:eastAsia="en-US"/>
        </w:rPr>
        <w:t>Účinnosť sa navrhuje dňom vyhlásenia z dôvodu odstránenia nedostatkov z aplikačnej praxe a taktiež s dostatočne dlhou legisvakančnou lehotou v súlade s požiadavkami smernice, delegovaných smerníc a v súlade s nariadením 2021/23 a to od 1 augusta 2022, 12. augusta 2022, 22. novembra 2022 a 1. januára 2023.</w:t>
      </w:r>
    </w:p>
    <w:p w14:paraId="2412D62C" w14:textId="77777777" w:rsidR="00397A92" w:rsidRDefault="00397A92">
      <w:pPr>
        <w:jc w:val="both"/>
      </w:pPr>
    </w:p>
    <w:p w14:paraId="765D6353" w14:textId="77777777" w:rsidR="004A117C" w:rsidRDefault="004A117C">
      <w:pPr>
        <w:jc w:val="both"/>
      </w:pPr>
    </w:p>
    <w:p w14:paraId="7B0FC604" w14:textId="3FFBDD58" w:rsidR="004A117C" w:rsidRDefault="004A117C" w:rsidP="004A117C">
      <w:pPr>
        <w:jc w:val="both"/>
      </w:pPr>
      <w:r>
        <w:t xml:space="preserve">Schválené vládou Slovenskej republiky dňa </w:t>
      </w:r>
      <w:r w:rsidRPr="00D86066">
        <w:t>16. februára 2022.</w:t>
      </w:r>
    </w:p>
    <w:p w14:paraId="272C7D18" w14:textId="77777777" w:rsidR="004A117C" w:rsidRDefault="004A117C" w:rsidP="004A117C">
      <w:pPr>
        <w:jc w:val="both"/>
      </w:pPr>
    </w:p>
    <w:p w14:paraId="70C7D303" w14:textId="77777777" w:rsidR="004A117C" w:rsidRDefault="004A117C" w:rsidP="004A117C">
      <w:pPr>
        <w:jc w:val="both"/>
      </w:pPr>
    </w:p>
    <w:p w14:paraId="3CF71D5D" w14:textId="77777777" w:rsidR="004A117C" w:rsidRDefault="004A117C" w:rsidP="004A117C">
      <w:pPr>
        <w:jc w:val="both"/>
      </w:pPr>
    </w:p>
    <w:p w14:paraId="6F2E5B9D" w14:textId="77777777" w:rsidR="004A117C" w:rsidRDefault="004A117C" w:rsidP="004A117C">
      <w:pPr>
        <w:jc w:val="center"/>
      </w:pPr>
    </w:p>
    <w:p w14:paraId="607D8647" w14:textId="77777777" w:rsidR="004A117C" w:rsidRDefault="004A117C" w:rsidP="004A117C">
      <w:pPr>
        <w:jc w:val="center"/>
      </w:pPr>
    </w:p>
    <w:p w14:paraId="4A952F87" w14:textId="77777777" w:rsidR="004A117C" w:rsidRDefault="004A117C" w:rsidP="004A117C">
      <w:pPr>
        <w:jc w:val="center"/>
      </w:pPr>
    </w:p>
    <w:p w14:paraId="584D30CC" w14:textId="77777777" w:rsidR="004A117C" w:rsidRDefault="004A117C" w:rsidP="004A117C">
      <w:pPr>
        <w:jc w:val="center"/>
      </w:pPr>
    </w:p>
    <w:p w14:paraId="2455EB63" w14:textId="77777777" w:rsidR="004A117C" w:rsidRDefault="004A117C" w:rsidP="004A117C">
      <w:pPr>
        <w:jc w:val="center"/>
      </w:pPr>
      <w:bookmarkStart w:id="3" w:name="_GoBack"/>
      <w:bookmarkEnd w:id="3"/>
    </w:p>
    <w:p w14:paraId="33A6CCE2" w14:textId="77777777" w:rsidR="004A117C" w:rsidRDefault="004A117C" w:rsidP="004A117C">
      <w:pPr>
        <w:jc w:val="center"/>
        <w:rPr>
          <w:b/>
        </w:rPr>
      </w:pPr>
      <w:r w:rsidRPr="004A117C">
        <w:rPr>
          <w:b/>
        </w:rPr>
        <w:t xml:space="preserve">Eduard  H e g e r   v. r. </w:t>
      </w:r>
    </w:p>
    <w:p w14:paraId="5696DB24" w14:textId="210ECFE6" w:rsidR="004A117C" w:rsidRDefault="004A117C" w:rsidP="004A117C">
      <w:pPr>
        <w:jc w:val="center"/>
      </w:pPr>
      <w:r>
        <w:t>predseda vlády Slovenskej republiky</w:t>
      </w:r>
    </w:p>
    <w:p w14:paraId="7461E91D" w14:textId="77777777" w:rsidR="004A117C" w:rsidRDefault="004A117C" w:rsidP="004A117C">
      <w:pPr>
        <w:jc w:val="center"/>
      </w:pPr>
    </w:p>
    <w:p w14:paraId="6B38F318" w14:textId="77777777" w:rsidR="004A117C" w:rsidRDefault="004A117C" w:rsidP="004A117C">
      <w:pPr>
        <w:jc w:val="center"/>
      </w:pPr>
    </w:p>
    <w:p w14:paraId="02D2DFC6" w14:textId="77777777" w:rsidR="004A117C" w:rsidRDefault="004A117C" w:rsidP="004A117C">
      <w:pPr>
        <w:jc w:val="center"/>
      </w:pPr>
    </w:p>
    <w:p w14:paraId="6EDF72BD" w14:textId="77777777" w:rsidR="004A117C" w:rsidRDefault="004A117C" w:rsidP="004A117C">
      <w:pPr>
        <w:jc w:val="center"/>
      </w:pPr>
    </w:p>
    <w:p w14:paraId="0D41A544" w14:textId="77777777" w:rsidR="004A117C" w:rsidRDefault="004A117C" w:rsidP="004A117C">
      <w:pPr>
        <w:jc w:val="center"/>
      </w:pPr>
    </w:p>
    <w:p w14:paraId="2A6DDBC6" w14:textId="77777777" w:rsidR="004A117C" w:rsidRDefault="004A117C" w:rsidP="004A117C">
      <w:pPr>
        <w:jc w:val="center"/>
      </w:pPr>
    </w:p>
    <w:p w14:paraId="53950C00" w14:textId="77777777" w:rsidR="004A117C" w:rsidRDefault="004A117C" w:rsidP="004A117C">
      <w:pPr>
        <w:jc w:val="center"/>
      </w:pPr>
    </w:p>
    <w:p w14:paraId="1B318E07" w14:textId="504A5D35" w:rsidR="004A117C" w:rsidRDefault="004A117C" w:rsidP="004A117C">
      <w:pPr>
        <w:jc w:val="center"/>
        <w:rPr>
          <w:b/>
        </w:rPr>
      </w:pPr>
      <w:r>
        <w:rPr>
          <w:b/>
        </w:rPr>
        <w:t>Igor  M a t o v i č   v. r.</w:t>
      </w:r>
    </w:p>
    <w:p w14:paraId="7803E757" w14:textId="77777777" w:rsidR="004A117C" w:rsidRDefault="004A117C" w:rsidP="004A117C">
      <w:pPr>
        <w:jc w:val="center"/>
      </w:pPr>
      <w:r>
        <w:t>podpredseda vlády a minister financií Slovenskej republiky</w:t>
      </w:r>
    </w:p>
    <w:p w14:paraId="48CEE3B9" w14:textId="77777777" w:rsidR="004A117C" w:rsidRDefault="004A117C" w:rsidP="004A117C">
      <w:pPr>
        <w:jc w:val="center"/>
      </w:pPr>
    </w:p>
    <w:p w14:paraId="77B84EDA" w14:textId="77777777" w:rsidR="004A117C" w:rsidRPr="006E09C2" w:rsidRDefault="004A117C">
      <w:pPr>
        <w:jc w:val="both"/>
      </w:pPr>
    </w:p>
    <w:sectPr w:rsidR="004A117C" w:rsidRPr="006E09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CB666" w14:textId="77777777" w:rsidR="00081867" w:rsidRDefault="00081867" w:rsidP="004A117C">
      <w:r>
        <w:separator/>
      </w:r>
    </w:p>
  </w:endnote>
  <w:endnote w:type="continuationSeparator" w:id="0">
    <w:p w14:paraId="7E8445C7" w14:textId="77777777" w:rsidR="00081867" w:rsidRDefault="00081867" w:rsidP="004A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altName w:val="Century Gothic"/>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035099"/>
      <w:docPartObj>
        <w:docPartGallery w:val="Page Numbers (Bottom of Page)"/>
        <w:docPartUnique/>
      </w:docPartObj>
    </w:sdtPr>
    <w:sdtEndPr>
      <w:rPr>
        <w:rFonts w:ascii="Times New Roman" w:hAnsi="Times New Roman" w:cs="Times New Roman"/>
        <w:sz w:val="24"/>
        <w:szCs w:val="24"/>
      </w:rPr>
    </w:sdtEndPr>
    <w:sdtContent>
      <w:p w14:paraId="403C5F9D" w14:textId="77777777" w:rsidR="00A97020" w:rsidRPr="006045CB" w:rsidRDefault="004D5FBF"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D86066">
          <w:rPr>
            <w:rFonts w:ascii="Times New Roman" w:hAnsi="Times New Roman" w:cs="Times New Roman"/>
            <w:noProof/>
            <w:sz w:val="24"/>
            <w:szCs w:val="24"/>
          </w:rPr>
          <w:t>41</w:t>
        </w:r>
        <w:r w:rsidRPr="006045CB">
          <w:rPr>
            <w:rFonts w:ascii="Times New Roman" w:hAnsi="Times New Roman" w:cs="Times New Roman"/>
            <w:sz w:val="24"/>
            <w:szCs w:val="24"/>
          </w:rPr>
          <w:fldChar w:fldCharType="end"/>
        </w:r>
      </w:p>
    </w:sdtContent>
  </w:sdt>
  <w:p w14:paraId="672CE047" w14:textId="77777777" w:rsidR="00A97020" w:rsidRPr="00FF7125" w:rsidRDefault="00081867" w:rsidP="00054C41">
    <w:pPr>
      <w:pStyle w:val="Pta"/>
      <w:rPr>
        <w:sz w:val="24"/>
        <w:szCs w:val="24"/>
      </w:rPr>
    </w:pPr>
  </w:p>
  <w:p w14:paraId="3FA4E041" w14:textId="77777777" w:rsidR="00A97020" w:rsidRDefault="0008186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8ED9F" w14:textId="77777777" w:rsidR="00081867" w:rsidRDefault="00081867" w:rsidP="004A117C">
      <w:r>
        <w:separator/>
      </w:r>
    </w:p>
  </w:footnote>
  <w:footnote w:type="continuationSeparator" w:id="0">
    <w:p w14:paraId="4D130EC2" w14:textId="77777777" w:rsidR="00081867" w:rsidRDefault="00081867" w:rsidP="004A1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0CC636CC"/>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9F4BFA"/>
    <w:multiLevelType w:val="hybridMultilevel"/>
    <w:tmpl w:val="129EBEBC"/>
    <w:lvl w:ilvl="0" w:tplc="854E6A9C">
      <w:start w:val="1"/>
      <w:numFmt w:val="bullet"/>
      <w:lvlText w:val="-"/>
      <w:lvlJc w:val="left"/>
      <w:pPr>
        <w:ind w:left="1080" w:hanging="360"/>
      </w:pPr>
      <w:rPr>
        <w:rFonts w:ascii="Times New Roman" w:eastAsia="Times New Roman" w:hAnsi="Times New Roman" w:hint="default"/>
        <w:sz w:val="24"/>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280BFB"/>
    <w:multiLevelType w:val="hybridMultilevel"/>
    <w:tmpl w:val="F9B2B7E2"/>
    <w:lvl w:ilvl="0" w:tplc="DC46EF60">
      <w:start w:val="1"/>
      <w:numFmt w:val="decimal"/>
      <w:lvlText w:val="%1."/>
      <w:lvlJc w:val="left"/>
      <w:pPr>
        <w:ind w:left="1137" w:hanging="57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3B515B8A"/>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2"/>
  </w:num>
  <w:num w:numId="2">
    <w:abstractNumId w:val="3"/>
  </w:num>
  <w:num w:numId="3">
    <w:abstractNumId w:val="10"/>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4"/>
  </w:num>
  <w:num w:numId="9">
    <w:abstractNumId w:val="0"/>
  </w:num>
  <w:num w:numId="10">
    <w:abstractNumId w:val="7"/>
  </w:num>
  <w:num w:numId="11">
    <w:abstractNumId w:val="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02"/>
    <w:rsid w:val="00062FC1"/>
    <w:rsid w:val="00063EB4"/>
    <w:rsid w:val="00081867"/>
    <w:rsid w:val="00081D66"/>
    <w:rsid w:val="0009646E"/>
    <w:rsid w:val="00140B57"/>
    <w:rsid w:val="002157D7"/>
    <w:rsid w:val="002B51DD"/>
    <w:rsid w:val="00397A92"/>
    <w:rsid w:val="004A117C"/>
    <w:rsid w:val="004D5FBF"/>
    <w:rsid w:val="004F0BCB"/>
    <w:rsid w:val="005F13E3"/>
    <w:rsid w:val="006128AE"/>
    <w:rsid w:val="00650FF2"/>
    <w:rsid w:val="00674D02"/>
    <w:rsid w:val="006E09C2"/>
    <w:rsid w:val="007435A7"/>
    <w:rsid w:val="00844ADD"/>
    <w:rsid w:val="008965ED"/>
    <w:rsid w:val="00A46F6A"/>
    <w:rsid w:val="00D84CF6"/>
    <w:rsid w:val="00D86066"/>
    <w:rsid w:val="00DB01B1"/>
    <w:rsid w:val="00E0201F"/>
    <w:rsid w:val="00F711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5C1E"/>
  <w15:chartTrackingRefBased/>
  <w15:docId w15:val="{A840F6BF-5F38-41BE-8A45-CAA4B4B2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117C"/>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09646E"/>
    <w:rPr>
      <w:sz w:val="16"/>
      <w:szCs w:val="16"/>
    </w:rPr>
  </w:style>
  <w:style w:type="paragraph" w:styleId="Textkomentra">
    <w:name w:val="annotation text"/>
    <w:basedOn w:val="Normlny"/>
    <w:link w:val="TextkomentraChar"/>
    <w:uiPriority w:val="99"/>
    <w:semiHidden/>
    <w:unhideWhenUsed/>
    <w:rsid w:val="0009646E"/>
    <w:rPr>
      <w:sz w:val="20"/>
      <w:szCs w:val="20"/>
    </w:rPr>
  </w:style>
  <w:style w:type="character" w:customStyle="1" w:styleId="TextkomentraChar">
    <w:name w:val="Text komentára Char"/>
    <w:basedOn w:val="Predvolenpsmoodseku"/>
    <w:link w:val="Textkomentra"/>
    <w:uiPriority w:val="99"/>
    <w:semiHidden/>
    <w:rsid w:val="0009646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09646E"/>
    <w:rPr>
      <w:b/>
      <w:bCs/>
    </w:rPr>
  </w:style>
  <w:style w:type="character" w:customStyle="1" w:styleId="PredmetkomentraChar">
    <w:name w:val="Predmet komentára Char"/>
    <w:basedOn w:val="TextkomentraChar"/>
    <w:link w:val="Predmetkomentra"/>
    <w:uiPriority w:val="99"/>
    <w:semiHidden/>
    <w:rsid w:val="0009646E"/>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09646E"/>
    <w:rPr>
      <w:rFonts w:ascii="Segoe UI" w:hAnsi="Segoe UI" w:cs="Segoe UI"/>
      <w:sz w:val="18"/>
      <w:szCs w:val="18"/>
    </w:rPr>
  </w:style>
  <w:style w:type="character" w:customStyle="1" w:styleId="TextbublinyChar">
    <w:name w:val="Text bubliny Char"/>
    <w:basedOn w:val="Predvolenpsmoodseku"/>
    <w:link w:val="Textbubliny"/>
    <w:uiPriority w:val="99"/>
    <w:semiHidden/>
    <w:rsid w:val="0009646E"/>
    <w:rPr>
      <w:rFonts w:ascii="Segoe UI" w:eastAsia="Times New Roman" w:hAnsi="Segoe UI" w:cs="Segoe UI"/>
      <w:sz w:val="18"/>
      <w:szCs w:val="18"/>
      <w:lang w:eastAsia="cs-CZ"/>
    </w:rPr>
  </w:style>
  <w:style w:type="table" w:customStyle="1" w:styleId="Mriekatabuky1">
    <w:name w:val="Mriežka tabuľky1"/>
    <w:basedOn w:val="Normlnatabuka"/>
    <w:next w:val="Mriekatabuky"/>
    <w:uiPriority w:val="59"/>
    <w:rsid w:val="004A1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4A1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4A117C"/>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4A117C"/>
  </w:style>
  <w:style w:type="paragraph" w:styleId="Normlnywebov">
    <w:name w:val="Normal (Web)"/>
    <w:basedOn w:val="Normlny"/>
    <w:uiPriority w:val="99"/>
    <w:unhideWhenUsed/>
    <w:rsid w:val="004A117C"/>
    <w:rPr>
      <w:lang w:eastAsia="sk-SK"/>
    </w:rPr>
  </w:style>
  <w:style w:type="paragraph" w:styleId="Pta">
    <w:name w:val="footer"/>
    <w:basedOn w:val="Normlny"/>
    <w:link w:val="PtaChar"/>
    <w:uiPriority w:val="99"/>
    <w:unhideWhenUsed/>
    <w:rsid w:val="004A117C"/>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4A117C"/>
  </w:style>
  <w:style w:type="paragraph" w:styleId="Odsekzoznamu">
    <w:name w:val="List Paragraph"/>
    <w:aliases w:val="Odstavec cíl se seznamem,Odstavec se seznamem1"/>
    <w:basedOn w:val="Normlny"/>
    <w:link w:val="OdsekzoznamuChar"/>
    <w:uiPriority w:val="34"/>
    <w:qFormat/>
    <w:rsid w:val="004A117C"/>
    <w:pPr>
      <w:spacing w:after="160" w:line="259" w:lineRule="auto"/>
      <w:ind w:left="720"/>
      <w:contextualSpacing/>
    </w:pPr>
    <w:rPr>
      <w:rFonts w:asciiTheme="minorHAnsi" w:eastAsiaTheme="minorHAnsi" w:hAnsiTheme="minorHAnsi" w:cstheme="minorBidi"/>
      <w:sz w:val="22"/>
      <w:szCs w:val="22"/>
      <w:lang w:eastAsia="en-US"/>
    </w:rPr>
  </w:style>
  <w:style w:type="character" w:styleId="Hypertextovprepojenie">
    <w:name w:val="Hyperlink"/>
    <w:basedOn w:val="Predvolenpsmoodseku"/>
    <w:uiPriority w:val="99"/>
    <w:semiHidden/>
    <w:unhideWhenUsed/>
    <w:rsid w:val="004A117C"/>
    <w:rPr>
      <w:color w:val="0000FF"/>
      <w:u w:val="single"/>
    </w:rPr>
  </w:style>
  <w:style w:type="paragraph" w:customStyle="1" w:styleId="c08dispositif">
    <w:name w:val="c08dispositif"/>
    <w:basedOn w:val="Normlny"/>
    <w:rsid w:val="004A117C"/>
    <w:pPr>
      <w:spacing w:before="100" w:beforeAutospacing="1" w:after="100" w:afterAutospacing="1"/>
    </w:pPr>
    <w:rPr>
      <w:lang w:eastAsia="sk-SK"/>
    </w:rPr>
  </w:style>
  <w:style w:type="character" w:customStyle="1" w:styleId="OdsekzoznamuChar">
    <w:name w:val="Odsek zoznamu Char"/>
    <w:aliases w:val="Odstavec cíl se seznamem Char,Odstavec se seznamem1 Char"/>
    <w:basedOn w:val="Predvolenpsmoodseku"/>
    <w:link w:val="Odsekzoznamu"/>
    <w:uiPriority w:val="34"/>
    <w:locked/>
    <w:rsid w:val="004A117C"/>
  </w:style>
  <w:style w:type="character" w:styleId="Zvraznenie">
    <w:name w:val="Emphasis"/>
    <w:basedOn w:val="Predvolenpsmoodseku"/>
    <w:uiPriority w:val="20"/>
    <w:qFormat/>
    <w:rsid w:val="004A117C"/>
    <w:rPr>
      <w:rFonts w:cs="Times New Roman"/>
      <w:i/>
      <w:iCs/>
    </w:rPr>
  </w:style>
  <w:style w:type="paragraph" w:customStyle="1" w:styleId="Default">
    <w:name w:val="Default"/>
    <w:rsid w:val="004A117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hsr.sk/podnikatelske-prostredie/lepsia-regulacia/regulacne-zatazenie/kalkulacka-nakladov-regulac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ur-lex.europa.eu/LexUriServ/LexUriServ.do?uri=OJ:L:2013:083:0001:01:SK:HTML" TargetMode="External"/><Relationship Id="rId4" Type="http://schemas.openxmlformats.org/officeDocument/2006/relationships/webSettings" Target="webSettings.xml"/><Relationship Id="rId9" Type="http://schemas.openxmlformats.org/officeDocument/2006/relationships/hyperlink" Target="https://www.slov-lex.sk/pravne-predpisy/SK/ZZ/2004/65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15036</Words>
  <Characters>85707</Characters>
  <Application>Microsoft Office Word</Application>
  <DocSecurity>0</DocSecurity>
  <Lines>714</Lines>
  <Paragraphs>201</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100542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Kassovic Jan</dc:creator>
  <cp:keywords/>
  <dc:description/>
  <cp:lastModifiedBy>Precuchova Georgina</cp:lastModifiedBy>
  <cp:revision>4</cp:revision>
  <dcterms:created xsi:type="dcterms:W3CDTF">2022-02-16T08:07:00Z</dcterms:created>
  <dcterms:modified xsi:type="dcterms:W3CDTF">2022-02-22T06:34:00Z</dcterms:modified>
</cp:coreProperties>
</file>