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04E" w:rsidRPr="006259CE" w:rsidRDefault="00BE2399" w:rsidP="002B4561">
      <w:pPr>
        <w:spacing w:line="276" w:lineRule="auto"/>
        <w:jc w:val="both"/>
        <w:rPr>
          <w:rFonts w:ascii="Times New Roman" w:hAnsi="Times New Roman" w:cs="Times New Roman"/>
          <w:b/>
          <w:bCs/>
          <w:caps/>
          <w:spacing w:val="30"/>
        </w:rPr>
      </w:pPr>
      <w:r w:rsidRPr="006259CE">
        <w:rPr>
          <w:rFonts w:ascii="Times New Roman" w:hAnsi="Times New Roman" w:cs="Times New Roman"/>
          <w:b/>
          <w:bCs/>
          <w:caps/>
          <w:spacing w:val="30"/>
        </w:rPr>
        <w:t>Dôvodová správa</w:t>
      </w:r>
    </w:p>
    <w:p w:rsidR="00BE2399" w:rsidRPr="006259CE" w:rsidRDefault="00BE2399" w:rsidP="002B4561">
      <w:pPr>
        <w:spacing w:line="276" w:lineRule="auto"/>
        <w:jc w:val="both"/>
        <w:rPr>
          <w:rFonts w:ascii="Times New Roman" w:hAnsi="Times New Roman" w:cs="Times New Roman"/>
        </w:rPr>
      </w:pPr>
    </w:p>
    <w:p w:rsidR="00BE2399" w:rsidRPr="006259CE" w:rsidRDefault="00BE2399" w:rsidP="002B4561">
      <w:pPr>
        <w:spacing w:line="276" w:lineRule="auto"/>
        <w:jc w:val="both"/>
        <w:rPr>
          <w:rFonts w:ascii="Times New Roman" w:hAnsi="Times New Roman" w:cs="Times New Roman"/>
          <w:b/>
          <w:bCs/>
        </w:rPr>
      </w:pPr>
      <w:r w:rsidRPr="006259CE">
        <w:rPr>
          <w:rFonts w:ascii="Times New Roman" w:hAnsi="Times New Roman" w:cs="Times New Roman"/>
          <w:b/>
          <w:bCs/>
        </w:rPr>
        <w:t>Všeobecná časť</w:t>
      </w:r>
    </w:p>
    <w:p w:rsidR="00BE2399" w:rsidRPr="006259CE" w:rsidRDefault="00BE2399" w:rsidP="002B4561">
      <w:pPr>
        <w:spacing w:line="276" w:lineRule="auto"/>
        <w:jc w:val="both"/>
        <w:rPr>
          <w:rFonts w:ascii="Times New Roman" w:hAnsi="Times New Roman" w:cs="Times New Roman"/>
          <w:color w:val="000000" w:themeColor="text1"/>
        </w:rPr>
      </w:pPr>
    </w:p>
    <w:p w:rsidR="00145931" w:rsidRPr="006259CE" w:rsidRDefault="00145931" w:rsidP="002B4561">
      <w:pPr>
        <w:spacing w:line="276" w:lineRule="auto"/>
        <w:ind w:firstLine="708"/>
        <w:jc w:val="both"/>
        <w:rPr>
          <w:rFonts w:ascii="Times New Roman" w:hAnsi="Times New Roman" w:cs="Times New Roman"/>
          <w:color w:val="000000" w:themeColor="text1"/>
        </w:rPr>
      </w:pPr>
      <w:r w:rsidRPr="006259CE">
        <w:rPr>
          <w:rFonts w:ascii="Times New Roman" w:hAnsi="Times New Roman" w:cs="Times New Roman"/>
          <w:color w:val="000000" w:themeColor="text1"/>
        </w:rPr>
        <w:t>N</w:t>
      </w:r>
      <w:r w:rsidR="00EF0811" w:rsidRPr="006259CE">
        <w:rPr>
          <w:rFonts w:ascii="Times New Roman" w:hAnsi="Times New Roman" w:cs="Times New Roman"/>
          <w:color w:val="000000" w:themeColor="text1"/>
        </w:rPr>
        <w:t xml:space="preserve">ávrh zákona, ktorým sa mení a dopĺňa zákon č. </w:t>
      </w:r>
      <w:r w:rsidR="00F1404E" w:rsidRPr="006259CE">
        <w:rPr>
          <w:rFonts w:ascii="Times New Roman" w:eastAsia="Times New Roman" w:hAnsi="Times New Roman" w:cs="Times New Roman"/>
          <w:lang w:eastAsia="sk-SK"/>
        </w:rPr>
        <w:t xml:space="preserve">Zákon č. 448/2008 Z. z. o sociálnych službách </w:t>
      </w:r>
      <w:r w:rsidR="00F1404E" w:rsidRPr="006259CE">
        <w:rPr>
          <w:rStyle w:val="h1a"/>
          <w:rFonts w:ascii="Times New Roman" w:hAnsi="Times New Roman" w:cs="Times New Roman"/>
        </w:rPr>
        <w:t>a o zmene a doplnení zákona č</w:t>
      </w:r>
      <w:bookmarkStart w:id="0" w:name="_GoBack"/>
      <w:bookmarkEnd w:id="0"/>
      <w:r w:rsidR="00F1404E" w:rsidRPr="006259CE">
        <w:rPr>
          <w:rStyle w:val="h1a"/>
          <w:rFonts w:ascii="Times New Roman" w:hAnsi="Times New Roman" w:cs="Times New Roman"/>
        </w:rPr>
        <w:t xml:space="preserve">. 455/1991 Zb. o živnostenskom podnikaní (živnostenský zákon) </w:t>
      </w:r>
      <w:r w:rsidRPr="006259CE">
        <w:rPr>
          <w:rFonts w:ascii="Times New Roman" w:hAnsi="Times New Roman" w:cs="Times New Roman"/>
          <w:color w:val="000000" w:themeColor="text1"/>
        </w:rPr>
        <w:t xml:space="preserve">sa predkladá ako návrh skupiny poslancov NRSR. </w:t>
      </w:r>
    </w:p>
    <w:p w:rsidR="00145931" w:rsidRPr="006259CE" w:rsidRDefault="00145931" w:rsidP="002B4561">
      <w:pPr>
        <w:spacing w:line="276" w:lineRule="auto"/>
        <w:ind w:firstLine="708"/>
        <w:jc w:val="both"/>
        <w:rPr>
          <w:rFonts w:ascii="Times New Roman" w:hAnsi="Times New Roman" w:cs="Times New Roman"/>
          <w:color w:val="000000" w:themeColor="text1"/>
        </w:rPr>
      </w:pPr>
    </w:p>
    <w:p w:rsidR="00F1404E" w:rsidRPr="006259CE" w:rsidRDefault="00145931" w:rsidP="002B4561">
      <w:pPr>
        <w:spacing w:after="160" w:line="259" w:lineRule="auto"/>
        <w:ind w:firstLine="708"/>
        <w:jc w:val="both"/>
        <w:rPr>
          <w:rFonts w:ascii="Times New Roman" w:hAnsi="Times New Roman" w:cs="Times New Roman"/>
        </w:rPr>
      </w:pPr>
      <w:r w:rsidRPr="006259CE">
        <w:rPr>
          <w:rFonts w:ascii="Times New Roman" w:hAnsi="Times New Roman" w:cs="Times New Roman"/>
          <w:color w:val="000000" w:themeColor="text1"/>
        </w:rPr>
        <w:t xml:space="preserve">V Čl. I. sa navrhuje </w:t>
      </w:r>
      <w:r w:rsidR="00F1404E" w:rsidRPr="006259CE">
        <w:rPr>
          <w:rFonts w:ascii="Times New Roman" w:hAnsi="Times New Roman" w:cs="Times New Roman"/>
          <w:color w:val="000000" w:themeColor="text1"/>
        </w:rPr>
        <w:t xml:space="preserve">nový spôsob výpočtu výšky </w:t>
      </w:r>
      <w:r w:rsidR="00F1404E" w:rsidRPr="006259CE">
        <w:rPr>
          <w:rFonts w:ascii="Times New Roman" w:hAnsi="Times New Roman" w:cs="Times New Roman"/>
        </w:rPr>
        <w:t xml:space="preserve">finančného príspevku pri poskytovaní pobytovej formy sociálnej služby v zariadení sociálnych služieb a finančného príspevku pri poskytovaní ambulantnej formy sociálnej služby v zariadení sociálnych služieb. </w:t>
      </w:r>
    </w:p>
    <w:p w:rsidR="00F1404E" w:rsidRPr="006259CE" w:rsidRDefault="00F1404E" w:rsidP="002B4561">
      <w:pPr>
        <w:spacing w:after="160" w:line="259" w:lineRule="auto"/>
        <w:ind w:firstLine="708"/>
        <w:jc w:val="both"/>
        <w:rPr>
          <w:rFonts w:ascii="Times New Roman" w:hAnsi="Times New Roman" w:cs="Times New Roman"/>
        </w:rPr>
      </w:pPr>
      <w:r w:rsidRPr="006259CE">
        <w:rPr>
          <w:rFonts w:ascii="Times New Roman" w:hAnsi="Times New Roman" w:cs="Times New Roman"/>
        </w:rPr>
        <w:t xml:space="preserve">Nový spôsob výpočtu čiastočne modifikuje existujúci spôsob, ktorý však vláda SR aplikuje len na základe neformálneho prísľubu predchádzajúcej vlády SR. V rámci reformy pripravovanej v rokoch 2016 a 2017 došlo k dohode medzi Ministerstvom práce, sociálnych vecí a rodiny SR a poskytovateľmi sociálnych služieb v zariadeniach sociálnych služieb pobytovou a ambulantnou formou na každoročnom stanovení výšky finančného príspevku štátu pri poskytovaní sociálnych služieb na základe vývoja minimálnej mzdy v SR. Tento mechanizmus sa síce nedostal priamo do zákona, ale výšku príspevku každý rok určuje vláda SR nariadením. MPSVR SR sa vtedy zaviazalo navrhovať vláde taký rast príspevku, ktorý bude zodpovedať dohodnutým koeficientom vzťahujúcim sa k výške minimálnej mzdy za predošlý rok. </w:t>
      </w:r>
    </w:p>
    <w:p w:rsidR="00F1404E" w:rsidRPr="006259CE" w:rsidRDefault="00F1404E" w:rsidP="002B4561">
      <w:pPr>
        <w:spacing w:after="160" w:line="259" w:lineRule="auto"/>
        <w:ind w:firstLine="708"/>
        <w:jc w:val="both"/>
        <w:rPr>
          <w:rFonts w:ascii="Times New Roman" w:hAnsi="Times New Roman" w:cs="Times New Roman"/>
        </w:rPr>
      </w:pPr>
      <w:r w:rsidRPr="006259CE">
        <w:rPr>
          <w:rFonts w:ascii="Times New Roman" w:hAnsi="Times New Roman" w:cs="Times New Roman"/>
        </w:rPr>
        <w:t xml:space="preserve">Novela zákona v roku 2018 zároveň zaviedla účelové určenie použitie štátneho príspevku výlučne na mzdové náklady, aby sa rast štátneho príspevku povinne premietol do rastu miezd pracovníkov v sociálnych službách. </w:t>
      </w:r>
    </w:p>
    <w:p w:rsidR="00F1404E" w:rsidRPr="006259CE" w:rsidRDefault="00F1404E" w:rsidP="002B4561">
      <w:pPr>
        <w:spacing w:after="160" w:line="259" w:lineRule="auto"/>
        <w:ind w:firstLine="708"/>
        <w:jc w:val="both"/>
        <w:rPr>
          <w:rFonts w:ascii="Times New Roman" w:hAnsi="Times New Roman" w:cs="Times New Roman"/>
        </w:rPr>
      </w:pPr>
      <w:r w:rsidRPr="006259CE">
        <w:rPr>
          <w:rFonts w:ascii="Times New Roman" w:hAnsi="Times New Roman" w:cs="Times New Roman"/>
        </w:rPr>
        <w:t>Vláda SR do roku 2020 vyššie popísaný mechanizmus uplatňovala a uplatňuje sa i v súčasnosti. Cenový vývoj</w:t>
      </w:r>
      <w:r w:rsidR="008C7AAA" w:rsidRPr="006259CE">
        <w:rPr>
          <w:rFonts w:ascii="Times New Roman" w:hAnsi="Times New Roman" w:cs="Times New Roman"/>
        </w:rPr>
        <w:t xml:space="preserve"> však za posledný rok akceleroval výraznejšie oproti predpokladom v celej EÚ. Na rozdiel od SR naň viaceré európske štáty primerane reagujú aj rastom odmeňovania v oblasti sociálnych služieb. Jednorazová odmena pre pracovníkov sociálnych služieb, ktorej vyplatenie vláda SR schválila síce mohla naplniť účel výročnej odmeny za mimoriadny pracovný výkon v súvislosti s pandémiou COVID-19, ale nie je kompenzáciou nečakane prudko rastúcich životných nákladov. </w:t>
      </w:r>
    </w:p>
    <w:p w:rsidR="008C7AAA" w:rsidRPr="006259CE" w:rsidRDefault="008C7AAA" w:rsidP="002B4561">
      <w:pPr>
        <w:spacing w:after="160" w:line="259" w:lineRule="auto"/>
        <w:ind w:firstLine="708"/>
        <w:jc w:val="both"/>
        <w:rPr>
          <w:rFonts w:ascii="Times New Roman" w:hAnsi="Times New Roman" w:cs="Times New Roman"/>
        </w:rPr>
      </w:pPr>
      <w:r w:rsidRPr="006259CE">
        <w:rPr>
          <w:rFonts w:ascii="Times New Roman" w:hAnsi="Times New Roman" w:cs="Times New Roman"/>
        </w:rPr>
        <w:t xml:space="preserve">Predbežné štatistické údaje ukazujú, že v odvetviach, ktoré v dôsledku pandémie nezaznamenali výrazný pokles dopytu vlani rástli mzdy rýchlejšie, než v sociálnych službách. V spojení s mzdami v sociálnych službách v niektorých iných členských štátoch EÚ (napr. Rakúsko, Nemecko) takýto vývoj ohrozuje schopnosť poskytovateľov sociálnych služieb čo i len udržať počty a kvalitu pracovníkov. Pandémia navyše znamenala výraznejšie vyčerpanie psychických a fyzických síl pracovníkov v sociálnych službách. Dochádza v nich teda k podobnému vývoju ako v zdravotníctve – prevažujú starší pracovníci a niektorí zo sociálnych služieb odchádzajú. </w:t>
      </w:r>
    </w:p>
    <w:p w:rsidR="00B04BD0" w:rsidRPr="006259CE" w:rsidRDefault="008C7AAA" w:rsidP="002B4561">
      <w:pPr>
        <w:spacing w:after="160" w:line="259" w:lineRule="auto"/>
        <w:ind w:firstLine="708"/>
        <w:jc w:val="both"/>
        <w:rPr>
          <w:rFonts w:ascii="Times New Roman" w:hAnsi="Times New Roman" w:cs="Times New Roman"/>
        </w:rPr>
      </w:pPr>
      <w:r w:rsidRPr="006259CE">
        <w:rPr>
          <w:rFonts w:ascii="Times New Roman" w:hAnsi="Times New Roman" w:cs="Times New Roman"/>
        </w:rPr>
        <w:t xml:space="preserve">Akokoľvek doteraz adekvátny mechanizmus stanovenia výšky príspevku pri poskytovaní sociálnych služieb nedokáže v aktuálnej situácii prispieť k stabilizácii, či dokonca k obratu negatívneho vývoja v personálnej oblasti sociálnych služieb. </w:t>
      </w:r>
      <w:r w:rsidR="00B04BD0" w:rsidRPr="006259CE">
        <w:rPr>
          <w:rFonts w:ascii="Times New Roman" w:hAnsi="Times New Roman" w:cs="Times New Roman"/>
        </w:rPr>
        <w:t xml:space="preserve">Predkladatelia </w:t>
      </w:r>
      <w:r w:rsidR="00B04BD0" w:rsidRPr="006259CE">
        <w:rPr>
          <w:rFonts w:ascii="Times New Roman" w:hAnsi="Times New Roman" w:cs="Times New Roman"/>
        </w:rPr>
        <w:lastRenderedPageBreak/>
        <w:t xml:space="preserve">pritom vychádzajú z prísľubov súčasného vedenia MPSVR SR, že do roku 2024 pripravia úplnú zmenu spôsobu financovania sociálnych služieb s jej účinnosťou od 1. 1. 2016. </w:t>
      </w:r>
    </w:p>
    <w:p w:rsidR="007270FB" w:rsidRPr="006259CE" w:rsidRDefault="00B04BD0" w:rsidP="002B4561">
      <w:pPr>
        <w:spacing w:after="160" w:line="259" w:lineRule="auto"/>
        <w:ind w:firstLine="708"/>
        <w:jc w:val="both"/>
        <w:rPr>
          <w:rFonts w:ascii="Times New Roman" w:hAnsi="Times New Roman" w:cs="Times New Roman"/>
          <w:color w:val="000000" w:themeColor="text1"/>
        </w:rPr>
      </w:pPr>
      <w:r w:rsidRPr="006259CE">
        <w:rPr>
          <w:rFonts w:ascii="Times New Roman" w:hAnsi="Times New Roman" w:cs="Times New Roman"/>
        </w:rPr>
        <w:t xml:space="preserve">Preto navrhujú modifikáciu existujúceho mechanizmu určovania výšky príspevku pri poskytovaní sociálnych služieb, ktorá prispeje k rýchlejšiemu rastu miezd v sociálnych službách a to vo forme dočasného opatrenia na rozpočtové roky 2023, 2024 a 2025. </w:t>
      </w:r>
    </w:p>
    <w:p w:rsidR="004C5139" w:rsidRPr="006259CE" w:rsidRDefault="004C5139" w:rsidP="002B4561">
      <w:pPr>
        <w:spacing w:line="276" w:lineRule="auto"/>
        <w:jc w:val="both"/>
        <w:rPr>
          <w:rFonts w:ascii="Times New Roman" w:hAnsi="Times New Roman" w:cs="Times New Roman"/>
          <w:b/>
          <w:bCs/>
          <w:color w:val="000000" w:themeColor="text1"/>
        </w:rPr>
      </w:pPr>
    </w:p>
    <w:p w:rsidR="00BE2399" w:rsidRPr="006259CE" w:rsidRDefault="00BE2399" w:rsidP="002B4561">
      <w:pPr>
        <w:spacing w:line="276" w:lineRule="auto"/>
        <w:jc w:val="both"/>
        <w:rPr>
          <w:rFonts w:ascii="Times New Roman" w:eastAsia="Times New Roman" w:hAnsi="Times New Roman" w:cs="Times New Roman"/>
          <w:b/>
          <w:bCs/>
          <w:color w:val="000000" w:themeColor="text1"/>
          <w:lang w:eastAsia="sk-SK"/>
        </w:rPr>
      </w:pPr>
      <w:r w:rsidRPr="006259CE">
        <w:rPr>
          <w:rFonts w:ascii="Times New Roman" w:hAnsi="Times New Roman" w:cs="Times New Roman"/>
          <w:b/>
          <w:bCs/>
          <w:color w:val="000000" w:themeColor="text1"/>
        </w:rPr>
        <w:t xml:space="preserve">Osobitná časť </w:t>
      </w:r>
    </w:p>
    <w:p w:rsidR="008D7E9B" w:rsidRPr="006259CE" w:rsidRDefault="008D7E9B" w:rsidP="002B4561">
      <w:pPr>
        <w:spacing w:line="276" w:lineRule="auto"/>
        <w:jc w:val="both"/>
        <w:rPr>
          <w:rFonts w:ascii="Times New Roman" w:hAnsi="Times New Roman" w:cs="Times New Roman"/>
          <w:b/>
          <w:bCs/>
          <w:color w:val="000000" w:themeColor="text1"/>
        </w:rPr>
      </w:pPr>
    </w:p>
    <w:p w:rsidR="008D7E9B" w:rsidRPr="006259CE" w:rsidRDefault="008D7E9B" w:rsidP="002B4561">
      <w:pPr>
        <w:spacing w:line="276" w:lineRule="auto"/>
        <w:jc w:val="both"/>
        <w:rPr>
          <w:rFonts w:ascii="Times New Roman" w:hAnsi="Times New Roman" w:cs="Times New Roman"/>
          <w:color w:val="000000" w:themeColor="text1"/>
        </w:rPr>
      </w:pPr>
      <w:r w:rsidRPr="006259CE">
        <w:rPr>
          <w:rFonts w:ascii="Times New Roman" w:hAnsi="Times New Roman" w:cs="Times New Roman"/>
          <w:b/>
          <w:bCs/>
          <w:color w:val="000000" w:themeColor="text1"/>
        </w:rPr>
        <w:t>K čl. I</w:t>
      </w:r>
    </w:p>
    <w:p w:rsidR="00794C60" w:rsidRPr="006259CE" w:rsidRDefault="00794C60" w:rsidP="002B4561">
      <w:pPr>
        <w:spacing w:line="276" w:lineRule="auto"/>
        <w:jc w:val="both"/>
        <w:rPr>
          <w:rFonts w:ascii="Times New Roman" w:hAnsi="Times New Roman" w:cs="Times New Roman"/>
          <w:color w:val="000000" w:themeColor="text1"/>
        </w:rPr>
      </w:pPr>
    </w:p>
    <w:p w:rsidR="00B04BD0" w:rsidRPr="006259CE" w:rsidRDefault="00B04BD0" w:rsidP="002B4561">
      <w:pPr>
        <w:spacing w:line="276" w:lineRule="auto"/>
        <w:ind w:firstLine="708"/>
        <w:jc w:val="both"/>
        <w:rPr>
          <w:rFonts w:ascii="Times New Roman" w:hAnsi="Times New Roman" w:cs="Times New Roman"/>
        </w:rPr>
      </w:pPr>
      <w:r w:rsidRPr="006259CE">
        <w:rPr>
          <w:rFonts w:ascii="Times New Roman" w:hAnsi="Times New Roman" w:cs="Times New Roman"/>
        </w:rPr>
        <w:t xml:space="preserve">Navrhuje sa ustanovenie nového § 110ar ako prechodného ustanovenia zákona. V ňom sa stanovuje dočasne uplatňovaný mechanizmus určovania výšky príspevku pri poskytovaní sociálnych služieb na rozpočtové roky 2023. 2024 a 2025. Základom pre výpočet príspevku sú koeficienty rešpektujúce aktuálnu prax vlády SR pri vydávaní nariadenia v zmysle § 78b ods. 4 a 5 vzťahujúce sa k úrovni minimálnej mzdy v SR v závislosti od stupňa odkázanosti osobitne pre pobytové a ambulantné sociálne služby. </w:t>
      </w:r>
    </w:p>
    <w:p w:rsidR="00B04BD0" w:rsidRPr="006259CE" w:rsidRDefault="00B04BD0" w:rsidP="002B4561">
      <w:pPr>
        <w:spacing w:line="276" w:lineRule="auto"/>
        <w:ind w:firstLine="708"/>
        <w:jc w:val="both"/>
        <w:rPr>
          <w:rFonts w:ascii="Times New Roman" w:hAnsi="Times New Roman" w:cs="Times New Roman"/>
        </w:rPr>
      </w:pPr>
      <w:r w:rsidRPr="006259CE">
        <w:rPr>
          <w:rFonts w:ascii="Times New Roman" w:hAnsi="Times New Roman" w:cs="Times New Roman"/>
        </w:rPr>
        <w:t xml:space="preserve">Výška príspevku sa potom určuje zvýšením takto stanoveného základu o 30%. </w:t>
      </w:r>
    </w:p>
    <w:p w:rsidR="00F52CE4" w:rsidRPr="006259CE" w:rsidRDefault="00F52CE4" w:rsidP="002B4561">
      <w:pPr>
        <w:spacing w:line="276" w:lineRule="auto"/>
        <w:ind w:firstLine="708"/>
        <w:jc w:val="both"/>
        <w:rPr>
          <w:rFonts w:ascii="Times New Roman" w:hAnsi="Times New Roman" w:cs="Times New Roman"/>
        </w:rPr>
      </w:pPr>
    </w:p>
    <w:p w:rsidR="008D7E9B" w:rsidRPr="006259CE" w:rsidRDefault="008D7E9B" w:rsidP="002B4561">
      <w:pPr>
        <w:spacing w:line="276" w:lineRule="auto"/>
        <w:jc w:val="both"/>
        <w:rPr>
          <w:rFonts w:ascii="Times New Roman" w:hAnsi="Times New Roman" w:cs="Times New Roman"/>
          <w:b/>
          <w:bCs/>
          <w:color w:val="000000" w:themeColor="text1"/>
        </w:rPr>
      </w:pPr>
      <w:r w:rsidRPr="006259CE">
        <w:rPr>
          <w:rFonts w:ascii="Times New Roman" w:hAnsi="Times New Roman" w:cs="Times New Roman"/>
          <w:b/>
          <w:bCs/>
          <w:color w:val="000000" w:themeColor="text1"/>
        </w:rPr>
        <w:t>K čl. II</w:t>
      </w:r>
    </w:p>
    <w:p w:rsidR="00316A26" w:rsidRPr="006259CE" w:rsidRDefault="00316A26" w:rsidP="002B4561">
      <w:pPr>
        <w:spacing w:line="276" w:lineRule="auto"/>
        <w:jc w:val="both"/>
        <w:rPr>
          <w:rFonts w:ascii="Times New Roman" w:hAnsi="Times New Roman" w:cs="Times New Roman"/>
          <w:color w:val="000000" w:themeColor="text1"/>
        </w:rPr>
      </w:pPr>
    </w:p>
    <w:p w:rsidR="006C25C6" w:rsidRPr="006259CE" w:rsidRDefault="00B04BD0" w:rsidP="002B4561">
      <w:pPr>
        <w:spacing w:line="276" w:lineRule="auto"/>
        <w:ind w:firstLine="708"/>
        <w:jc w:val="both"/>
        <w:rPr>
          <w:rFonts w:ascii="Times New Roman" w:hAnsi="Times New Roman" w:cs="Times New Roman"/>
          <w:color w:val="000000" w:themeColor="text1"/>
        </w:rPr>
      </w:pPr>
      <w:r w:rsidRPr="006259CE">
        <w:rPr>
          <w:rFonts w:ascii="Times New Roman" w:hAnsi="Times New Roman" w:cs="Times New Roman"/>
          <w:color w:val="000000" w:themeColor="text1"/>
        </w:rPr>
        <w:t>Ú</w:t>
      </w:r>
      <w:r w:rsidR="006C25C6" w:rsidRPr="006259CE">
        <w:rPr>
          <w:rFonts w:ascii="Times New Roman" w:hAnsi="Times New Roman" w:cs="Times New Roman"/>
          <w:color w:val="000000" w:themeColor="text1"/>
        </w:rPr>
        <w:t>činn</w:t>
      </w:r>
      <w:r w:rsidRPr="006259CE">
        <w:rPr>
          <w:rFonts w:ascii="Times New Roman" w:hAnsi="Times New Roman" w:cs="Times New Roman"/>
          <w:color w:val="000000" w:themeColor="text1"/>
        </w:rPr>
        <w:t xml:space="preserve">osť zákona sa navrhuje od 1. januára 2023, čo umožňuje plánovanie dopadov novely na štátny rozpočet už pre nasledujúci rozpočtový rok. </w:t>
      </w: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6C25C6" w:rsidRPr="006259CE" w:rsidRDefault="006C25C6" w:rsidP="002B4561">
      <w:pPr>
        <w:spacing w:line="276" w:lineRule="auto"/>
        <w:ind w:firstLine="708"/>
        <w:jc w:val="both"/>
        <w:rPr>
          <w:rFonts w:ascii="Times New Roman" w:hAnsi="Times New Roman" w:cs="Times New Roman"/>
          <w:color w:val="000000" w:themeColor="text1"/>
        </w:rPr>
      </w:pPr>
    </w:p>
    <w:p w:rsidR="00B83154" w:rsidRPr="006259CE" w:rsidRDefault="006C25C6" w:rsidP="002B4561">
      <w:pPr>
        <w:spacing w:before="120" w:line="276" w:lineRule="auto"/>
        <w:jc w:val="both"/>
        <w:rPr>
          <w:rFonts w:ascii="Times New Roman" w:hAnsi="Times New Roman" w:cs="Times New Roman"/>
          <w:b/>
          <w:bCs/>
          <w:caps/>
          <w:color w:val="000000" w:themeColor="text1"/>
          <w:spacing w:val="30"/>
        </w:rPr>
      </w:pPr>
      <w:r w:rsidRPr="006259CE">
        <w:rPr>
          <w:rFonts w:ascii="Times New Roman" w:hAnsi="Times New Roman" w:cs="Times New Roman"/>
          <w:b/>
          <w:bCs/>
          <w:caps/>
          <w:color w:val="000000" w:themeColor="text1"/>
          <w:spacing w:val="30"/>
        </w:rPr>
        <w:t>D</w:t>
      </w:r>
      <w:r w:rsidR="00B83154" w:rsidRPr="006259CE">
        <w:rPr>
          <w:rFonts w:ascii="Times New Roman" w:hAnsi="Times New Roman" w:cs="Times New Roman"/>
          <w:b/>
          <w:bCs/>
          <w:caps/>
          <w:color w:val="000000" w:themeColor="text1"/>
          <w:spacing w:val="30"/>
        </w:rPr>
        <w:t>OLOŽKA ZLUČITEĽNOSTI</w:t>
      </w:r>
    </w:p>
    <w:p w:rsidR="00B83154" w:rsidRPr="006259CE" w:rsidRDefault="00B83154" w:rsidP="002B4561">
      <w:pPr>
        <w:pStyle w:val="Normlnywebov"/>
        <w:spacing w:before="120" w:after="0" w:line="276" w:lineRule="auto"/>
        <w:jc w:val="both"/>
        <w:rPr>
          <w:color w:val="000000" w:themeColor="text1"/>
        </w:rPr>
      </w:pPr>
      <w:r w:rsidRPr="006259CE">
        <w:rPr>
          <w:b/>
          <w:bCs/>
          <w:color w:val="000000" w:themeColor="text1"/>
        </w:rPr>
        <w:t>návrhu zákona</w:t>
      </w:r>
      <w:r w:rsidRPr="006259CE">
        <w:rPr>
          <w:color w:val="000000" w:themeColor="text1"/>
        </w:rPr>
        <w:t xml:space="preserve"> </w:t>
      </w:r>
      <w:r w:rsidRPr="006259CE">
        <w:rPr>
          <w:b/>
          <w:bCs/>
          <w:color w:val="000000" w:themeColor="text1"/>
        </w:rPr>
        <w:t>s právom Európskej únie</w:t>
      </w:r>
    </w:p>
    <w:p w:rsidR="00B83154" w:rsidRPr="006259CE" w:rsidRDefault="00B83154" w:rsidP="002B4561">
      <w:pPr>
        <w:pStyle w:val="Normlnywebov"/>
        <w:spacing w:before="120" w:after="0" w:line="276" w:lineRule="auto"/>
        <w:jc w:val="both"/>
        <w:rPr>
          <w:color w:val="000000" w:themeColor="text1"/>
        </w:rPr>
      </w:pPr>
      <w:r w:rsidRPr="006259CE">
        <w:rPr>
          <w:color w:val="000000" w:themeColor="text1"/>
        </w:rPr>
        <w:t> </w:t>
      </w:r>
    </w:p>
    <w:p w:rsidR="00B83154" w:rsidRPr="006259CE" w:rsidRDefault="00B83154" w:rsidP="002B4561">
      <w:pPr>
        <w:pStyle w:val="Normlnywebov"/>
        <w:spacing w:before="120" w:after="0" w:line="276" w:lineRule="auto"/>
        <w:jc w:val="both"/>
        <w:rPr>
          <w:strike/>
          <w:color w:val="000000" w:themeColor="text1"/>
        </w:rPr>
      </w:pPr>
      <w:r w:rsidRPr="006259CE">
        <w:rPr>
          <w:b/>
          <w:bCs/>
          <w:color w:val="000000" w:themeColor="text1"/>
        </w:rPr>
        <w:t>1. Navrhovateľ zákona:</w:t>
      </w:r>
      <w:r w:rsidRPr="006259CE">
        <w:rPr>
          <w:color w:val="000000" w:themeColor="text1"/>
        </w:rPr>
        <w:t xml:space="preserve"> skupina poslancov Národnej rady Slovenskej republiky</w:t>
      </w:r>
    </w:p>
    <w:p w:rsidR="00B04BD0" w:rsidRPr="006259CE" w:rsidRDefault="00B83154" w:rsidP="002B4561">
      <w:pPr>
        <w:pStyle w:val="Normlnywebov"/>
        <w:spacing w:line="276" w:lineRule="auto"/>
        <w:jc w:val="both"/>
        <w:rPr>
          <w:rStyle w:val="h1a"/>
        </w:rPr>
      </w:pPr>
      <w:r w:rsidRPr="006259CE">
        <w:rPr>
          <w:b/>
          <w:color w:val="000000" w:themeColor="text1"/>
        </w:rPr>
        <w:t>2. Názov návrhu zákona</w:t>
      </w:r>
      <w:r w:rsidRPr="006259CE">
        <w:rPr>
          <w:color w:val="000000" w:themeColor="text1"/>
        </w:rPr>
        <w:t xml:space="preserve">: </w:t>
      </w:r>
      <w:r w:rsidR="00B04BD0" w:rsidRPr="006259CE">
        <w:rPr>
          <w:color w:val="000000" w:themeColor="text1"/>
        </w:rPr>
        <w:t xml:space="preserve">Návrh zákona, ktorým sa mení a dopĺňa zákon č. </w:t>
      </w:r>
      <w:r w:rsidR="00B04BD0" w:rsidRPr="006259CE">
        <w:t xml:space="preserve">Zákon č. 448/2008 Z. z. o sociálnych službách </w:t>
      </w:r>
      <w:r w:rsidR="00B04BD0" w:rsidRPr="006259CE">
        <w:rPr>
          <w:rStyle w:val="h1a"/>
        </w:rPr>
        <w:t xml:space="preserve">a o zmene a doplnení zákona č. 455/1991 Zb. o živnostenskom podnikaní (živnostenský zákon) </w:t>
      </w:r>
    </w:p>
    <w:p w:rsidR="00B83154" w:rsidRPr="006259CE" w:rsidRDefault="00B83154" w:rsidP="002B4561">
      <w:pPr>
        <w:pStyle w:val="Normlnywebov"/>
        <w:spacing w:line="276" w:lineRule="auto"/>
        <w:jc w:val="both"/>
        <w:rPr>
          <w:b/>
          <w:bCs/>
          <w:color w:val="000000" w:themeColor="text1"/>
        </w:rPr>
      </w:pPr>
      <w:r w:rsidRPr="006259CE">
        <w:rPr>
          <w:b/>
          <w:bCs/>
          <w:color w:val="000000" w:themeColor="text1"/>
        </w:rPr>
        <w:t>3. Predmet návrhu zákona:</w:t>
      </w:r>
    </w:p>
    <w:p w:rsidR="00B83154" w:rsidRPr="006259CE" w:rsidRDefault="00B83154" w:rsidP="002B4561">
      <w:pPr>
        <w:pStyle w:val="Normlnywebov"/>
        <w:numPr>
          <w:ilvl w:val="0"/>
          <w:numId w:val="6"/>
        </w:numPr>
        <w:suppressAutoHyphens/>
        <w:spacing w:before="120" w:beforeAutospacing="0" w:after="0" w:afterAutospacing="0" w:line="276" w:lineRule="auto"/>
        <w:jc w:val="both"/>
        <w:rPr>
          <w:bCs/>
          <w:color w:val="000000" w:themeColor="text1"/>
        </w:rPr>
      </w:pPr>
      <w:r w:rsidRPr="006259CE">
        <w:rPr>
          <w:bCs/>
          <w:color w:val="000000" w:themeColor="text1"/>
        </w:rPr>
        <w:t>nie je upravený v primárnom práve Európskej únie,</w:t>
      </w:r>
    </w:p>
    <w:p w:rsidR="00B83154" w:rsidRPr="006259CE" w:rsidRDefault="00B83154" w:rsidP="002B4561">
      <w:pPr>
        <w:pStyle w:val="Normlnywebov"/>
        <w:numPr>
          <w:ilvl w:val="0"/>
          <w:numId w:val="6"/>
        </w:numPr>
        <w:suppressAutoHyphens/>
        <w:spacing w:before="120" w:beforeAutospacing="0" w:after="0" w:afterAutospacing="0" w:line="276" w:lineRule="auto"/>
        <w:jc w:val="both"/>
        <w:rPr>
          <w:bCs/>
          <w:color w:val="000000" w:themeColor="text1"/>
        </w:rPr>
      </w:pPr>
      <w:r w:rsidRPr="006259CE">
        <w:rPr>
          <w:bCs/>
          <w:color w:val="000000" w:themeColor="text1"/>
        </w:rPr>
        <w:t>nie je upravený v sekundárnom práve Európskej únie,</w:t>
      </w:r>
    </w:p>
    <w:p w:rsidR="00B83154" w:rsidRPr="006259CE" w:rsidRDefault="00B83154" w:rsidP="002B4561">
      <w:pPr>
        <w:pStyle w:val="Normlnywebov"/>
        <w:numPr>
          <w:ilvl w:val="0"/>
          <w:numId w:val="6"/>
        </w:numPr>
        <w:suppressAutoHyphens/>
        <w:spacing w:before="120" w:beforeAutospacing="0" w:after="0" w:afterAutospacing="0" w:line="276" w:lineRule="auto"/>
        <w:jc w:val="both"/>
        <w:rPr>
          <w:bCs/>
          <w:color w:val="000000" w:themeColor="text1"/>
        </w:rPr>
      </w:pPr>
      <w:r w:rsidRPr="006259CE">
        <w:rPr>
          <w:bCs/>
          <w:color w:val="000000" w:themeColor="text1"/>
        </w:rPr>
        <w:t>nie je obsiahnutý v judikatúre Súdneho dvora Európskej únie.</w:t>
      </w:r>
    </w:p>
    <w:p w:rsidR="00B83154" w:rsidRPr="006259CE" w:rsidRDefault="00B83154" w:rsidP="002B4561">
      <w:pPr>
        <w:pStyle w:val="Normlnywebov"/>
        <w:suppressAutoHyphens/>
        <w:spacing w:before="120" w:beforeAutospacing="0" w:after="0" w:afterAutospacing="0" w:line="276" w:lineRule="auto"/>
        <w:jc w:val="both"/>
        <w:rPr>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r w:rsidRPr="006259CE">
        <w:rPr>
          <w:rFonts w:ascii="Times New Roman" w:hAnsi="Times New Roman" w:cs="Times New Roman"/>
          <w:b/>
          <w:bCs/>
          <w:color w:val="000000" w:themeColor="text1"/>
        </w:rPr>
        <w:t>Vzhľadom na to, že predmet návrhu zákona nie je upravený v práve Európskej únie, je bezpredmetné vyjadrovať sa k bodom 4. a 5.</w:t>
      </w:r>
    </w:p>
    <w:p w:rsidR="00B83154" w:rsidRPr="006259CE" w:rsidRDefault="00B83154" w:rsidP="002B4561">
      <w:pPr>
        <w:spacing w:line="276" w:lineRule="auto"/>
        <w:jc w:val="both"/>
        <w:rPr>
          <w:rFonts w:ascii="Times New Roman" w:hAnsi="Times New Roman" w:cs="Times New Roman"/>
          <w:b/>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p>
    <w:p w:rsidR="00B83154" w:rsidRPr="006259CE" w:rsidRDefault="00B83154" w:rsidP="002B4561">
      <w:pPr>
        <w:spacing w:line="276" w:lineRule="auto"/>
        <w:jc w:val="both"/>
        <w:rPr>
          <w:rFonts w:ascii="Times New Roman" w:hAnsi="Times New Roman" w:cs="Times New Roman"/>
          <w:b/>
          <w:bCs/>
          <w:color w:val="000000" w:themeColor="text1"/>
        </w:rPr>
      </w:pPr>
    </w:p>
    <w:p w:rsidR="00F42969" w:rsidRPr="006259CE" w:rsidRDefault="00F42969" w:rsidP="002B4561">
      <w:pPr>
        <w:spacing w:before="120" w:line="276" w:lineRule="auto"/>
        <w:jc w:val="both"/>
        <w:rPr>
          <w:rFonts w:ascii="Times New Roman" w:hAnsi="Times New Roman" w:cs="Times New Roman"/>
          <w:b/>
          <w:bCs/>
          <w:caps/>
          <w:color w:val="000000" w:themeColor="text1"/>
          <w:spacing w:val="30"/>
        </w:rPr>
      </w:pPr>
      <w:r w:rsidRPr="006259CE">
        <w:rPr>
          <w:rFonts w:ascii="Times New Roman" w:hAnsi="Times New Roman" w:cs="Times New Roman"/>
          <w:b/>
          <w:bCs/>
          <w:caps/>
          <w:color w:val="000000" w:themeColor="text1"/>
          <w:spacing w:val="30"/>
        </w:rPr>
        <w:t>Doložka</w:t>
      </w:r>
    </w:p>
    <w:p w:rsidR="00F42969" w:rsidRPr="006259CE" w:rsidRDefault="00F42969" w:rsidP="002B4561">
      <w:pPr>
        <w:spacing w:before="120" w:line="276" w:lineRule="auto"/>
        <w:jc w:val="both"/>
        <w:rPr>
          <w:rFonts w:ascii="Times New Roman" w:hAnsi="Times New Roman" w:cs="Times New Roman"/>
          <w:b/>
          <w:bCs/>
          <w:color w:val="000000" w:themeColor="text1"/>
        </w:rPr>
      </w:pPr>
      <w:r w:rsidRPr="006259CE">
        <w:rPr>
          <w:rFonts w:ascii="Times New Roman" w:hAnsi="Times New Roman" w:cs="Times New Roman"/>
          <w:b/>
          <w:bCs/>
          <w:color w:val="000000" w:themeColor="text1"/>
        </w:rPr>
        <w:t>vybraných vplyvov</w:t>
      </w:r>
    </w:p>
    <w:p w:rsidR="00F42969" w:rsidRPr="006259CE" w:rsidRDefault="00F42969" w:rsidP="002B4561">
      <w:pPr>
        <w:spacing w:before="120" w:line="276" w:lineRule="auto"/>
        <w:jc w:val="both"/>
        <w:rPr>
          <w:rFonts w:ascii="Times New Roman" w:hAnsi="Times New Roman" w:cs="Times New Roman"/>
          <w:color w:val="000000" w:themeColor="text1"/>
        </w:rPr>
      </w:pPr>
    </w:p>
    <w:p w:rsidR="00F42969" w:rsidRPr="006259CE" w:rsidRDefault="00F42969" w:rsidP="002B4561">
      <w:pPr>
        <w:spacing w:before="120" w:line="276" w:lineRule="auto"/>
        <w:jc w:val="both"/>
        <w:rPr>
          <w:rFonts w:ascii="Times New Roman" w:hAnsi="Times New Roman" w:cs="Times New Roman"/>
          <w:b/>
          <w:bCs/>
          <w:color w:val="FF0000"/>
        </w:rPr>
      </w:pPr>
      <w:r w:rsidRPr="006259CE">
        <w:rPr>
          <w:rFonts w:ascii="Times New Roman" w:hAnsi="Times New Roman" w:cs="Times New Roman"/>
          <w:b/>
          <w:bCs/>
          <w:color w:val="000000" w:themeColor="text1"/>
        </w:rPr>
        <w:t xml:space="preserve">A.1. Názov materiálu: </w:t>
      </w:r>
      <w:r w:rsidRPr="006259CE">
        <w:rPr>
          <w:rFonts w:ascii="Times New Roman" w:hAnsi="Times New Roman" w:cs="Times New Roman"/>
          <w:color w:val="000000" w:themeColor="text1"/>
        </w:rPr>
        <w:t>Návrh zákona, ktorým sa mení a dopĺňa zákon č. 461/2003 Z. z. o sociálnom poistení v znení neskorších predpisov</w:t>
      </w:r>
    </w:p>
    <w:p w:rsidR="00F42969" w:rsidRPr="006259CE" w:rsidRDefault="00F42969" w:rsidP="002B4561">
      <w:pPr>
        <w:spacing w:before="120" w:line="276" w:lineRule="auto"/>
        <w:jc w:val="both"/>
        <w:rPr>
          <w:rFonts w:ascii="Times New Roman" w:hAnsi="Times New Roman" w:cs="Times New Roman"/>
          <w:i/>
          <w:iCs/>
          <w:color w:val="000000" w:themeColor="text1"/>
        </w:rPr>
      </w:pPr>
      <w:r w:rsidRPr="006259CE">
        <w:rPr>
          <w:rFonts w:ascii="Times New Roman" w:hAnsi="Times New Roman" w:cs="Times New Roman"/>
          <w:b/>
          <w:bCs/>
          <w:color w:val="000000" w:themeColor="text1"/>
        </w:rPr>
        <w:t>Termín začatia a ukončenia PPK:</w:t>
      </w:r>
      <w:r w:rsidRPr="006259CE">
        <w:rPr>
          <w:rFonts w:ascii="Times New Roman" w:hAnsi="Times New Roman" w:cs="Times New Roman"/>
          <w:color w:val="000000" w:themeColor="text1"/>
        </w:rPr>
        <w:t xml:space="preserve"> </w:t>
      </w:r>
      <w:r w:rsidRPr="006259CE">
        <w:rPr>
          <w:rFonts w:ascii="Times New Roman" w:hAnsi="Times New Roman" w:cs="Times New Roman"/>
          <w:i/>
          <w:iCs/>
          <w:color w:val="000000" w:themeColor="text1"/>
        </w:rPr>
        <w:t>bezpredmetné</w:t>
      </w:r>
    </w:p>
    <w:p w:rsidR="00F42969" w:rsidRPr="006259CE" w:rsidRDefault="00F42969" w:rsidP="002B4561">
      <w:pPr>
        <w:spacing w:before="120" w:line="276" w:lineRule="auto"/>
        <w:jc w:val="both"/>
        <w:rPr>
          <w:rFonts w:ascii="Times New Roman" w:hAnsi="Times New Roman" w:cs="Times New Roman"/>
          <w:b/>
          <w:bCs/>
          <w:color w:val="000000" w:themeColor="text1"/>
        </w:rPr>
      </w:pPr>
    </w:p>
    <w:p w:rsidR="00F42969" w:rsidRPr="006259CE" w:rsidRDefault="00F42969" w:rsidP="002B4561">
      <w:pPr>
        <w:spacing w:before="120" w:line="276" w:lineRule="auto"/>
        <w:jc w:val="both"/>
        <w:rPr>
          <w:rFonts w:ascii="Times New Roman" w:hAnsi="Times New Roman" w:cs="Times New Roman"/>
          <w:b/>
          <w:bCs/>
          <w:color w:val="000000" w:themeColor="text1"/>
        </w:rPr>
      </w:pPr>
      <w:r w:rsidRPr="006259CE">
        <w:rPr>
          <w:rFonts w:ascii="Times New Roman" w:hAnsi="Times New Roman" w:cs="Times New Roman"/>
          <w:b/>
          <w:bCs/>
          <w:color w:val="000000" w:themeColor="text1"/>
        </w:rPr>
        <w:t>A.2. Vplyvy:</w:t>
      </w:r>
    </w:p>
    <w:tbl>
      <w:tblPr>
        <w:tblW w:w="5000" w:type="pct"/>
        <w:tblInd w:w="1" w:type="dxa"/>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left w:w="0" w:type="dxa"/>
          <w:right w:w="0" w:type="dxa"/>
        </w:tblCellMar>
        <w:tblLook w:val="04A0" w:firstRow="1" w:lastRow="0" w:firstColumn="1" w:lastColumn="0" w:noHBand="0" w:noVBand="1"/>
      </w:tblPr>
      <w:tblGrid>
        <w:gridCol w:w="5515"/>
        <w:gridCol w:w="1190"/>
        <w:gridCol w:w="1180"/>
        <w:gridCol w:w="1197"/>
      </w:tblGrid>
      <w:tr w:rsidR="00F42969" w:rsidRPr="006259CE" w:rsidTr="00F42969">
        <w:tc>
          <w:tcPr>
            <w:tcW w:w="5507" w:type="dxa"/>
            <w:tcBorders>
              <w:top w:val="outset" w:sz="6" w:space="0" w:color="00000A"/>
              <w:left w:val="outset" w:sz="6" w:space="0" w:color="00000A"/>
              <w:bottom w:val="outset" w:sz="6" w:space="0" w:color="00000A"/>
              <w:right w:val="outset" w:sz="6" w:space="0" w:color="00000A"/>
            </w:tcBorders>
            <w:vAlign w:val="center"/>
          </w:tcPr>
          <w:p w:rsidR="00F42969" w:rsidRPr="006259CE" w:rsidRDefault="00F42969" w:rsidP="002B4561">
            <w:pPr>
              <w:spacing w:before="120" w:line="276" w:lineRule="auto"/>
              <w:jc w:val="both"/>
              <w:rPr>
                <w:rFonts w:ascii="Times New Roman" w:hAnsi="Times New Roman" w:cs="Times New Roman"/>
                <w:color w:val="000000" w:themeColor="text1"/>
              </w:rPr>
            </w:pPr>
          </w:p>
        </w:tc>
        <w:tc>
          <w:tcPr>
            <w:tcW w:w="1189" w:type="dxa"/>
            <w:tcBorders>
              <w:top w:val="outset" w:sz="6" w:space="0" w:color="00000A"/>
              <w:left w:val="outset" w:sz="6" w:space="0" w:color="00000A"/>
              <w:bottom w:val="outset" w:sz="6" w:space="0" w:color="00000A"/>
              <w:right w:val="outset" w:sz="6" w:space="0" w:color="00000A"/>
            </w:tcBorders>
            <w:vAlign w:val="center"/>
            <w:hideMark/>
          </w:tcPr>
          <w:p w:rsidR="00F42969" w:rsidRPr="006259CE" w:rsidRDefault="00F42969" w:rsidP="002B4561">
            <w:pPr>
              <w:spacing w:before="120" w:line="276" w:lineRule="auto"/>
              <w:jc w:val="both"/>
              <w:rPr>
                <w:rFonts w:ascii="Times New Roman" w:hAnsi="Times New Roman" w:cs="Times New Roman"/>
                <w:color w:val="000000" w:themeColor="text1"/>
              </w:rPr>
            </w:pPr>
            <w:r w:rsidRPr="006259CE">
              <w:rPr>
                <w:rFonts w:ascii="Times New Roman" w:hAnsi="Times New Roman" w:cs="Times New Roman"/>
                <w:color w:val="000000" w:themeColor="text1"/>
              </w:rPr>
              <w:t> Pozitívne </w:t>
            </w: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Pr="006259CE" w:rsidRDefault="00F42969" w:rsidP="002B4561">
            <w:pPr>
              <w:spacing w:before="120" w:line="276" w:lineRule="auto"/>
              <w:jc w:val="both"/>
              <w:rPr>
                <w:rFonts w:ascii="Times New Roman" w:hAnsi="Times New Roman" w:cs="Times New Roman"/>
                <w:color w:val="000000" w:themeColor="text1"/>
              </w:rPr>
            </w:pPr>
            <w:r w:rsidRPr="006259CE">
              <w:rPr>
                <w:rFonts w:ascii="Times New Roman" w:hAnsi="Times New Roman" w:cs="Times New Roman"/>
                <w:color w:val="000000" w:themeColor="text1"/>
              </w:rPr>
              <w:t> Žiadne </w:t>
            </w:r>
          </w:p>
        </w:tc>
        <w:tc>
          <w:tcPr>
            <w:tcW w:w="1196" w:type="dxa"/>
            <w:tcBorders>
              <w:top w:val="outset" w:sz="6" w:space="0" w:color="00000A"/>
              <w:left w:val="outset" w:sz="6" w:space="0" w:color="00000A"/>
              <w:bottom w:val="outset" w:sz="6" w:space="0" w:color="00000A"/>
              <w:right w:val="outset" w:sz="6" w:space="0" w:color="00000A"/>
            </w:tcBorders>
            <w:vAlign w:val="center"/>
            <w:hideMark/>
          </w:tcPr>
          <w:p w:rsidR="00F42969" w:rsidRPr="006259CE" w:rsidRDefault="00F42969" w:rsidP="002B4561">
            <w:pPr>
              <w:spacing w:before="120" w:line="276" w:lineRule="auto"/>
              <w:jc w:val="both"/>
              <w:rPr>
                <w:rFonts w:ascii="Times New Roman" w:hAnsi="Times New Roman" w:cs="Times New Roman"/>
                <w:color w:val="000000" w:themeColor="text1"/>
              </w:rPr>
            </w:pPr>
            <w:r w:rsidRPr="006259CE">
              <w:rPr>
                <w:rFonts w:ascii="Times New Roman" w:hAnsi="Times New Roman" w:cs="Times New Roman"/>
                <w:color w:val="000000" w:themeColor="text1"/>
              </w:rPr>
              <w:t> Negatívne </w:t>
            </w:r>
          </w:p>
        </w:tc>
      </w:tr>
      <w:tr w:rsidR="00F42969" w:rsidRPr="006259CE"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Pr="006259CE" w:rsidRDefault="00F42969" w:rsidP="002B4561">
            <w:pPr>
              <w:spacing w:before="120" w:line="276" w:lineRule="auto"/>
              <w:jc w:val="both"/>
              <w:rPr>
                <w:rFonts w:ascii="Times New Roman" w:hAnsi="Times New Roman" w:cs="Times New Roman"/>
                <w:color w:val="000000" w:themeColor="text1"/>
              </w:rPr>
            </w:pPr>
            <w:r w:rsidRPr="006259CE">
              <w:rPr>
                <w:rFonts w:ascii="Times New Roman" w:hAnsi="Times New Roman" w:cs="Times New Roman"/>
                <w:color w:val="000000" w:themeColor="text1"/>
              </w:rPr>
              <w:t>1. Vplyvy na rozpočet verejnej správy</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Pr="006259CE" w:rsidRDefault="00F42969" w:rsidP="002B4561">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Pr="006259CE" w:rsidRDefault="00F42969" w:rsidP="002B4561">
            <w:pPr>
              <w:spacing w:before="120" w:line="276" w:lineRule="auto"/>
              <w:jc w:val="both"/>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Pr="006259CE" w:rsidRDefault="00F42969" w:rsidP="002B4561">
            <w:pPr>
              <w:spacing w:before="120" w:line="276" w:lineRule="auto"/>
              <w:jc w:val="both"/>
              <w:rPr>
                <w:rFonts w:ascii="Times New Roman" w:hAnsi="Times New Roman" w:cs="Times New Roman"/>
                <w:color w:val="000000" w:themeColor="text1"/>
              </w:rPr>
            </w:pPr>
            <w:r w:rsidRPr="006259CE">
              <w:rPr>
                <w:rFonts w:ascii="Times New Roman" w:hAnsi="Times New Roman" w:cs="Times New Roman"/>
                <w:color w:val="000000" w:themeColor="text1"/>
              </w:rPr>
              <w:t>x</w:t>
            </w:r>
          </w:p>
        </w:tc>
      </w:tr>
      <w:tr w:rsidR="00F42969" w:rsidRPr="006259CE"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Pr="006259CE" w:rsidRDefault="00F42969" w:rsidP="002B4561">
            <w:pPr>
              <w:spacing w:before="120" w:line="276" w:lineRule="auto"/>
              <w:jc w:val="both"/>
              <w:rPr>
                <w:rFonts w:ascii="Times New Roman" w:hAnsi="Times New Roman" w:cs="Times New Roman"/>
                <w:color w:val="000000" w:themeColor="text1"/>
              </w:rPr>
            </w:pPr>
            <w:r w:rsidRPr="006259CE">
              <w:rPr>
                <w:rFonts w:ascii="Times New Roman" w:hAnsi="Times New Roman" w:cs="Times New Roman"/>
                <w:color w:val="000000" w:themeColor="text1"/>
              </w:rPr>
              <w:t>2. Vplyvy na podnikateľské prostredie – dochádza k zvýšeniu regulačného zaťaženia?</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Pr="006259CE" w:rsidRDefault="005C6C67" w:rsidP="002B4561">
            <w:pPr>
              <w:spacing w:before="120" w:line="276" w:lineRule="auto"/>
              <w:jc w:val="both"/>
              <w:rPr>
                <w:rFonts w:ascii="Times New Roman" w:hAnsi="Times New Roman" w:cs="Times New Roman"/>
                <w:color w:val="000000" w:themeColor="text1"/>
              </w:rPr>
            </w:pPr>
            <w:r w:rsidRPr="006259CE">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Pr="006259CE" w:rsidRDefault="00F42969" w:rsidP="002B4561">
            <w:pPr>
              <w:spacing w:before="120" w:line="276" w:lineRule="auto"/>
              <w:jc w:val="both"/>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Pr="006259CE" w:rsidRDefault="00F42969" w:rsidP="002B4561">
            <w:pPr>
              <w:spacing w:before="120" w:line="276" w:lineRule="auto"/>
              <w:jc w:val="both"/>
              <w:rPr>
                <w:rFonts w:ascii="Times New Roman" w:hAnsi="Times New Roman" w:cs="Times New Roman"/>
                <w:color w:val="000000" w:themeColor="text1"/>
              </w:rPr>
            </w:pPr>
          </w:p>
        </w:tc>
      </w:tr>
      <w:tr w:rsidR="00F42969" w:rsidRPr="006259CE"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Pr="006259CE" w:rsidRDefault="00F42969" w:rsidP="002B4561">
            <w:pPr>
              <w:spacing w:before="120" w:line="276" w:lineRule="auto"/>
              <w:jc w:val="both"/>
              <w:rPr>
                <w:rFonts w:ascii="Times New Roman" w:hAnsi="Times New Roman" w:cs="Times New Roman"/>
                <w:color w:val="000000" w:themeColor="text1"/>
              </w:rPr>
            </w:pPr>
            <w:r w:rsidRPr="006259CE">
              <w:rPr>
                <w:rFonts w:ascii="Times New Roman" w:hAnsi="Times New Roman" w:cs="Times New Roman"/>
                <w:color w:val="000000" w:themeColor="text1"/>
              </w:rPr>
              <w:t>3. Sociálne vplyvy</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Pr="006259CE" w:rsidRDefault="005C6C67" w:rsidP="002B4561">
            <w:pPr>
              <w:spacing w:before="120" w:line="276" w:lineRule="auto"/>
              <w:jc w:val="both"/>
              <w:rPr>
                <w:rFonts w:ascii="Times New Roman" w:hAnsi="Times New Roman" w:cs="Times New Roman"/>
                <w:color w:val="000000" w:themeColor="text1"/>
              </w:rPr>
            </w:pPr>
            <w:r w:rsidRPr="006259CE">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Pr="006259CE" w:rsidRDefault="00F42969" w:rsidP="002B4561">
            <w:pPr>
              <w:spacing w:before="120" w:line="276" w:lineRule="auto"/>
              <w:jc w:val="both"/>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Pr="006259CE" w:rsidRDefault="00F42969" w:rsidP="002B4561">
            <w:pPr>
              <w:spacing w:before="120" w:line="276" w:lineRule="auto"/>
              <w:jc w:val="both"/>
              <w:rPr>
                <w:rFonts w:ascii="Times New Roman" w:hAnsi="Times New Roman" w:cs="Times New Roman"/>
                <w:color w:val="000000" w:themeColor="text1"/>
              </w:rPr>
            </w:pPr>
          </w:p>
        </w:tc>
      </w:tr>
      <w:tr w:rsidR="00F42969" w:rsidRPr="006259CE"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Pr="006259CE" w:rsidRDefault="00F42969" w:rsidP="002B4561">
            <w:pPr>
              <w:spacing w:before="120" w:line="276" w:lineRule="auto"/>
              <w:jc w:val="both"/>
              <w:rPr>
                <w:rFonts w:ascii="Times New Roman" w:hAnsi="Times New Roman" w:cs="Times New Roman"/>
                <w:color w:val="000000" w:themeColor="text1"/>
              </w:rPr>
            </w:pPr>
            <w:r w:rsidRPr="006259CE">
              <w:rPr>
                <w:rFonts w:ascii="Times New Roman" w:hAnsi="Times New Roman" w:cs="Times New Roman"/>
                <w:color w:val="000000" w:themeColor="text1"/>
              </w:rPr>
              <w:t>– vplyvy na hospodárenie obyvateľstva,</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Pr="006259CE" w:rsidRDefault="005C6C67" w:rsidP="002B4561">
            <w:pPr>
              <w:spacing w:before="120" w:line="276" w:lineRule="auto"/>
              <w:jc w:val="both"/>
              <w:rPr>
                <w:rFonts w:ascii="Times New Roman" w:hAnsi="Times New Roman" w:cs="Times New Roman"/>
                <w:color w:val="000000" w:themeColor="text1"/>
              </w:rPr>
            </w:pPr>
            <w:r w:rsidRPr="006259CE">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Pr="006259CE" w:rsidRDefault="00F42969" w:rsidP="002B4561">
            <w:pPr>
              <w:spacing w:before="120" w:line="276" w:lineRule="auto"/>
              <w:jc w:val="both"/>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Pr="006259CE" w:rsidRDefault="00F42969" w:rsidP="002B4561">
            <w:pPr>
              <w:spacing w:before="120" w:line="276" w:lineRule="auto"/>
              <w:jc w:val="both"/>
              <w:rPr>
                <w:rFonts w:ascii="Times New Roman" w:hAnsi="Times New Roman" w:cs="Times New Roman"/>
                <w:color w:val="000000" w:themeColor="text1"/>
              </w:rPr>
            </w:pPr>
          </w:p>
        </w:tc>
      </w:tr>
      <w:tr w:rsidR="00F42969" w:rsidRPr="006259CE"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Pr="006259CE" w:rsidRDefault="00F42969" w:rsidP="002B4561">
            <w:pPr>
              <w:spacing w:before="120" w:line="276" w:lineRule="auto"/>
              <w:jc w:val="both"/>
              <w:rPr>
                <w:rFonts w:ascii="Times New Roman" w:hAnsi="Times New Roman" w:cs="Times New Roman"/>
                <w:color w:val="000000" w:themeColor="text1"/>
              </w:rPr>
            </w:pPr>
            <w:r w:rsidRPr="006259CE">
              <w:rPr>
                <w:rFonts w:ascii="Times New Roman" w:hAnsi="Times New Roman" w:cs="Times New Roman"/>
                <w:color w:val="000000" w:themeColor="text1"/>
              </w:rPr>
              <w:t>– sociálnu exklúziu,</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Pr="006259CE" w:rsidRDefault="005C6C67" w:rsidP="002B4561">
            <w:pPr>
              <w:spacing w:before="120" w:line="276" w:lineRule="auto"/>
              <w:jc w:val="both"/>
              <w:rPr>
                <w:rFonts w:ascii="Times New Roman" w:hAnsi="Times New Roman" w:cs="Times New Roman"/>
                <w:color w:val="000000" w:themeColor="text1"/>
              </w:rPr>
            </w:pPr>
            <w:r w:rsidRPr="006259CE">
              <w:rPr>
                <w:rFonts w:ascii="Times New Roman" w:hAnsi="Times New Roman" w:cs="Times New Roman"/>
                <w:color w:val="000000" w:themeColor="text1"/>
              </w:rPr>
              <w:t>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Pr="006259CE" w:rsidRDefault="00F42969" w:rsidP="002B4561">
            <w:pPr>
              <w:spacing w:before="120" w:line="276" w:lineRule="auto"/>
              <w:jc w:val="both"/>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Pr="006259CE" w:rsidRDefault="00F42969" w:rsidP="002B4561">
            <w:pPr>
              <w:spacing w:before="120" w:line="276" w:lineRule="auto"/>
              <w:jc w:val="both"/>
              <w:rPr>
                <w:rFonts w:ascii="Times New Roman" w:hAnsi="Times New Roman" w:cs="Times New Roman"/>
                <w:color w:val="000000" w:themeColor="text1"/>
              </w:rPr>
            </w:pPr>
          </w:p>
        </w:tc>
      </w:tr>
      <w:tr w:rsidR="00F42969" w:rsidRPr="006259CE"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Pr="006259CE" w:rsidRDefault="00F42969" w:rsidP="002B4561">
            <w:pPr>
              <w:spacing w:before="120" w:line="276" w:lineRule="auto"/>
              <w:jc w:val="both"/>
              <w:rPr>
                <w:rFonts w:ascii="Times New Roman" w:hAnsi="Times New Roman" w:cs="Times New Roman"/>
                <w:color w:val="000000" w:themeColor="text1"/>
              </w:rPr>
            </w:pPr>
            <w:r w:rsidRPr="006259CE">
              <w:rPr>
                <w:rFonts w:ascii="Times New Roman" w:hAnsi="Times New Roman" w:cs="Times New Roman"/>
                <w:color w:val="000000" w:themeColor="text1"/>
              </w:rPr>
              <w:t>– rovnosť príležitostí a rodovú rovnosť a vplyvy na zamestnanosť</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Pr="006259CE" w:rsidRDefault="005C6C67" w:rsidP="002B4561">
            <w:pPr>
              <w:spacing w:before="120" w:line="276" w:lineRule="auto"/>
              <w:jc w:val="both"/>
              <w:rPr>
                <w:rFonts w:ascii="Times New Roman" w:hAnsi="Times New Roman" w:cs="Times New Roman"/>
                <w:color w:val="000000" w:themeColor="text1"/>
              </w:rPr>
            </w:pPr>
            <w:r w:rsidRPr="006259CE">
              <w:rPr>
                <w:rFonts w:ascii="Times New Roman" w:hAnsi="Times New Roman" w:cs="Times New Roman"/>
                <w:color w:val="000000" w:themeColor="text1"/>
              </w:rPr>
              <w:t xml:space="preserve">           x</w:t>
            </w: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Pr="006259CE" w:rsidRDefault="00F42969" w:rsidP="002B4561">
            <w:pPr>
              <w:spacing w:before="120" w:line="276" w:lineRule="auto"/>
              <w:jc w:val="both"/>
              <w:rPr>
                <w:rFonts w:ascii="Times New Roman" w:hAnsi="Times New Roman" w:cs="Times New Roman"/>
                <w:color w:val="000000" w:themeColor="text1"/>
              </w:rPr>
            </w:pP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Pr="006259CE" w:rsidRDefault="00F42969" w:rsidP="002B4561">
            <w:pPr>
              <w:spacing w:before="120" w:line="276" w:lineRule="auto"/>
              <w:jc w:val="both"/>
              <w:rPr>
                <w:rFonts w:ascii="Times New Roman" w:hAnsi="Times New Roman" w:cs="Times New Roman"/>
                <w:color w:val="000000" w:themeColor="text1"/>
              </w:rPr>
            </w:pPr>
          </w:p>
        </w:tc>
      </w:tr>
      <w:tr w:rsidR="00F42969" w:rsidRPr="006259CE"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Pr="006259CE" w:rsidRDefault="00F42969" w:rsidP="002B4561">
            <w:pPr>
              <w:spacing w:before="120" w:line="276" w:lineRule="auto"/>
              <w:jc w:val="both"/>
              <w:rPr>
                <w:rFonts w:ascii="Times New Roman" w:hAnsi="Times New Roman" w:cs="Times New Roman"/>
                <w:color w:val="000000" w:themeColor="text1"/>
              </w:rPr>
            </w:pPr>
            <w:r w:rsidRPr="006259CE">
              <w:rPr>
                <w:rFonts w:ascii="Times New Roman" w:hAnsi="Times New Roman" w:cs="Times New Roman"/>
                <w:color w:val="000000" w:themeColor="text1"/>
              </w:rPr>
              <w:t>4. Vplyvy na životné prostredie</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Pr="006259CE" w:rsidRDefault="00F42969" w:rsidP="002B4561">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Pr="006259CE" w:rsidRDefault="005C6C67" w:rsidP="002B4561">
            <w:pPr>
              <w:spacing w:before="120" w:line="276" w:lineRule="auto"/>
              <w:jc w:val="both"/>
              <w:rPr>
                <w:rFonts w:ascii="Times New Roman" w:hAnsi="Times New Roman" w:cs="Times New Roman"/>
                <w:color w:val="000000" w:themeColor="text1"/>
              </w:rPr>
            </w:pPr>
            <w:r w:rsidRPr="006259CE">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Pr="006259CE" w:rsidRDefault="00F42969" w:rsidP="002B4561">
            <w:pPr>
              <w:spacing w:before="120" w:line="276" w:lineRule="auto"/>
              <w:jc w:val="both"/>
              <w:rPr>
                <w:rFonts w:ascii="Times New Roman" w:hAnsi="Times New Roman" w:cs="Times New Roman"/>
                <w:color w:val="000000" w:themeColor="text1"/>
              </w:rPr>
            </w:pPr>
          </w:p>
        </w:tc>
      </w:tr>
      <w:tr w:rsidR="00F42969" w:rsidRPr="006259CE" w:rsidTr="00F42969">
        <w:tc>
          <w:tcPr>
            <w:tcW w:w="5507" w:type="dxa"/>
            <w:tcBorders>
              <w:top w:val="outset" w:sz="6" w:space="0" w:color="00000A"/>
              <w:left w:val="outset" w:sz="6" w:space="0" w:color="00000A"/>
              <w:bottom w:val="outset" w:sz="6" w:space="0" w:color="00000A"/>
              <w:right w:val="outset" w:sz="6" w:space="0" w:color="00000A"/>
            </w:tcBorders>
            <w:vAlign w:val="center"/>
            <w:hideMark/>
          </w:tcPr>
          <w:p w:rsidR="00F42969" w:rsidRPr="006259CE" w:rsidRDefault="00F42969" w:rsidP="002B4561">
            <w:pPr>
              <w:spacing w:before="120" w:line="276" w:lineRule="auto"/>
              <w:jc w:val="both"/>
              <w:rPr>
                <w:rFonts w:ascii="Times New Roman" w:hAnsi="Times New Roman" w:cs="Times New Roman"/>
                <w:color w:val="000000" w:themeColor="text1"/>
              </w:rPr>
            </w:pPr>
            <w:r w:rsidRPr="006259CE">
              <w:rPr>
                <w:rFonts w:ascii="Times New Roman" w:hAnsi="Times New Roman" w:cs="Times New Roman"/>
                <w:color w:val="000000" w:themeColor="text1"/>
              </w:rPr>
              <w:t>5. Vplyvy na informatizáciu spoločnosti</w:t>
            </w:r>
          </w:p>
        </w:tc>
        <w:tc>
          <w:tcPr>
            <w:tcW w:w="1189" w:type="dxa"/>
            <w:tcBorders>
              <w:top w:val="outset" w:sz="6" w:space="0" w:color="00000A"/>
              <w:left w:val="outset" w:sz="6" w:space="0" w:color="00000A"/>
              <w:bottom w:val="outset" w:sz="6" w:space="0" w:color="00000A"/>
              <w:right w:val="outset" w:sz="6" w:space="0" w:color="00000A"/>
            </w:tcBorders>
            <w:vAlign w:val="center"/>
          </w:tcPr>
          <w:p w:rsidR="00F42969" w:rsidRPr="006259CE" w:rsidRDefault="00F42969" w:rsidP="002B4561">
            <w:pPr>
              <w:spacing w:before="120" w:line="276" w:lineRule="auto"/>
              <w:jc w:val="both"/>
              <w:rPr>
                <w:rFonts w:ascii="Times New Roman" w:hAnsi="Times New Roman" w:cs="Times New Roman"/>
                <w:color w:val="000000" w:themeColor="text1"/>
              </w:rPr>
            </w:pPr>
          </w:p>
        </w:tc>
        <w:tc>
          <w:tcPr>
            <w:tcW w:w="1179" w:type="dxa"/>
            <w:tcBorders>
              <w:top w:val="outset" w:sz="6" w:space="0" w:color="00000A"/>
              <w:left w:val="outset" w:sz="6" w:space="0" w:color="00000A"/>
              <w:bottom w:val="outset" w:sz="6" w:space="0" w:color="00000A"/>
              <w:right w:val="outset" w:sz="6" w:space="0" w:color="00000A"/>
            </w:tcBorders>
            <w:vAlign w:val="center"/>
            <w:hideMark/>
          </w:tcPr>
          <w:p w:rsidR="00F42969" w:rsidRPr="006259CE" w:rsidRDefault="005C6C67" w:rsidP="002B4561">
            <w:pPr>
              <w:spacing w:before="120" w:line="276" w:lineRule="auto"/>
              <w:jc w:val="both"/>
              <w:rPr>
                <w:rFonts w:ascii="Times New Roman" w:hAnsi="Times New Roman" w:cs="Times New Roman"/>
                <w:color w:val="000000" w:themeColor="text1"/>
              </w:rPr>
            </w:pPr>
            <w:r w:rsidRPr="006259CE">
              <w:rPr>
                <w:rFonts w:ascii="Times New Roman" w:hAnsi="Times New Roman" w:cs="Times New Roman"/>
                <w:color w:val="000000" w:themeColor="text1"/>
              </w:rPr>
              <w:t>X</w:t>
            </w:r>
          </w:p>
        </w:tc>
        <w:tc>
          <w:tcPr>
            <w:tcW w:w="1196" w:type="dxa"/>
            <w:tcBorders>
              <w:top w:val="outset" w:sz="6" w:space="0" w:color="00000A"/>
              <w:left w:val="outset" w:sz="6" w:space="0" w:color="00000A"/>
              <w:bottom w:val="outset" w:sz="6" w:space="0" w:color="00000A"/>
              <w:right w:val="outset" w:sz="6" w:space="0" w:color="00000A"/>
            </w:tcBorders>
            <w:vAlign w:val="center"/>
          </w:tcPr>
          <w:p w:rsidR="00F42969" w:rsidRPr="006259CE" w:rsidRDefault="00F42969" w:rsidP="002B4561">
            <w:pPr>
              <w:spacing w:before="120" w:line="276" w:lineRule="auto"/>
              <w:jc w:val="both"/>
              <w:rPr>
                <w:rFonts w:ascii="Times New Roman" w:hAnsi="Times New Roman" w:cs="Times New Roman"/>
                <w:color w:val="000000" w:themeColor="text1"/>
              </w:rPr>
            </w:pPr>
          </w:p>
        </w:tc>
      </w:tr>
    </w:tbl>
    <w:p w:rsidR="00F42969" w:rsidRPr="006259CE" w:rsidRDefault="00F42969" w:rsidP="002B4561">
      <w:pPr>
        <w:spacing w:before="120" w:line="276" w:lineRule="auto"/>
        <w:jc w:val="both"/>
        <w:rPr>
          <w:rFonts w:ascii="Times New Roman" w:hAnsi="Times New Roman" w:cs="Times New Roman"/>
          <w:color w:val="000000" w:themeColor="text1"/>
        </w:rPr>
      </w:pPr>
    </w:p>
    <w:p w:rsidR="00F42969" w:rsidRPr="006259CE" w:rsidRDefault="00F42969" w:rsidP="002B4561">
      <w:pPr>
        <w:spacing w:before="120" w:line="276" w:lineRule="auto"/>
        <w:jc w:val="both"/>
        <w:rPr>
          <w:rFonts w:ascii="Times New Roman" w:hAnsi="Times New Roman" w:cs="Times New Roman"/>
          <w:color w:val="000000" w:themeColor="text1"/>
        </w:rPr>
      </w:pPr>
      <w:r w:rsidRPr="006259CE">
        <w:rPr>
          <w:rFonts w:ascii="Times New Roman" w:hAnsi="Times New Roman" w:cs="Times New Roman"/>
          <w:b/>
          <w:bCs/>
          <w:color w:val="000000" w:themeColor="text1"/>
        </w:rPr>
        <w:t>A.3. Poznámky</w:t>
      </w:r>
    </w:p>
    <w:p w:rsidR="00F42969" w:rsidRPr="006259CE" w:rsidRDefault="00F42969" w:rsidP="002B4561">
      <w:pPr>
        <w:spacing w:before="120" w:line="276" w:lineRule="auto"/>
        <w:jc w:val="both"/>
        <w:rPr>
          <w:rFonts w:ascii="Times New Roman" w:hAnsi="Times New Roman" w:cs="Times New Roman"/>
          <w:i/>
          <w:color w:val="000000" w:themeColor="text1"/>
        </w:rPr>
      </w:pPr>
      <w:r w:rsidRPr="006259CE">
        <w:rPr>
          <w:rFonts w:ascii="Times New Roman" w:hAnsi="Times New Roman" w:cs="Times New Roman"/>
          <w:i/>
          <w:color w:val="000000" w:themeColor="text1"/>
        </w:rPr>
        <w:t>bezpredmetné</w:t>
      </w:r>
    </w:p>
    <w:p w:rsidR="00F42969" w:rsidRPr="006259CE" w:rsidRDefault="00F42969" w:rsidP="002B4561">
      <w:pPr>
        <w:spacing w:before="120" w:line="276" w:lineRule="auto"/>
        <w:jc w:val="both"/>
        <w:rPr>
          <w:rFonts w:ascii="Times New Roman" w:hAnsi="Times New Roman" w:cs="Times New Roman"/>
          <w:b/>
          <w:bCs/>
          <w:color w:val="000000" w:themeColor="text1"/>
        </w:rPr>
      </w:pPr>
    </w:p>
    <w:p w:rsidR="00F42969" w:rsidRPr="006259CE" w:rsidRDefault="00F42969" w:rsidP="002B4561">
      <w:pPr>
        <w:spacing w:before="120" w:line="276" w:lineRule="auto"/>
        <w:jc w:val="both"/>
        <w:rPr>
          <w:rFonts w:ascii="Times New Roman" w:hAnsi="Times New Roman" w:cs="Times New Roman"/>
          <w:b/>
          <w:bCs/>
          <w:color w:val="000000" w:themeColor="text1"/>
        </w:rPr>
      </w:pPr>
      <w:r w:rsidRPr="006259CE">
        <w:rPr>
          <w:rFonts w:ascii="Times New Roman" w:hAnsi="Times New Roman" w:cs="Times New Roman"/>
          <w:b/>
          <w:bCs/>
          <w:color w:val="000000" w:themeColor="text1"/>
        </w:rPr>
        <w:t>A.4. Alternatívne riešenia</w:t>
      </w:r>
    </w:p>
    <w:p w:rsidR="00F42969" w:rsidRPr="006259CE" w:rsidRDefault="00F42969" w:rsidP="002B4561">
      <w:pPr>
        <w:spacing w:before="120" w:line="276" w:lineRule="auto"/>
        <w:jc w:val="both"/>
        <w:rPr>
          <w:rFonts w:ascii="Times New Roman" w:hAnsi="Times New Roman" w:cs="Times New Roman"/>
          <w:i/>
          <w:color w:val="000000" w:themeColor="text1"/>
        </w:rPr>
      </w:pPr>
      <w:r w:rsidRPr="006259CE">
        <w:rPr>
          <w:rFonts w:ascii="Times New Roman" w:hAnsi="Times New Roman" w:cs="Times New Roman"/>
          <w:i/>
          <w:color w:val="000000" w:themeColor="text1"/>
        </w:rPr>
        <w:t>bezpredmetné </w:t>
      </w:r>
    </w:p>
    <w:p w:rsidR="00F42969" w:rsidRPr="006259CE" w:rsidRDefault="00F42969" w:rsidP="002B4561">
      <w:pPr>
        <w:pStyle w:val="Normlnywebov"/>
        <w:spacing w:before="120" w:beforeAutospacing="0" w:after="0" w:afterAutospacing="0" w:line="276" w:lineRule="auto"/>
        <w:ind w:left="567" w:hanging="567"/>
        <w:jc w:val="both"/>
        <w:rPr>
          <w:b/>
          <w:bCs/>
          <w:color w:val="000000" w:themeColor="text1"/>
        </w:rPr>
      </w:pPr>
    </w:p>
    <w:p w:rsidR="00F42969" w:rsidRPr="006259CE" w:rsidRDefault="00F42969" w:rsidP="002B4561">
      <w:pPr>
        <w:pStyle w:val="Normlnywebov"/>
        <w:spacing w:before="120" w:beforeAutospacing="0" w:after="0" w:afterAutospacing="0" w:line="276" w:lineRule="auto"/>
        <w:ind w:left="567" w:hanging="567"/>
        <w:jc w:val="both"/>
        <w:rPr>
          <w:color w:val="000000" w:themeColor="text1"/>
        </w:rPr>
      </w:pPr>
      <w:r w:rsidRPr="006259CE">
        <w:rPr>
          <w:b/>
          <w:bCs/>
          <w:color w:val="000000" w:themeColor="text1"/>
        </w:rPr>
        <w:lastRenderedPageBreak/>
        <w:t xml:space="preserve">A.5. </w:t>
      </w:r>
      <w:r w:rsidRPr="006259CE">
        <w:rPr>
          <w:b/>
          <w:bCs/>
          <w:color w:val="000000" w:themeColor="text1"/>
        </w:rPr>
        <w:tab/>
        <w:t>Stanovisko gestorov</w:t>
      </w:r>
    </w:p>
    <w:p w:rsidR="00F42969" w:rsidRPr="006259CE" w:rsidRDefault="00F42969" w:rsidP="002B4561">
      <w:pPr>
        <w:pStyle w:val="Normlnywebov"/>
        <w:spacing w:before="120" w:beforeAutospacing="0" w:after="0" w:afterAutospacing="0" w:line="276" w:lineRule="auto"/>
        <w:jc w:val="both"/>
        <w:rPr>
          <w:color w:val="000000" w:themeColor="text1"/>
        </w:rPr>
      </w:pPr>
      <w:r w:rsidRPr="006259CE">
        <w:rPr>
          <w:i/>
          <w:iCs/>
          <w:color w:val="000000" w:themeColor="text1"/>
        </w:rPr>
        <w:t>Návrh zákona bol zaslaný na vyjadrenie Ministerstvu financií SR.</w:t>
      </w:r>
    </w:p>
    <w:sectPr w:rsidR="00F42969" w:rsidRPr="006259CE" w:rsidSect="00A8760C">
      <w:footerReference w:type="even" r:id="rId8"/>
      <w:footerReference w:type="default" r:id="rId9"/>
      <w:headerReference w:type="first" r:id="rId10"/>
      <w:footerReference w:type="first" r:id="rId11"/>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3AC5" w:rsidRDefault="00F33AC5" w:rsidP="00A8760C">
      <w:r>
        <w:separator/>
      </w:r>
    </w:p>
  </w:endnote>
  <w:endnote w:type="continuationSeparator" w:id="0">
    <w:p w:rsidR="00F33AC5" w:rsidRDefault="00F33AC5" w:rsidP="00A87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Pr>
      <w:id w:val="1059671911"/>
      <w:docPartObj>
        <w:docPartGallery w:val="Page Numbers (Bottom of Page)"/>
        <w:docPartUnique/>
      </w:docPartObj>
    </w:sdtPr>
    <w:sdtEndPr>
      <w:rPr>
        <w:rStyle w:val="slostrany"/>
      </w:rPr>
    </w:sdtEndPr>
    <w:sdtContent>
      <w:p w:rsidR="00B04BD0" w:rsidRDefault="00B04BD0" w:rsidP="00F1404E">
        <w:pPr>
          <w:pStyle w:val="Pta"/>
          <w:framePr w:wrap="none" w:vAnchor="text" w:hAnchor="margin" w:xAlign="center" w:y="1"/>
          <w:rPr>
            <w:rStyle w:val="slostrany"/>
          </w:rPr>
        </w:pPr>
        <w:r>
          <w:rPr>
            <w:rStyle w:val="slostrany"/>
          </w:rPr>
          <w:fldChar w:fldCharType="begin"/>
        </w:r>
        <w:r>
          <w:rPr>
            <w:rStyle w:val="slostrany"/>
          </w:rPr>
          <w:instrText xml:space="preserve"> PAGE </w:instrText>
        </w:r>
        <w:r>
          <w:rPr>
            <w:rStyle w:val="slostrany"/>
          </w:rPr>
          <w:fldChar w:fldCharType="end"/>
        </w:r>
      </w:p>
    </w:sdtContent>
  </w:sdt>
  <w:p w:rsidR="00B04BD0" w:rsidRDefault="00B04B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lostrany"/>
        <w:rFonts w:ascii="Times New Roman" w:hAnsi="Times New Roman" w:cs="Times New Roman"/>
      </w:rPr>
      <w:id w:val="2107917989"/>
      <w:docPartObj>
        <w:docPartGallery w:val="Page Numbers (Bottom of Page)"/>
        <w:docPartUnique/>
      </w:docPartObj>
    </w:sdtPr>
    <w:sdtEndPr>
      <w:rPr>
        <w:rStyle w:val="slostrany"/>
      </w:rPr>
    </w:sdtEndPr>
    <w:sdtContent>
      <w:p w:rsidR="00B04BD0" w:rsidRPr="00A8760C" w:rsidRDefault="00B04BD0" w:rsidP="00F1404E">
        <w:pPr>
          <w:pStyle w:val="Pta"/>
          <w:framePr w:wrap="none" w:vAnchor="text" w:hAnchor="margin" w:xAlign="center" w:y="1"/>
          <w:rPr>
            <w:rStyle w:val="slostrany"/>
            <w:rFonts w:ascii="Times New Roman" w:hAnsi="Times New Roman" w:cs="Times New Roman"/>
          </w:rPr>
        </w:pPr>
        <w:r w:rsidRPr="00A8760C">
          <w:rPr>
            <w:rStyle w:val="slostrany"/>
            <w:rFonts w:ascii="Times New Roman" w:hAnsi="Times New Roman" w:cs="Times New Roman"/>
          </w:rPr>
          <w:fldChar w:fldCharType="begin"/>
        </w:r>
        <w:r w:rsidRPr="00A8760C">
          <w:rPr>
            <w:rStyle w:val="slostrany"/>
            <w:rFonts w:ascii="Times New Roman" w:hAnsi="Times New Roman" w:cs="Times New Roman"/>
          </w:rPr>
          <w:instrText xml:space="preserve"> PAGE </w:instrText>
        </w:r>
        <w:r w:rsidRPr="00A8760C">
          <w:rPr>
            <w:rStyle w:val="slostrany"/>
            <w:rFonts w:ascii="Times New Roman" w:hAnsi="Times New Roman" w:cs="Times New Roman"/>
          </w:rPr>
          <w:fldChar w:fldCharType="separate"/>
        </w:r>
        <w:r w:rsidR="005C6C67">
          <w:rPr>
            <w:rStyle w:val="slostrany"/>
            <w:rFonts w:ascii="Times New Roman" w:hAnsi="Times New Roman" w:cs="Times New Roman"/>
            <w:noProof/>
          </w:rPr>
          <w:t>2</w:t>
        </w:r>
        <w:r w:rsidRPr="00A8760C">
          <w:rPr>
            <w:rStyle w:val="slostrany"/>
            <w:rFonts w:ascii="Times New Roman" w:hAnsi="Times New Roman" w:cs="Times New Roman"/>
          </w:rPr>
          <w:fldChar w:fldCharType="end"/>
        </w:r>
      </w:p>
    </w:sdtContent>
  </w:sdt>
  <w:p w:rsidR="00B04BD0" w:rsidRPr="00A8760C" w:rsidRDefault="00B04BD0">
    <w:pPr>
      <w:pStyle w:val="Pta"/>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9547904"/>
      <w:docPartObj>
        <w:docPartGallery w:val="Page Numbers (Bottom of Page)"/>
        <w:docPartUnique/>
      </w:docPartObj>
    </w:sdtPr>
    <w:sdtEndPr/>
    <w:sdtContent>
      <w:p w:rsidR="00B04BD0" w:rsidRDefault="00DD51AB">
        <w:pPr>
          <w:pStyle w:val="Pta"/>
          <w:jc w:val="center"/>
        </w:pPr>
        <w:r>
          <w:fldChar w:fldCharType="begin"/>
        </w:r>
        <w:r>
          <w:instrText>PAGE   \* MERGEFORMAT</w:instrText>
        </w:r>
        <w:r>
          <w:fldChar w:fldCharType="separate"/>
        </w:r>
        <w:r w:rsidR="005C6C67">
          <w:rPr>
            <w:noProof/>
          </w:rPr>
          <w:t>1</w:t>
        </w:r>
        <w:r>
          <w:rPr>
            <w:noProof/>
          </w:rPr>
          <w:fldChar w:fldCharType="end"/>
        </w:r>
      </w:p>
    </w:sdtContent>
  </w:sdt>
  <w:p w:rsidR="00B04BD0" w:rsidRDefault="00B04B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3AC5" w:rsidRDefault="00F33AC5" w:rsidP="00A8760C">
      <w:r>
        <w:separator/>
      </w:r>
    </w:p>
  </w:footnote>
  <w:footnote w:type="continuationSeparator" w:id="0">
    <w:p w:rsidR="00F33AC5" w:rsidRDefault="00F33AC5" w:rsidP="00A87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4BD0" w:rsidRDefault="00B04BD0">
    <w:pPr>
      <w:pStyle w:val="Hlavika"/>
      <w:jc w:val="center"/>
    </w:pPr>
  </w:p>
  <w:p w:rsidR="00B04BD0" w:rsidRDefault="00B04B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32146"/>
    <w:multiLevelType w:val="hybridMultilevel"/>
    <w:tmpl w:val="7BB416D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D503310"/>
    <w:multiLevelType w:val="hybridMultilevel"/>
    <w:tmpl w:val="C296B14A"/>
    <w:lvl w:ilvl="0" w:tplc="C01CA3CE">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F204E8D"/>
    <w:multiLevelType w:val="multilevel"/>
    <w:tmpl w:val="96407DE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61217100"/>
    <w:multiLevelType w:val="hybridMultilevel"/>
    <w:tmpl w:val="3A6477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3D36B8F"/>
    <w:multiLevelType w:val="hybridMultilevel"/>
    <w:tmpl w:val="B9FC7588"/>
    <w:lvl w:ilvl="0" w:tplc="648CDDB8">
      <w:start w:val="2"/>
      <w:numFmt w:val="bullet"/>
      <w:lvlText w:val="-"/>
      <w:lvlJc w:val="left"/>
      <w:pPr>
        <w:ind w:left="410" w:hanging="360"/>
      </w:pPr>
      <w:rPr>
        <w:rFonts w:ascii="Times" w:eastAsia="Times New Roman" w:hAnsi="Times" w:hint="default"/>
        <w:i w:val="0"/>
      </w:rPr>
    </w:lvl>
    <w:lvl w:ilvl="1" w:tplc="041B0003" w:tentative="1">
      <w:start w:val="1"/>
      <w:numFmt w:val="bullet"/>
      <w:lvlText w:val="o"/>
      <w:lvlJc w:val="left"/>
      <w:pPr>
        <w:ind w:left="1130" w:hanging="360"/>
      </w:pPr>
      <w:rPr>
        <w:rFonts w:ascii="Courier New" w:hAnsi="Courier New" w:hint="default"/>
      </w:rPr>
    </w:lvl>
    <w:lvl w:ilvl="2" w:tplc="041B0005" w:tentative="1">
      <w:start w:val="1"/>
      <w:numFmt w:val="bullet"/>
      <w:lvlText w:val=""/>
      <w:lvlJc w:val="left"/>
      <w:pPr>
        <w:ind w:left="1850" w:hanging="360"/>
      </w:pPr>
      <w:rPr>
        <w:rFonts w:ascii="Wingdings" w:hAnsi="Wingdings" w:hint="default"/>
      </w:rPr>
    </w:lvl>
    <w:lvl w:ilvl="3" w:tplc="041B0001" w:tentative="1">
      <w:start w:val="1"/>
      <w:numFmt w:val="bullet"/>
      <w:lvlText w:val=""/>
      <w:lvlJc w:val="left"/>
      <w:pPr>
        <w:ind w:left="2570" w:hanging="360"/>
      </w:pPr>
      <w:rPr>
        <w:rFonts w:ascii="Symbol" w:hAnsi="Symbol" w:hint="default"/>
      </w:rPr>
    </w:lvl>
    <w:lvl w:ilvl="4" w:tplc="041B0003" w:tentative="1">
      <w:start w:val="1"/>
      <w:numFmt w:val="bullet"/>
      <w:lvlText w:val="o"/>
      <w:lvlJc w:val="left"/>
      <w:pPr>
        <w:ind w:left="3290" w:hanging="360"/>
      </w:pPr>
      <w:rPr>
        <w:rFonts w:ascii="Courier New" w:hAnsi="Courier New" w:hint="default"/>
      </w:rPr>
    </w:lvl>
    <w:lvl w:ilvl="5" w:tplc="041B0005" w:tentative="1">
      <w:start w:val="1"/>
      <w:numFmt w:val="bullet"/>
      <w:lvlText w:val=""/>
      <w:lvlJc w:val="left"/>
      <w:pPr>
        <w:ind w:left="4010" w:hanging="360"/>
      </w:pPr>
      <w:rPr>
        <w:rFonts w:ascii="Wingdings" w:hAnsi="Wingdings" w:hint="default"/>
      </w:rPr>
    </w:lvl>
    <w:lvl w:ilvl="6" w:tplc="041B0001" w:tentative="1">
      <w:start w:val="1"/>
      <w:numFmt w:val="bullet"/>
      <w:lvlText w:val=""/>
      <w:lvlJc w:val="left"/>
      <w:pPr>
        <w:ind w:left="4730" w:hanging="360"/>
      </w:pPr>
      <w:rPr>
        <w:rFonts w:ascii="Symbol" w:hAnsi="Symbol" w:hint="default"/>
      </w:rPr>
    </w:lvl>
    <w:lvl w:ilvl="7" w:tplc="041B0003" w:tentative="1">
      <w:start w:val="1"/>
      <w:numFmt w:val="bullet"/>
      <w:lvlText w:val="o"/>
      <w:lvlJc w:val="left"/>
      <w:pPr>
        <w:ind w:left="5450" w:hanging="360"/>
      </w:pPr>
      <w:rPr>
        <w:rFonts w:ascii="Courier New" w:hAnsi="Courier New" w:hint="default"/>
      </w:rPr>
    </w:lvl>
    <w:lvl w:ilvl="8" w:tplc="041B0005" w:tentative="1">
      <w:start w:val="1"/>
      <w:numFmt w:val="bullet"/>
      <w:lvlText w:val=""/>
      <w:lvlJc w:val="left"/>
      <w:pPr>
        <w:ind w:left="6170" w:hanging="360"/>
      </w:pPr>
      <w:rPr>
        <w:rFonts w:ascii="Wingdings" w:hAnsi="Wingdings" w:hint="default"/>
      </w:rPr>
    </w:lvl>
  </w:abstractNum>
  <w:abstractNum w:abstractNumId="5" w15:restartNumberingAfterBreak="0">
    <w:nsid w:val="7C645C37"/>
    <w:multiLevelType w:val="hybridMultilevel"/>
    <w:tmpl w:val="35F080D8"/>
    <w:lvl w:ilvl="0" w:tplc="56FA3CDA">
      <w:start w:val="36"/>
      <w:numFmt w:val="decimal"/>
      <w:lvlText w:val="%1."/>
      <w:lvlJc w:val="left"/>
      <w:pPr>
        <w:tabs>
          <w:tab w:val="num" w:pos="720"/>
        </w:tabs>
        <w:ind w:left="720" w:hanging="360"/>
      </w:pPr>
      <w:rPr>
        <w:rFonts w:cs="Times New Roman"/>
      </w:rPr>
    </w:lvl>
    <w:lvl w:ilvl="1" w:tplc="54129866">
      <w:start w:val="1"/>
      <w:numFmt w:val="lowerLetter"/>
      <w:lvlText w:val="%2)"/>
      <w:lvlJc w:val="left"/>
      <w:pPr>
        <w:tabs>
          <w:tab w:val="num" w:pos="1440"/>
        </w:tabs>
        <w:ind w:left="1440" w:hanging="360"/>
      </w:pPr>
      <w:rPr>
        <w:rFonts w:ascii="Times New Roman" w:eastAsia="Times New Roman" w:hAnsi="Times New Roman"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num w:numId="1">
    <w:abstractNumId w:val="0"/>
  </w:num>
  <w:num w:numId="2">
    <w:abstractNumId w:val="3"/>
  </w:num>
  <w:num w:numId="3">
    <w:abstractNumId w:val="1"/>
  </w:num>
  <w:num w:numId="4">
    <w:abstractNumId w:val="4"/>
  </w:num>
  <w:num w:numId="5">
    <w:abstractNumId w:val="5"/>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zcxMjEGQiNLQ0tzAyUdpeDU4uLM/DyQAsNaAPC5SPwsAAAA"/>
  </w:docVars>
  <w:rsids>
    <w:rsidRoot w:val="00BE2399"/>
    <w:rsid w:val="00045086"/>
    <w:rsid w:val="00055641"/>
    <w:rsid w:val="00057603"/>
    <w:rsid w:val="000761CB"/>
    <w:rsid w:val="00082E79"/>
    <w:rsid w:val="000843A4"/>
    <w:rsid w:val="00090EA2"/>
    <w:rsid w:val="0009435F"/>
    <w:rsid w:val="000A35E6"/>
    <w:rsid w:val="000A6519"/>
    <w:rsid w:val="000B54AD"/>
    <w:rsid w:val="000B5E7A"/>
    <w:rsid w:val="000C493B"/>
    <w:rsid w:val="000F56B6"/>
    <w:rsid w:val="001264FB"/>
    <w:rsid w:val="00127F4B"/>
    <w:rsid w:val="00145931"/>
    <w:rsid w:val="00155991"/>
    <w:rsid w:val="0019318E"/>
    <w:rsid w:val="001B0FF5"/>
    <w:rsid w:val="001B22FF"/>
    <w:rsid w:val="001F103A"/>
    <w:rsid w:val="001F4D4E"/>
    <w:rsid w:val="002061AA"/>
    <w:rsid w:val="002063ED"/>
    <w:rsid w:val="002471FC"/>
    <w:rsid w:val="00260CC7"/>
    <w:rsid w:val="00277BE4"/>
    <w:rsid w:val="00281B1D"/>
    <w:rsid w:val="002A37C4"/>
    <w:rsid w:val="002B4561"/>
    <w:rsid w:val="00316A26"/>
    <w:rsid w:val="003175E8"/>
    <w:rsid w:val="003205C3"/>
    <w:rsid w:val="00350DC1"/>
    <w:rsid w:val="003527EB"/>
    <w:rsid w:val="00355B12"/>
    <w:rsid w:val="0037025A"/>
    <w:rsid w:val="00377B0D"/>
    <w:rsid w:val="003920F8"/>
    <w:rsid w:val="003A4F3F"/>
    <w:rsid w:val="003D2FCA"/>
    <w:rsid w:val="003E1AD9"/>
    <w:rsid w:val="003F46AF"/>
    <w:rsid w:val="00404741"/>
    <w:rsid w:val="00433D46"/>
    <w:rsid w:val="00446004"/>
    <w:rsid w:val="00463651"/>
    <w:rsid w:val="00482331"/>
    <w:rsid w:val="004C3D7A"/>
    <w:rsid w:val="004C5139"/>
    <w:rsid w:val="004D1400"/>
    <w:rsid w:val="00500013"/>
    <w:rsid w:val="00505E0A"/>
    <w:rsid w:val="0051761C"/>
    <w:rsid w:val="00526BCB"/>
    <w:rsid w:val="00535B17"/>
    <w:rsid w:val="00544392"/>
    <w:rsid w:val="005776A7"/>
    <w:rsid w:val="00587C8F"/>
    <w:rsid w:val="00595F40"/>
    <w:rsid w:val="005B0819"/>
    <w:rsid w:val="005B4EF1"/>
    <w:rsid w:val="005C0DF7"/>
    <w:rsid w:val="005C6C67"/>
    <w:rsid w:val="005D6D52"/>
    <w:rsid w:val="006213AF"/>
    <w:rsid w:val="006259CE"/>
    <w:rsid w:val="00630934"/>
    <w:rsid w:val="006351F6"/>
    <w:rsid w:val="00635F60"/>
    <w:rsid w:val="00680087"/>
    <w:rsid w:val="006864D9"/>
    <w:rsid w:val="00696D3E"/>
    <w:rsid w:val="006C15A1"/>
    <w:rsid w:val="006C25C6"/>
    <w:rsid w:val="006C74C4"/>
    <w:rsid w:val="006E26EC"/>
    <w:rsid w:val="00706D76"/>
    <w:rsid w:val="00711180"/>
    <w:rsid w:val="007270FB"/>
    <w:rsid w:val="0073149C"/>
    <w:rsid w:val="007453F7"/>
    <w:rsid w:val="00750A03"/>
    <w:rsid w:val="0076386C"/>
    <w:rsid w:val="0076645F"/>
    <w:rsid w:val="00766B03"/>
    <w:rsid w:val="00774679"/>
    <w:rsid w:val="00785942"/>
    <w:rsid w:val="00794C60"/>
    <w:rsid w:val="007C2246"/>
    <w:rsid w:val="007D4705"/>
    <w:rsid w:val="007F535E"/>
    <w:rsid w:val="008126BB"/>
    <w:rsid w:val="00851889"/>
    <w:rsid w:val="00866D63"/>
    <w:rsid w:val="00872B76"/>
    <w:rsid w:val="0089040E"/>
    <w:rsid w:val="008A7D9F"/>
    <w:rsid w:val="008C014A"/>
    <w:rsid w:val="008C7AAA"/>
    <w:rsid w:val="008D3514"/>
    <w:rsid w:val="008D7E9B"/>
    <w:rsid w:val="008E37A2"/>
    <w:rsid w:val="008F0400"/>
    <w:rsid w:val="00905CEF"/>
    <w:rsid w:val="0091278C"/>
    <w:rsid w:val="009144C1"/>
    <w:rsid w:val="009337B1"/>
    <w:rsid w:val="00936279"/>
    <w:rsid w:val="009425C3"/>
    <w:rsid w:val="00947904"/>
    <w:rsid w:val="00995168"/>
    <w:rsid w:val="009A1EA0"/>
    <w:rsid w:val="009C0174"/>
    <w:rsid w:val="009D10CE"/>
    <w:rsid w:val="009E363D"/>
    <w:rsid w:val="00A17B2E"/>
    <w:rsid w:val="00A246F7"/>
    <w:rsid w:val="00A34902"/>
    <w:rsid w:val="00A503B5"/>
    <w:rsid w:val="00A54DCA"/>
    <w:rsid w:val="00A82E11"/>
    <w:rsid w:val="00A8760C"/>
    <w:rsid w:val="00A9400B"/>
    <w:rsid w:val="00AA4BFC"/>
    <w:rsid w:val="00AF7F00"/>
    <w:rsid w:val="00B026AE"/>
    <w:rsid w:val="00B04BD0"/>
    <w:rsid w:val="00B14ECB"/>
    <w:rsid w:val="00B1528B"/>
    <w:rsid w:val="00B15AA7"/>
    <w:rsid w:val="00B2540E"/>
    <w:rsid w:val="00B27823"/>
    <w:rsid w:val="00B4147C"/>
    <w:rsid w:val="00B83154"/>
    <w:rsid w:val="00B86ECF"/>
    <w:rsid w:val="00B94948"/>
    <w:rsid w:val="00BB0EB0"/>
    <w:rsid w:val="00BB4A28"/>
    <w:rsid w:val="00BD39E2"/>
    <w:rsid w:val="00BE1434"/>
    <w:rsid w:val="00BE2399"/>
    <w:rsid w:val="00BE418B"/>
    <w:rsid w:val="00BF538E"/>
    <w:rsid w:val="00C01600"/>
    <w:rsid w:val="00C27F38"/>
    <w:rsid w:val="00C5445B"/>
    <w:rsid w:val="00C5793B"/>
    <w:rsid w:val="00C66CD7"/>
    <w:rsid w:val="00C8069D"/>
    <w:rsid w:val="00C87D0B"/>
    <w:rsid w:val="00C90AC6"/>
    <w:rsid w:val="00CC33BC"/>
    <w:rsid w:val="00CD71EC"/>
    <w:rsid w:val="00CF7915"/>
    <w:rsid w:val="00CF7CED"/>
    <w:rsid w:val="00D60773"/>
    <w:rsid w:val="00D768CD"/>
    <w:rsid w:val="00D83641"/>
    <w:rsid w:val="00D85EA2"/>
    <w:rsid w:val="00DA3104"/>
    <w:rsid w:val="00DC68C8"/>
    <w:rsid w:val="00DD51AB"/>
    <w:rsid w:val="00DE6B19"/>
    <w:rsid w:val="00DF7B06"/>
    <w:rsid w:val="00E14DDF"/>
    <w:rsid w:val="00E22B80"/>
    <w:rsid w:val="00E24535"/>
    <w:rsid w:val="00E64BD2"/>
    <w:rsid w:val="00EA1B5A"/>
    <w:rsid w:val="00EA3411"/>
    <w:rsid w:val="00EE7B5F"/>
    <w:rsid w:val="00EF0811"/>
    <w:rsid w:val="00EF4DB6"/>
    <w:rsid w:val="00EF5B40"/>
    <w:rsid w:val="00F1404E"/>
    <w:rsid w:val="00F17D4B"/>
    <w:rsid w:val="00F25E33"/>
    <w:rsid w:val="00F31928"/>
    <w:rsid w:val="00F33AC5"/>
    <w:rsid w:val="00F42969"/>
    <w:rsid w:val="00F5283D"/>
    <w:rsid w:val="00F52CE4"/>
    <w:rsid w:val="00F56ACD"/>
    <w:rsid w:val="00F763F4"/>
    <w:rsid w:val="00FC029C"/>
    <w:rsid w:val="00FD6032"/>
    <w:rsid w:val="00FD7D83"/>
    <w:rsid w:val="00FF1BFB"/>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37CC8-67A2-4FA1-9F1E-19A42E6B8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C5793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E2399"/>
    <w:pPr>
      <w:ind w:left="720"/>
      <w:contextualSpacing/>
    </w:pPr>
  </w:style>
  <w:style w:type="paragraph" w:styleId="Pta">
    <w:name w:val="footer"/>
    <w:basedOn w:val="Normlny"/>
    <w:link w:val="PtaChar"/>
    <w:uiPriority w:val="99"/>
    <w:unhideWhenUsed/>
    <w:rsid w:val="00A8760C"/>
    <w:pPr>
      <w:tabs>
        <w:tab w:val="center" w:pos="4536"/>
        <w:tab w:val="right" w:pos="9072"/>
      </w:tabs>
    </w:pPr>
  </w:style>
  <w:style w:type="character" w:customStyle="1" w:styleId="PtaChar">
    <w:name w:val="Päta Char"/>
    <w:basedOn w:val="Predvolenpsmoodseku"/>
    <w:link w:val="Pta"/>
    <w:uiPriority w:val="99"/>
    <w:rsid w:val="00A8760C"/>
  </w:style>
  <w:style w:type="character" w:styleId="slostrany">
    <w:name w:val="page number"/>
    <w:basedOn w:val="Predvolenpsmoodseku"/>
    <w:uiPriority w:val="99"/>
    <w:semiHidden/>
    <w:unhideWhenUsed/>
    <w:rsid w:val="00A8760C"/>
  </w:style>
  <w:style w:type="paragraph" w:styleId="Hlavika">
    <w:name w:val="header"/>
    <w:basedOn w:val="Normlny"/>
    <w:link w:val="HlavikaChar"/>
    <w:uiPriority w:val="99"/>
    <w:unhideWhenUsed/>
    <w:rsid w:val="00A8760C"/>
    <w:pPr>
      <w:tabs>
        <w:tab w:val="center" w:pos="4536"/>
        <w:tab w:val="right" w:pos="9072"/>
      </w:tabs>
    </w:pPr>
  </w:style>
  <w:style w:type="character" w:customStyle="1" w:styleId="HlavikaChar">
    <w:name w:val="Hlavička Char"/>
    <w:basedOn w:val="Predvolenpsmoodseku"/>
    <w:link w:val="Hlavika"/>
    <w:uiPriority w:val="99"/>
    <w:rsid w:val="00A8760C"/>
  </w:style>
  <w:style w:type="paragraph" w:styleId="Normlnywebov">
    <w:name w:val="Normal (Web)"/>
    <w:basedOn w:val="Normlny"/>
    <w:uiPriority w:val="99"/>
    <w:rsid w:val="004C5139"/>
    <w:pPr>
      <w:spacing w:before="100" w:beforeAutospacing="1" w:after="100" w:afterAutospacing="1"/>
    </w:pPr>
    <w:rPr>
      <w:rFonts w:ascii="Times New Roman" w:eastAsia="Times New Roman" w:hAnsi="Times New Roman" w:cs="Times New Roman"/>
      <w:lang w:eastAsia="sk-SK"/>
    </w:rPr>
  </w:style>
  <w:style w:type="character" w:styleId="Hypertextovprepojenie">
    <w:name w:val="Hyperlink"/>
    <w:basedOn w:val="Predvolenpsmoodseku"/>
    <w:uiPriority w:val="99"/>
    <w:unhideWhenUsed/>
    <w:rsid w:val="004C5139"/>
    <w:rPr>
      <w:rFonts w:cs="Times New Roman"/>
      <w:color w:val="0000FF"/>
      <w:u w:val="single"/>
    </w:rPr>
  </w:style>
  <w:style w:type="paragraph" w:customStyle="1" w:styleId="listparagraph">
    <w:name w:val="listparagraph"/>
    <w:basedOn w:val="Normlny"/>
    <w:uiPriority w:val="99"/>
    <w:rsid w:val="004C5139"/>
    <w:pPr>
      <w:spacing w:after="200" w:line="276" w:lineRule="auto"/>
      <w:ind w:left="720"/>
    </w:pPr>
    <w:rPr>
      <w:rFonts w:ascii="Calibri" w:eastAsia="Times New Roman" w:cstheme="minorHAnsi"/>
      <w:sz w:val="22"/>
      <w:szCs w:val="22"/>
    </w:rPr>
  </w:style>
  <w:style w:type="paragraph" w:styleId="Textbubliny">
    <w:name w:val="Balloon Text"/>
    <w:basedOn w:val="Normlny"/>
    <w:link w:val="TextbublinyChar"/>
    <w:uiPriority w:val="99"/>
    <w:semiHidden/>
    <w:unhideWhenUsed/>
    <w:rsid w:val="00706D76"/>
    <w:rPr>
      <w:rFonts w:ascii="Tahoma" w:hAnsi="Tahoma" w:cs="Tahoma"/>
      <w:sz w:val="16"/>
      <w:szCs w:val="16"/>
    </w:rPr>
  </w:style>
  <w:style w:type="character" w:customStyle="1" w:styleId="TextbublinyChar">
    <w:name w:val="Text bubliny Char"/>
    <w:basedOn w:val="Predvolenpsmoodseku"/>
    <w:link w:val="Textbubliny"/>
    <w:uiPriority w:val="99"/>
    <w:semiHidden/>
    <w:rsid w:val="00706D76"/>
    <w:rPr>
      <w:rFonts w:ascii="Tahoma" w:hAnsi="Tahoma" w:cs="Tahoma"/>
      <w:sz w:val="16"/>
      <w:szCs w:val="16"/>
    </w:rPr>
  </w:style>
  <w:style w:type="character" w:customStyle="1" w:styleId="h1a">
    <w:name w:val="h1a"/>
    <w:basedOn w:val="Predvolenpsmoodseku"/>
    <w:rsid w:val="00F14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099656">
      <w:bodyDiv w:val="1"/>
      <w:marLeft w:val="0"/>
      <w:marRight w:val="0"/>
      <w:marTop w:val="0"/>
      <w:marBottom w:val="0"/>
      <w:divBdr>
        <w:top w:val="none" w:sz="0" w:space="0" w:color="auto"/>
        <w:left w:val="none" w:sz="0" w:space="0" w:color="auto"/>
        <w:bottom w:val="none" w:sz="0" w:space="0" w:color="auto"/>
        <w:right w:val="none" w:sz="0" w:space="0" w:color="auto"/>
      </w:divBdr>
    </w:div>
    <w:div w:id="1009677431">
      <w:bodyDiv w:val="1"/>
      <w:marLeft w:val="0"/>
      <w:marRight w:val="0"/>
      <w:marTop w:val="0"/>
      <w:marBottom w:val="0"/>
      <w:divBdr>
        <w:top w:val="none" w:sz="0" w:space="0" w:color="auto"/>
        <w:left w:val="none" w:sz="0" w:space="0" w:color="auto"/>
        <w:bottom w:val="none" w:sz="0" w:space="0" w:color="auto"/>
        <w:right w:val="none" w:sz="0" w:space="0" w:color="auto"/>
      </w:divBdr>
    </w:div>
    <w:div w:id="191839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4FE6C-425B-4093-BD9D-2881043E7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844</Words>
  <Characters>4814</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Igor Tkačivský</cp:lastModifiedBy>
  <cp:revision>6</cp:revision>
  <dcterms:created xsi:type="dcterms:W3CDTF">2022-02-15T08:23:00Z</dcterms:created>
  <dcterms:modified xsi:type="dcterms:W3CDTF">2022-02-23T13:28:00Z</dcterms:modified>
</cp:coreProperties>
</file>