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CBAF" w14:textId="77777777" w:rsidR="0022739E" w:rsidRPr="0022739E" w:rsidRDefault="0022739E" w:rsidP="002273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sk-SK"/>
        </w:rPr>
      </w:pPr>
      <w:r w:rsidRPr="0022739E">
        <w:rPr>
          <w:rFonts w:ascii="Book Antiqua" w:hAnsi="Book Antiqua"/>
          <w:b/>
          <w:lang w:eastAsia="sk-SK"/>
        </w:rPr>
        <w:t>DOLOŽKA ZLUČITEĽNOSTI</w:t>
      </w:r>
    </w:p>
    <w:p w14:paraId="141CCAF6" w14:textId="77777777" w:rsidR="0022739E" w:rsidRPr="0022739E" w:rsidRDefault="0022739E" w:rsidP="0022739E">
      <w:pPr>
        <w:pBdr>
          <w:bottom w:val="single" w:sz="6" w:space="1" w:color="auto"/>
        </w:pBdr>
        <w:suppressAutoHyphens w:val="0"/>
        <w:spacing w:after="160" w:line="24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návrhu ústavného zákona </w:t>
      </w:r>
      <w:r w:rsidRPr="0022739E">
        <w:rPr>
          <w:rFonts w:ascii="Book Antiqua" w:eastAsia="Calibri" w:hAnsi="Book Antiqua"/>
          <w:b/>
          <w:bCs/>
          <w:lang w:eastAsia="en-US"/>
        </w:rPr>
        <w:t>s právom Európskej únie</w:t>
      </w:r>
    </w:p>
    <w:p w14:paraId="2FA2FB03" w14:textId="77777777" w:rsidR="0022739E" w:rsidRPr="0022739E" w:rsidRDefault="0022739E" w:rsidP="0022739E">
      <w:pPr>
        <w:suppressAutoHyphens w:val="0"/>
        <w:spacing w:after="160" w:line="240" w:lineRule="auto"/>
        <w:jc w:val="center"/>
        <w:rPr>
          <w:rFonts w:ascii="Book Antiqua" w:eastAsia="Calibri" w:hAnsi="Book Antiqua"/>
          <w:b/>
          <w:lang w:eastAsia="en-US"/>
        </w:rPr>
      </w:pPr>
    </w:p>
    <w:p w14:paraId="1A846C0C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Navrhovateľ ústavného zákona:</w:t>
      </w:r>
    </w:p>
    <w:p w14:paraId="6531C68C" w14:textId="63C3F770" w:rsidR="0022739E" w:rsidRPr="0022739E" w:rsidRDefault="0022739E" w:rsidP="0022739E">
      <w:pPr>
        <w:suppressAutoHyphens w:val="0"/>
        <w:spacing w:after="160" w:line="240" w:lineRule="auto"/>
        <w:ind w:firstLine="425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>Poslanci Národnej rady Slovenskej republiky</w:t>
      </w:r>
      <w:r w:rsidR="0020386E">
        <w:rPr>
          <w:rFonts w:ascii="Book Antiqua" w:eastAsia="Calibri" w:hAnsi="Book Antiqua"/>
          <w:lang w:eastAsia="en-US"/>
        </w:rPr>
        <w:t xml:space="preserve"> Marian Kotleba, Martin Beluský, Marek Kotleba a Peter Krupa.</w:t>
      </w:r>
    </w:p>
    <w:p w14:paraId="419ADFEC" w14:textId="77777777" w:rsidR="0022739E" w:rsidRPr="0022739E" w:rsidRDefault="0022739E" w:rsidP="0022739E">
      <w:pPr>
        <w:suppressAutoHyphens w:val="0"/>
        <w:spacing w:after="160" w:line="240" w:lineRule="auto"/>
        <w:jc w:val="both"/>
        <w:rPr>
          <w:rFonts w:ascii="Book Antiqua" w:eastAsia="Calibri" w:hAnsi="Book Antiqua"/>
          <w:b/>
          <w:lang w:eastAsia="en-US"/>
        </w:rPr>
      </w:pPr>
    </w:p>
    <w:p w14:paraId="5DB96EF3" w14:textId="77777777" w:rsid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Názov návrhu právneho predpisu: </w:t>
      </w:r>
    </w:p>
    <w:p w14:paraId="5BE7E3C6" w14:textId="70731959" w:rsidR="0022739E" w:rsidRPr="0022739E" w:rsidRDefault="0022739E" w:rsidP="0020386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Návrh zákona, </w:t>
      </w:r>
      <w:r w:rsidRPr="0022739E">
        <w:rPr>
          <w:rFonts w:ascii="Book Antiqua" w:eastAsia="Calibri" w:hAnsi="Book Antiqua"/>
          <w:bCs/>
          <w:lang w:eastAsia="en-US"/>
        </w:rPr>
        <w:t xml:space="preserve">ktorým sa mení a dopĺňa ústavný zákon </w:t>
      </w:r>
      <w:r w:rsidR="0020386E" w:rsidRPr="0020386E">
        <w:rPr>
          <w:rFonts w:ascii="Book Antiqua" w:eastAsia="Calibri" w:hAnsi="Book Antiqua"/>
          <w:bCs/>
          <w:lang w:eastAsia="en-US"/>
        </w:rPr>
        <w:t>č. 98/2004 Z. z. o spotrebnej dani z minerálneho oleja v znení neskorších predpisov a ktorým sa mení a dopĺňa zákon č. 222/2004 Z. z. o dani z pridanej hodnoty v znení neskorších predpisov</w:t>
      </w:r>
    </w:p>
    <w:p w14:paraId="6A1A103F" w14:textId="77777777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</w:p>
    <w:p w14:paraId="04EE419E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Predmet návrhu ústavného zákona je upravený v práve Európskej únie:</w:t>
      </w:r>
    </w:p>
    <w:p w14:paraId="5B3F6969" w14:textId="0824F8C0" w:rsidR="0020386E" w:rsidRPr="0020386E" w:rsidRDefault="0020386E" w:rsidP="0020386E">
      <w:pPr>
        <w:pStyle w:val="Odsekzoznamu"/>
        <w:numPr>
          <w:ilvl w:val="1"/>
          <w:numId w:val="9"/>
        </w:numPr>
        <w:suppressAutoHyphens w:val="0"/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20386E">
        <w:rPr>
          <w:rFonts w:ascii="Times New Roman" w:hAnsi="Times New Roman"/>
          <w:sz w:val="24"/>
          <w:szCs w:val="24"/>
          <w:lang w:eastAsia="cs-CZ"/>
        </w:rPr>
        <w:t>nie je upravený v primárnom práve Európskej únie.</w:t>
      </w:r>
    </w:p>
    <w:p w14:paraId="2ABBC51A" w14:textId="77777777" w:rsidR="0020386E" w:rsidRPr="0020386E" w:rsidRDefault="0020386E" w:rsidP="0020386E">
      <w:pPr>
        <w:pStyle w:val="Odsekzoznamu"/>
        <w:numPr>
          <w:ilvl w:val="1"/>
          <w:numId w:val="9"/>
        </w:numPr>
        <w:suppressAutoHyphens w:val="0"/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20386E">
        <w:rPr>
          <w:rFonts w:ascii="Times New Roman" w:hAnsi="Times New Roman"/>
          <w:sz w:val="24"/>
          <w:szCs w:val="24"/>
          <w:lang w:eastAsia="cs-CZ"/>
        </w:rPr>
        <w:t>nie je upravený v sekundárnom práve Európskej únie.</w:t>
      </w:r>
    </w:p>
    <w:p w14:paraId="008535C4" w14:textId="77777777" w:rsidR="0020386E" w:rsidRPr="0020386E" w:rsidRDefault="0020386E" w:rsidP="0020386E">
      <w:pPr>
        <w:pStyle w:val="Odsekzoznamu"/>
        <w:numPr>
          <w:ilvl w:val="1"/>
          <w:numId w:val="9"/>
        </w:numPr>
        <w:suppressAutoHyphens w:val="0"/>
        <w:spacing w:before="120" w:after="120"/>
        <w:rPr>
          <w:rFonts w:ascii="Times New Roman" w:hAnsi="Times New Roman"/>
          <w:sz w:val="24"/>
          <w:szCs w:val="24"/>
          <w:lang w:eastAsia="cs-CZ"/>
        </w:rPr>
      </w:pPr>
      <w:r w:rsidRPr="0020386E">
        <w:rPr>
          <w:rFonts w:ascii="Times New Roman" w:hAnsi="Times New Roman"/>
          <w:sz w:val="24"/>
          <w:szCs w:val="24"/>
          <w:lang w:eastAsia="cs-CZ"/>
        </w:rPr>
        <w:t>nie je obsiahnutý v judikatúre Súdneho dvora Európskej únie.</w:t>
      </w:r>
    </w:p>
    <w:p w14:paraId="116C3FFA" w14:textId="77777777" w:rsidR="0020386E" w:rsidRPr="0020386E" w:rsidRDefault="0020386E" w:rsidP="0020386E">
      <w:pPr>
        <w:suppressAutoHyphens w:val="0"/>
        <w:spacing w:before="120" w:after="120" w:line="240" w:lineRule="auto"/>
        <w:ind w:left="357"/>
        <w:rPr>
          <w:rFonts w:ascii="Times New Roman" w:hAnsi="Times New Roman"/>
          <w:sz w:val="24"/>
          <w:szCs w:val="24"/>
          <w:lang w:eastAsia="cs-CZ"/>
        </w:rPr>
      </w:pPr>
    </w:p>
    <w:p w14:paraId="00DF0DE7" w14:textId="77777777" w:rsidR="0020386E" w:rsidRPr="0020386E" w:rsidRDefault="0020386E" w:rsidP="0020386E">
      <w:pPr>
        <w:suppressAutoHyphens w:val="0"/>
        <w:spacing w:before="120" w:after="12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20386E">
        <w:rPr>
          <w:rFonts w:ascii="Times New Roman" w:hAnsi="Times New Roman"/>
          <w:sz w:val="24"/>
          <w:szCs w:val="24"/>
          <w:lang w:eastAsia="cs-CZ"/>
        </w:rPr>
        <w:t>Vyjadrenie k bodom 4. a 5. je irelevantné, keďže predmet návrhu zákona nie je upravený v práve Európskej únie.</w:t>
      </w:r>
    </w:p>
    <w:p w14:paraId="5678B52C" w14:textId="1FA01481" w:rsidR="00C5238B" w:rsidRPr="0022739E" w:rsidRDefault="00C5238B" w:rsidP="0020386E">
      <w:pPr>
        <w:suppressAutoHyphens w:val="0"/>
        <w:spacing w:before="120" w:after="120" w:line="240" w:lineRule="auto"/>
        <w:ind w:left="357"/>
        <w:rPr>
          <w:rFonts w:ascii="Book Antiqua" w:hAnsi="Book Antiqua"/>
        </w:rPr>
      </w:pPr>
      <w:r w:rsidRPr="0022739E">
        <w:rPr>
          <w:rFonts w:ascii="Book Antiqua" w:hAnsi="Book Antiqua" w:cs="Arial"/>
        </w:rPr>
        <w:br w:type="page"/>
      </w:r>
      <w:r w:rsidRPr="0022739E">
        <w:rPr>
          <w:rFonts w:ascii="Book Antiqua" w:hAnsi="Book Antiqua"/>
          <w:b/>
          <w:bCs/>
        </w:rPr>
        <w:lastRenderedPageBreak/>
        <w:t>Doložka vybraných vplyvov</w:t>
      </w:r>
    </w:p>
    <w:p w14:paraId="6FCB3B96" w14:textId="77777777" w:rsidR="00C5238B" w:rsidRPr="0022739E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62B9EB3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 </w:t>
      </w:r>
    </w:p>
    <w:p w14:paraId="2AB60AA9" w14:textId="09DE5DCB" w:rsidR="00F60728" w:rsidRPr="0022739E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22739E">
        <w:rPr>
          <w:rFonts w:ascii="Book Antiqua" w:hAnsi="Book Antiqua"/>
          <w:b/>
          <w:bCs/>
        </w:rPr>
        <w:t xml:space="preserve">A.1. Názov materiálu: </w:t>
      </w:r>
      <w:r w:rsidR="000D06D8" w:rsidRPr="000D06D8">
        <w:rPr>
          <w:rFonts w:ascii="Book Antiqua" w:hAnsi="Book Antiqua"/>
        </w:rPr>
        <w:t xml:space="preserve">Návrh zákona, </w:t>
      </w:r>
      <w:r w:rsidR="008406D1" w:rsidRPr="008406D1">
        <w:rPr>
          <w:rFonts w:ascii="Book Antiqua" w:hAnsi="Book Antiqua"/>
        </w:rPr>
        <w:t xml:space="preserve">ktorým sa mení a dopĺňa ústavný zákon </w:t>
      </w:r>
      <w:r w:rsidR="0020386E" w:rsidRPr="0020386E">
        <w:rPr>
          <w:rFonts w:ascii="Book Antiqua" w:hAnsi="Book Antiqua"/>
        </w:rPr>
        <w:t>č. 98/2004 Z. z. o spotrebnej dani z minerálneho oleja v znení neskorších predpisov a ktorým sa mení a dopĺňa zákon č. 222/2004 Z. z. o dani z pridanej hodnoty v znení neskorších predpisov</w:t>
      </w:r>
      <w:r w:rsidR="0020386E">
        <w:rPr>
          <w:rFonts w:ascii="Book Antiqua" w:hAnsi="Book Antiqua"/>
        </w:rPr>
        <w:t>.</w:t>
      </w:r>
    </w:p>
    <w:p w14:paraId="0EA69952" w14:textId="48A63117" w:rsidR="00AC7ABD" w:rsidRPr="0022739E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8548A06" w14:textId="77777777" w:rsidR="00AC7ABD" w:rsidRPr="0022739E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E3FDA9A" w14:textId="49CEA83E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22739E">
        <w:rPr>
          <w:rFonts w:ascii="Book Antiqua" w:hAnsi="Book Antiqua"/>
          <w:bCs/>
          <w:sz w:val="22"/>
          <w:szCs w:val="22"/>
        </w:rPr>
        <w:t>bezpredmetné</w:t>
      </w:r>
    </w:p>
    <w:p w14:paraId="02B2184C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5AC0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9C89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A.2. Vplyvy:</w:t>
      </w:r>
    </w:p>
    <w:p w14:paraId="6158A53E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22739E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Negatívne</w:t>
            </w:r>
          </w:p>
        </w:tc>
      </w:tr>
      <w:tr w:rsidR="00C5238B" w:rsidRPr="0022739E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2B43BF48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05BE57AC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32C0D8A3" w:rsidR="00C5238B" w:rsidRPr="0022739E" w:rsidRDefault="0020386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R="00C5238B" w:rsidRPr="0022739E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22739E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2BD1F01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22739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2739E">
              <w:rPr>
                <w:rFonts w:ascii="Book Antiqua" w:hAnsi="Book Antiqua"/>
                <w:sz w:val="22"/>
                <w:szCs w:val="22"/>
              </w:rPr>
              <w:t xml:space="preserve">sociálnu </w:t>
            </w:r>
            <w:proofErr w:type="spellStart"/>
            <w:r w:rsidRPr="0022739E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22739E">
              <w:rPr>
                <w:rFonts w:ascii="Book Antiqua" w:hAnsi="Book Antiqua"/>
                <w:sz w:val="22"/>
                <w:szCs w:val="22"/>
              </w:rPr>
              <w:t>,</w:t>
            </w:r>
          </w:p>
          <w:p w14:paraId="2FF449EB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011F97E1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03E4BB55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681BDA09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8F35696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0724" w:rsidRPr="0022739E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2F90688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2A4DA6DD" w:rsidR="007C0724" w:rsidRPr="0022739E" w:rsidRDefault="000D06D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B726135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9630F91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8592DA8" w14:textId="434500DB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83705E1" w14:textId="38D6353A" w:rsidR="000D06D8" w:rsidRDefault="008406D1" w:rsidP="000D06D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Návrh </w:t>
      </w:r>
      <w:r w:rsid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má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 </w:t>
      </w:r>
      <w:r w:rsidR="0020386E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negatívny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vplyv na rozpočet verejnej správy,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žiadny vplyv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na podnikateľské prostredie, na informatizáciu spoločnosti, sociálne vplyvy, vplyvy na životné prostredie, na služby verejnej správy pre občana a na manželstvo, rodičovstvo a rodinu.</w:t>
      </w:r>
    </w:p>
    <w:p w14:paraId="41CF94E1" w14:textId="77777777" w:rsidR="000D06D8" w:rsidRDefault="000D06D8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</w:p>
    <w:p w14:paraId="1FC471DD" w14:textId="7E1D36E3" w:rsidR="00C5238B" w:rsidRPr="0022739E" w:rsidRDefault="00C5238B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E50F863" w14:textId="77777777" w:rsidR="00C5238B" w:rsidRPr="0022739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355C449" w14:textId="77777777" w:rsidR="00C5238B" w:rsidRPr="0022739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22739E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nie je možné použiť iné riešenie, </w:t>
      </w:r>
      <w:r w:rsidR="004B2BFE" w:rsidRPr="0022739E">
        <w:rPr>
          <w:rFonts w:ascii="Book Antiqua" w:hAnsi="Book Antiqua"/>
          <w:color w:val="000000" w:themeColor="text1"/>
          <w:sz w:val="22"/>
          <w:szCs w:val="22"/>
        </w:rPr>
        <w:br/>
      </w:r>
      <w:r w:rsidRPr="0022739E">
        <w:rPr>
          <w:rFonts w:ascii="Book Antiqua" w:hAnsi="Book Antiqua"/>
          <w:color w:val="000000" w:themeColor="text1"/>
          <w:sz w:val="22"/>
          <w:szCs w:val="22"/>
        </w:rPr>
        <w:t>než je predložené.</w:t>
      </w:r>
    </w:p>
    <w:p w14:paraId="5C57E196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327612C2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76BA5917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13BEEE1E" w14:textId="2DA4C917" w:rsidR="004B2BFE" w:rsidRPr="0022739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Cs/>
          <w:sz w:val="22"/>
          <w:szCs w:val="22"/>
        </w:rPr>
        <w:t>Návrh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22739E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zákona.</w:t>
      </w:r>
    </w:p>
    <w:sectPr w:rsidR="004B2BFE" w:rsidRPr="0022739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" w15:restartNumberingAfterBreak="0">
    <w:nsid w:val="20157C28"/>
    <w:multiLevelType w:val="hybridMultilevel"/>
    <w:tmpl w:val="B01EDA46"/>
    <w:lvl w:ilvl="0" w:tplc="63FA039C">
      <w:start w:val="3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0C72"/>
    <w:rsid w:val="00024802"/>
    <w:rsid w:val="000944BB"/>
    <w:rsid w:val="000B2FAE"/>
    <w:rsid w:val="000C156B"/>
    <w:rsid w:val="000C47C6"/>
    <w:rsid w:val="000D06D8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386E"/>
    <w:rsid w:val="00205740"/>
    <w:rsid w:val="0022739E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06D1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BC5B96"/>
    <w:rsid w:val="00C46AE6"/>
    <w:rsid w:val="00C5238B"/>
    <w:rsid w:val="00C662F5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2283B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39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2739E"/>
    <w:rPr>
      <w:rFonts w:ascii="Calibri" w:hAnsi="Calibri" w:cs="Times New Roman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28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283B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3217-4907-4269-A972-2A56498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33</cp:revision>
  <cp:lastPrinted>2021-08-30T09:48:00Z</cp:lastPrinted>
  <dcterms:created xsi:type="dcterms:W3CDTF">2018-12-30T17:49:00Z</dcterms:created>
  <dcterms:modified xsi:type="dcterms:W3CDTF">2022-02-18T07:48:00Z</dcterms:modified>
</cp:coreProperties>
</file>