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941"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5754"/>
        <w:gridCol w:w="1134"/>
        <w:gridCol w:w="22"/>
        <w:gridCol w:w="851"/>
        <w:gridCol w:w="850"/>
        <w:gridCol w:w="3380"/>
        <w:gridCol w:w="1134"/>
        <w:gridCol w:w="1134"/>
      </w:tblGrid>
      <w:tr w:rsidR="00E80B0A" w:rsidRPr="00012F6A" w:rsidTr="0036458B">
        <w:tc>
          <w:tcPr>
            <w:tcW w:w="14941" w:type="dxa"/>
            <w:gridSpan w:val="9"/>
            <w:tcBorders>
              <w:top w:val="single" w:sz="12" w:space="0" w:color="auto"/>
              <w:left w:val="single" w:sz="12" w:space="0" w:color="auto"/>
              <w:bottom w:val="single" w:sz="4" w:space="0" w:color="auto"/>
              <w:right w:val="single" w:sz="12" w:space="0" w:color="auto"/>
            </w:tcBorders>
          </w:tcPr>
          <w:p w:rsidR="00E80B0A" w:rsidRPr="001C4E6F" w:rsidRDefault="00E80B0A" w:rsidP="0036458B">
            <w:pPr>
              <w:pStyle w:val="Nadpis1"/>
              <w:numPr>
                <w:ilvl w:val="0"/>
                <w:numId w:val="0"/>
              </w:numPr>
              <w:ind w:left="567"/>
              <w:rPr>
                <w:sz w:val="20"/>
              </w:rPr>
            </w:pPr>
            <w:bookmarkStart w:id="0" w:name="_GoBack"/>
            <w:bookmarkEnd w:id="0"/>
            <w:r w:rsidRPr="001C4E6F">
              <w:rPr>
                <w:sz w:val="20"/>
              </w:rPr>
              <w:t>TABUĽKA  ZHODY</w:t>
            </w:r>
          </w:p>
          <w:p w:rsidR="00E80B0A" w:rsidRPr="001C4E6F" w:rsidRDefault="00E80B0A" w:rsidP="0036458B">
            <w:pPr>
              <w:pStyle w:val="Zkladntext"/>
              <w:jc w:val="center"/>
              <w:rPr>
                <w:b/>
                <w:bCs/>
                <w:sz w:val="20"/>
                <w:szCs w:val="20"/>
              </w:rPr>
            </w:pPr>
            <w:r w:rsidRPr="001C4E6F">
              <w:rPr>
                <w:b/>
                <w:sz w:val="20"/>
                <w:szCs w:val="20"/>
              </w:rPr>
              <w:t>k návrhu právneho predpisu s právom Európskej únie</w:t>
            </w:r>
          </w:p>
        </w:tc>
      </w:tr>
      <w:tr w:rsidR="00E80B0A" w:rsidRPr="00012F6A" w:rsidTr="0036458B">
        <w:trPr>
          <w:trHeight w:val="567"/>
        </w:trPr>
        <w:tc>
          <w:tcPr>
            <w:tcW w:w="7570" w:type="dxa"/>
            <w:gridSpan w:val="3"/>
            <w:tcBorders>
              <w:top w:val="single" w:sz="4" w:space="0" w:color="auto"/>
              <w:left w:val="single" w:sz="12" w:space="0" w:color="auto"/>
              <w:bottom w:val="single" w:sz="4" w:space="0" w:color="auto"/>
              <w:right w:val="single" w:sz="12" w:space="0" w:color="auto"/>
            </w:tcBorders>
          </w:tcPr>
          <w:p w:rsidR="00E80B0A" w:rsidRPr="001C4E6F" w:rsidRDefault="00E80B0A" w:rsidP="0036458B">
            <w:pPr>
              <w:pStyle w:val="Nadpis4"/>
              <w:spacing w:before="120"/>
              <w:rPr>
                <w:sz w:val="20"/>
                <w:szCs w:val="20"/>
              </w:rPr>
            </w:pPr>
            <w:r w:rsidRPr="001C4E6F">
              <w:rPr>
                <w:sz w:val="20"/>
                <w:szCs w:val="20"/>
              </w:rPr>
              <w:t>Smernica EÚ</w:t>
            </w:r>
          </w:p>
          <w:p w:rsidR="00E80B0A" w:rsidRPr="001C4E6F" w:rsidRDefault="00E80B0A" w:rsidP="0036458B">
            <w:pPr>
              <w:pStyle w:val="Zkladntext3"/>
              <w:rPr>
                <w:b/>
                <w:bCs/>
                <w:color w:val="000000"/>
                <w:sz w:val="20"/>
                <w:szCs w:val="20"/>
              </w:rPr>
            </w:pPr>
          </w:p>
          <w:p w:rsidR="00E80B0A" w:rsidRPr="001C4E6F" w:rsidRDefault="00E80B0A" w:rsidP="0036458B">
            <w:pPr>
              <w:pStyle w:val="Zkladntext3"/>
              <w:spacing w:line="240" w:lineRule="exact"/>
              <w:rPr>
                <w:b/>
                <w:bCs/>
                <w:color w:val="000000"/>
                <w:sz w:val="20"/>
                <w:szCs w:val="20"/>
              </w:rPr>
            </w:pPr>
            <w:r w:rsidRPr="001C4E6F">
              <w:rPr>
                <w:b/>
                <w:bCs/>
                <w:color w:val="000000"/>
                <w:sz w:val="20"/>
                <w:szCs w:val="20"/>
              </w:rPr>
              <w:t xml:space="preserve"> SMERNICA EURÓPSKEHO PARLAMENTU A RADY </w:t>
            </w:r>
            <w:r w:rsidRPr="001C4E6F">
              <w:rPr>
                <w:b/>
                <w:bCs/>
                <w:color w:val="000000"/>
                <w:sz w:val="20"/>
                <w:szCs w:val="20"/>
                <w:u w:val="single"/>
              </w:rPr>
              <w:t>2013/34/EÚ</w:t>
            </w:r>
            <w:r w:rsidRPr="001C4E6F">
              <w:rPr>
                <w:b/>
                <w:bCs/>
                <w:color w:val="000000"/>
                <w:sz w:val="20"/>
                <w:szCs w:val="20"/>
              </w:rPr>
              <w:t xml:space="preserve"> </w:t>
            </w:r>
          </w:p>
          <w:p w:rsidR="00E80B0A" w:rsidRPr="001C4E6F" w:rsidRDefault="00E80B0A" w:rsidP="0036458B">
            <w:pPr>
              <w:pStyle w:val="Zkladntext3"/>
              <w:rPr>
                <w:sz w:val="20"/>
                <w:szCs w:val="20"/>
              </w:rPr>
            </w:pPr>
            <w:r w:rsidRPr="001C4E6F">
              <w:rPr>
                <w:b/>
                <w:bCs/>
                <w:color w:val="000000"/>
                <w:sz w:val="20"/>
                <w:szCs w:val="20"/>
              </w:rPr>
              <w:t>z 26. júna 2013 o ročných účtovných závierkach, konsolidovaných účtovných závierkach a súvisiacich správach určitých druhov podnikov, ktorou sa mení smernica Európskeho parlamentu a Rady 2006/43/ES a zrušujú smernice Rady 78/660/EHS a 83/349/EHS (Ú. v. EÚ L 182, 29.6.2013)</w:t>
            </w:r>
          </w:p>
        </w:tc>
        <w:tc>
          <w:tcPr>
            <w:tcW w:w="7371" w:type="dxa"/>
            <w:gridSpan w:val="6"/>
            <w:tcBorders>
              <w:top w:val="single" w:sz="4" w:space="0" w:color="auto"/>
              <w:left w:val="nil"/>
              <w:bottom w:val="single" w:sz="4" w:space="0" w:color="auto"/>
              <w:right w:val="single" w:sz="12" w:space="0" w:color="auto"/>
            </w:tcBorders>
          </w:tcPr>
          <w:p w:rsidR="00E80B0A" w:rsidRPr="001C4E6F" w:rsidRDefault="00E80B0A" w:rsidP="0036458B">
            <w:pPr>
              <w:pStyle w:val="Nadpis4"/>
              <w:spacing w:before="120"/>
              <w:rPr>
                <w:sz w:val="20"/>
                <w:szCs w:val="20"/>
              </w:rPr>
            </w:pPr>
            <w:r w:rsidRPr="001C4E6F">
              <w:rPr>
                <w:sz w:val="20"/>
                <w:szCs w:val="20"/>
              </w:rPr>
              <w:t>Právne predpisy Slovenskej republiky</w:t>
            </w:r>
          </w:p>
          <w:p w:rsidR="00E80B0A" w:rsidRPr="001C4E6F" w:rsidRDefault="00E80B0A" w:rsidP="0036458B">
            <w:pPr>
              <w:rPr>
                <w:sz w:val="20"/>
                <w:szCs w:val="20"/>
              </w:rPr>
            </w:pPr>
          </w:p>
          <w:p w:rsidR="00E80B0A" w:rsidRPr="001C4E6F" w:rsidRDefault="00E80B0A" w:rsidP="0036458B">
            <w:pPr>
              <w:pStyle w:val="Zkladntext"/>
              <w:jc w:val="both"/>
              <w:rPr>
                <w:b/>
                <w:sz w:val="20"/>
                <w:szCs w:val="20"/>
              </w:rPr>
            </w:pPr>
            <w:r w:rsidRPr="001C4E6F">
              <w:rPr>
                <w:b/>
                <w:sz w:val="20"/>
                <w:szCs w:val="20"/>
              </w:rPr>
              <w:t>Návrh zákona, ktorým sa menia a dopĺňajú niektoré zákony v súvislosti so zlepšovaním podnikateľského prostredia     (ďalej „návrh“)</w:t>
            </w:r>
          </w:p>
          <w:p w:rsidR="00E80B0A" w:rsidRPr="001C4E6F" w:rsidRDefault="00E80B0A" w:rsidP="0036458B">
            <w:pPr>
              <w:pStyle w:val="Zkladntext"/>
              <w:jc w:val="both"/>
              <w:rPr>
                <w:sz w:val="20"/>
                <w:szCs w:val="20"/>
              </w:rPr>
            </w:pPr>
            <w:r w:rsidRPr="001C4E6F">
              <w:rPr>
                <w:sz w:val="20"/>
                <w:szCs w:val="20"/>
              </w:rPr>
              <w:t>Zákon č. 431/2002 Z. z. o účtovníctve v znení neskorších predpisov (ďalej „431/2002“)</w:t>
            </w:r>
          </w:p>
          <w:p w:rsidR="00E80B0A" w:rsidRPr="001C4E6F" w:rsidRDefault="00E80B0A" w:rsidP="0036458B">
            <w:pPr>
              <w:pStyle w:val="Zkladntext"/>
              <w:jc w:val="both"/>
              <w:rPr>
                <w:b/>
                <w:sz w:val="20"/>
                <w:szCs w:val="20"/>
              </w:rPr>
            </w:pPr>
          </w:p>
        </w:tc>
      </w:tr>
      <w:tr w:rsidR="00E80B0A" w:rsidRPr="00012F6A" w:rsidTr="0036458B">
        <w:tc>
          <w:tcPr>
            <w:tcW w:w="682" w:type="dxa"/>
            <w:tcBorders>
              <w:top w:val="single" w:sz="4" w:space="0" w:color="auto"/>
              <w:left w:val="single" w:sz="12" w:space="0" w:color="auto"/>
              <w:bottom w:val="single" w:sz="4" w:space="0" w:color="auto"/>
              <w:right w:val="single" w:sz="4" w:space="0" w:color="auto"/>
            </w:tcBorders>
          </w:tcPr>
          <w:p w:rsidR="00E80B0A" w:rsidRPr="001C4E6F" w:rsidRDefault="00E80B0A" w:rsidP="0036458B">
            <w:pPr>
              <w:jc w:val="center"/>
              <w:rPr>
                <w:sz w:val="20"/>
                <w:szCs w:val="20"/>
              </w:rPr>
            </w:pPr>
            <w:r w:rsidRPr="001C4E6F">
              <w:rPr>
                <w:sz w:val="20"/>
                <w:szCs w:val="20"/>
              </w:rPr>
              <w:t>1</w:t>
            </w:r>
          </w:p>
        </w:tc>
        <w:tc>
          <w:tcPr>
            <w:tcW w:w="5754" w:type="dxa"/>
            <w:tcBorders>
              <w:top w:val="single" w:sz="4" w:space="0" w:color="auto"/>
              <w:left w:val="single" w:sz="4" w:space="0" w:color="auto"/>
              <w:bottom w:val="single" w:sz="4" w:space="0" w:color="auto"/>
              <w:right w:val="single" w:sz="4" w:space="0" w:color="auto"/>
            </w:tcBorders>
          </w:tcPr>
          <w:p w:rsidR="00E80B0A" w:rsidRPr="001C4E6F" w:rsidRDefault="00E80B0A" w:rsidP="0036458B">
            <w:pPr>
              <w:jc w:val="center"/>
              <w:rPr>
                <w:sz w:val="20"/>
                <w:szCs w:val="20"/>
              </w:rPr>
            </w:pPr>
            <w:r w:rsidRPr="001C4E6F">
              <w:rPr>
                <w:sz w:val="20"/>
                <w:szCs w:val="20"/>
              </w:rPr>
              <w:t>2</w:t>
            </w:r>
          </w:p>
        </w:tc>
        <w:tc>
          <w:tcPr>
            <w:tcW w:w="1156" w:type="dxa"/>
            <w:gridSpan w:val="2"/>
            <w:tcBorders>
              <w:top w:val="single" w:sz="4" w:space="0" w:color="auto"/>
              <w:left w:val="single" w:sz="4" w:space="0" w:color="auto"/>
              <w:bottom w:val="single" w:sz="4" w:space="0" w:color="auto"/>
              <w:right w:val="single" w:sz="12" w:space="0" w:color="auto"/>
            </w:tcBorders>
          </w:tcPr>
          <w:p w:rsidR="00E80B0A" w:rsidRPr="001C4E6F" w:rsidRDefault="00E80B0A" w:rsidP="0036458B">
            <w:pPr>
              <w:jc w:val="center"/>
              <w:rPr>
                <w:sz w:val="20"/>
                <w:szCs w:val="20"/>
              </w:rPr>
            </w:pPr>
            <w:r w:rsidRPr="001C4E6F">
              <w:rPr>
                <w:sz w:val="20"/>
                <w:szCs w:val="20"/>
              </w:rPr>
              <w:t>3</w:t>
            </w:r>
          </w:p>
        </w:tc>
        <w:tc>
          <w:tcPr>
            <w:tcW w:w="851" w:type="dxa"/>
            <w:tcBorders>
              <w:top w:val="single" w:sz="4" w:space="0" w:color="auto"/>
              <w:left w:val="nil"/>
              <w:bottom w:val="single" w:sz="4" w:space="0" w:color="auto"/>
              <w:right w:val="single" w:sz="4" w:space="0" w:color="auto"/>
            </w:tcBorders>
          </w:tcPr>
          <w:p w:rsidR="00E80B0A" w:rsidRPr="001C4E6F" w:rsidRDefault="00E80B0A" w:rsidP="0036458B">
            <w:pPr>
              <w:jc w:val="center"/>
              <w:rPr>
                <w:sz w:val="20"/>
                <w:szCs w:val="20"/>
              </w:rPr>
            </w:pPr>
            <w:r w:rsidRPr="001C4E6F">
              <w:rPr>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E80B0A" w:rsidRPr="001C4E6F" w:rsidRDefault="00E80B0A" w:rsidP="0036458B">
            <w:pPr>
              <w:pStyle w:val="Zkladntext2"/>
              <w:rPr>
                <w:sz w:val="20"/>
                <w:szCs w:val="20"/>
              </w:rPr>
            </w:pPr>
            <w:r w:rsidRPr="001C4E6F">
              <w:rPr>
                <w:sz w:val="20"/>
                <w:szCs w:val="20"/>
              </w:rPr>
              <w:t>5</w:t>
            </w:r>
          </w:p>
        </w:tc>
        <w:tc>
          <w:tcPr>
            <w:tcW w:w="3380" w:type="dxa"/>
            <w:tcBorders>
              <w:top w:val="single" w:sz="4" w:space="0" w:color="auto"/>
              <w:left w:val="single" w:sz="4" w:space="0" w:color="auto"/>
              <w:bottom w:val="single" w:sz="4" w:space="0" w:color="auto"/>
              <w:right w:val="single" w:sz="4" w:space="0" w:color="auto"/>
            </w:tcBorders>
          </w:tcPr>
          <w:p w:rsidR="00E80B0A" w:rsidRPr="001C4E6F" w:rsidRDefault="00E80B0A" w:rsidP="0036458B">
            <w:pPr>
              <w:pStyle w:val="Zkladntext2"/>
              <w:rPr>
                <w:sz w:val="20"/>
                <w:szCs w:val="20"/>
              </w:rPr>
            </w:pPr>
            <w:r w:rsidRPr="001C4E6F">
              <w:rPr>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E80B0A" w:rsidRPr="001C4E6F" w:rsidRDefault="00E80B0A" w:rsidP="0036458B">
            <w:pPr>
              <w:jc w:val="center"/>
              <w:rPr>
                <w:sz w:val="20"/>
                <w:szCs w:val="20"/>
              </w:rPr>
            </w:pPr>
            <w:r w:rsidRPr="001C4E6F">
              <w:rPr>
                <w:sz w:val="20"/>
                <w:szCs w:val="20"/>
              </w:rPr>
              <w:t>7</w:t>
            </w:r>
          </w:p>
        </w:tc>
        <w:tc>
          <w:tcPr>
            <w:tcW w:w="1134" w:type="dxa"/>
            <w:tcBorders>
              <w:top w:val="single" w:sz="4" w:space="0" w:color="auto"/>
              <w:left w:val="single" w:sz="4" w:space="0" w:color="auto"/>
              <w:bottom w:val="single" w:sz="4" w:space="0" w:color="auto"/>
              <w:right w:val="single" w:sz="12" w:space="0" w:color="auto"/>
            </w:tcBorders>
          </w:tcPr>
          <w:p w:rsidR="00E80B0A" w:rsidRPr="001C4E6F" w:rsidRDefault="00E80B0A" w:rsidP="0036458B">
            <w:pPr>
              <w:jc w:val="center"/>
              <w:rPr>
                <w:sz w:val="20"/>
                <w:szCs w:val="20"/>
              </w:rPr>
            </w:pPr>
            <w:r w:rsidRPr="001C4E6F">
              <w:rPr>
                <w:sz w:val="20"/>
                <w:szCs w:val="20"/>
              </w:rPr>
              <w:t>8</w:t>
            </w:r>
          </w:p>
        </w:tc>
      </w:tr>
      <w:tr w:rsidR="00E80B0A" w:rsidRPr="00012F6A" w:rsidTr="0036458B">
        <w:tc>
          <w:tcPr>
            <w:tcW w:w="682" w:type="dxa"/>
            <w:tcBorders>
              <w:top w:val="single" w:sz="4" w:space="0" w:color="auto"/>
              <w:left w:val="single" w:sz="12" w:space="0" w:color="auto"/>
              <w:bottom w:val="single" w:sz="4" w:space="0" w:color="auto"/>
              <w:right w:val="single" w:sz="4" w:space="0" w:color="auto"/>
            </w:tcBorders>
          </w:tcPr>
          <w:p w:rsidR="00E80B0A" w:rsidRPr="001C4E6F" w:rsidRDefault="00E80B0A" w:rsidP="0036458B">
            <w:pPr>
              <w:pStyle w:val="Normlny0"/>
              <w:jc w:val="center"/>
            </w:pPr>
            <w:r w:rsidRPr="001C4E6F">
              <w:t>Článok</w:t>
            </w:r>
          </w:p>
          <w:p w:rsidR="00E80B0A" w:rsidRPr="001C4E6F" w:rsidRDefault="00E80B0A" w:rsidP="0036458B">
            <w:pPr>
              <w:pStyle w:val="Normlny0"/>
              <w:jc w:val="center"/>
            </w:pPr>
            <w:r w:rsidRPr="001C4E6F">
              <w:t>(Č, O,</w:t>
            </w:r>
          </w:p>
          <w:p w:rsidR="00E80B0A" w:rsidRPr="001C4E6F" w:rsidRDefault="00E80B0A" w:rsidP="0036458B">
            <w:pPr>
              <w:pStyle w:val="Normlny0"/>
              <w:jc w:val="center"/>
            </w:pPr>
            <w:r w:rsidRPr="001C4E6F">
              <w:t>V, P)</w:t>
            </w:r>
          </w:p>
        </w:tc>
        <w:tc>
          <w:tcPr>
            <w:tcW w:w="5754" w:type="dxa"/>
            <w:tcBorders>
              <w:top w:val="single" w:sz="4" w:space="0" w:color="auto"/>
              <w:left w:val="single" w:sz="4" w:space="0" w:color="auto"/>
              <w:bottom w:val="single" w:sz="4" w:space="0" w:color="auto"/>
              <w:right w:val="single" w:sz="4" w:space="0" w:color="auto"/>
            </w:tcBorders>
          </w:tcPr>
          <w:p w:rsidR="00E80B0A" w:rsidRPr="001C4E6F" w:rsidRDefault="00E80B0A" w:rsidP="0036458B">
            <w:pPr>
              <w:pStyle w:val="Normlny0"/>
              <w:jc w:val="center"/>
            </w:pPr>
            <w:r w:rsidRPr="001C4E6F">
              <w:t>Text</w:t>
            </w:r>
          </w:p>
        </w:tc>
        <w:tc>
          <w:tcPr>
            <w:tcW w:w="1156" w:type="dxa"/>
            <w:gridSpan w:val="2"/>
            <w:tcBorders>
              <w:top w:val="single" w:sz="4" w:space="0" w:color="auto"/>
              <w:left w:val="single" w:sz="4" w:space="0" w:color="auto"/>
              <w:bottom w:val="single" w:sz="4" w:space="0" w:color="auto"/>
              <w:right w:val="single" w:sz="12" w:space="0" w:color="auto"/>
            </w:tcBorders>
          </w:tcPr>
          <w:p w:rsidR="00E80B0A" w:rsidRPr="001C4E6F" w:rsidRDefault="00E80B0A" w:rsidP="0036458B">
            <w:pPr>
              <w:pStyle w:val="Normlny0"/>
              <w:jc w:val="center"/>
            </w:pPr>
            <w:r w:rsidRPr="001C4E6F">
              <w:t xml:space="preserve">Spôsob </w:t>
            </w:r>
            <w:proofErr w:type="spellStart"/>
            <w:r w:rsidRPr="001C4E6F">
              <w:t>transp</w:t>
            </w:r>
            <w:proofErr w:type="spellEnd"/>
            <w:r w:rsidRPr="001C4E6F">
              <w:t>.</w:t>
            </w:r>
          </w:p>
          <w:p w:rsidR="00E80B0A" w:rsidRPr="001C4E6F" w:rsidRDefault="00E80B0A" w:rsidP="0036458B">
            <w:pPr>
              <w:pStyle w:val="Normlny0"/>
              <w:jc w:val="center"/>
            </w:pPr>
            <w:r w:rsidRPr="001C4E6F">
              <w:t xml:space="preserve">(N, O, D, </w:t>
            </w:r>
            <w:proofErr w:type="spellStart"/>
            <w:r w:rsidRPr="001C4E6F">
              <w:t>n.a</w:t>
            </w:r>
            <w:proofErr w:type="spellEnd"/>
            <w:r w:rsidRPr="001C4E6F">
              <w:t>.)</w:t>
            </w:r>
          </w:p>
          <w:p w:rsidR="00E80B0A" w:rsidRPr="001C4E6F" w:rsidRDefault="00E80B0A" w:rsidP="0036458B">
            <w:pPr>
              <w:pStyle w:val="Normlny0"/>
            </w:pPr>
          </w:p>
        </w:tc>
        <w:tc>
          <w:tcPr>
            <w:tcW w:w="851" w:type="dxa"/>
            <w:tcBorders>
              <w:top w:val="single" w:sz="4" w:space="0" w:color="auto"/>
              <w:left w:val="nil"/>
              <w:bottom w:val="single" w:sz="4" w:space="0" w:color="auto"/>
              <w:right w:val="single" w:sz="4" w:space="0" w:color="auto"/>
            </w:tcBorders>
          </w:tcPr>
          <w:p w:rsidR="00E80B0A" w:rsidRPr="001C4E6F" w:rsidRDefault="00E80B0A" w:rsidP="0036458B">
            <w:pPr>
              <w:pStyle w:val="Normlny0"/>
              <w:jc w:val="center"/>
            </w:pPr>
            <w:r w:rsidRPr="001C4E6F">
              <w:t>Číslo</w:t>
            </w:r>
          </w:p>
          <w:p w:rsidR="00E80B0A" w:rsidRPr="001C4E6F" w:rsidRDefault="00E80B0A" w:rsidP="0036458B">
            <w:pPr>
              <w:pStyle w:val="Normlny0"/>
              <w:jc w:val="center"/>
            </w:pPr>
            <w:r w:rsidRPr="001C4E6F">
              <w:t>predpisu</w:t>
            </w:r>
          </w:p>
        </w:tc>
        <w:tc>
          <w:tcPr>
            <w:tcW w:w="850" w:type="dxa"/>
            <w:tcBorders>
              <w:top w:val="single" w:sz="4" w:space="0" w:color="auto"/>
              <w:left w:val="single" w:sz="4" w:space="0" w:color="auto"/>
              <w:bottom w:val="single" w:sz="4" w:space="0" w:color="auto"/>
              <w:right w:val="single" w:sz="4" w:space="0" w:color="auto"/>
            </w:tcBorders>
          </w:tcPr>
          <w:p w:rsidR="00E80B0A" w:rsidRPr="001C4E6F" w:rsidRDefault="00E80B0A" w:rsidP="0036458B">
            <w:pPr>
              <w:pStyle w:val="Normlny0"/>
              <w:jc w:val="center"/>
            </w:pPr>
            <w:r w:rsidRPr="001C4E6F">
              <w:t>Článok (Č, §, O, V, P)</w:t>
            </w:r>
          </w:p>
        </w:tc>
        <w:tc>
          <w:tcPr>
            <w:tcW w:w="3380" w:type="dxa"/>
            <w:tcBorders>
              <w:top w:val="single" w:sz="4" w:space="0" w:color="auto"/>
              <w:left w:val="single" w:sz="4" w:space="0" w:color="auto"/>
              <w:bottom w:val="single" w:sz="4" w:space="0" w:color="auto"/>
              <w:right w:val="single" w:sz="4" w:space="0" w:color="auto"/>
            </w:tcBorders>
          </w:tcPr>
          <w:p w:rsidR="00E80B0A" w:rsidRPr="001C4E6F" w:rsidRDefault="00E80B0A" w:rsidP="0036458B">
            <w:pPr>
              <w:pStyle w:val="Normlny0"/>
              <w:jc w:val="center"/>
            </w:pPr>
            <w:r w:rsidRPr="001C4E6F">
              <w:t>Text</w:t>
            </w:r>
          </w:p>
        </w:tc>
        <w:tc>
          <w:tcPr>
            <w:tcW w:w="1134" w:type="dxa"/>
            <w:tcBorders>
              <w:top w:val="single" w:sz="4" w:space="0" w:color="auto"/>
              <w:left w:val="single" w:sz="4" w:space="0" w:color="auto"/>
              <w:bottom w:val="single" w:sz="4" w:space="0" w:color="auto"/>
              <w:right w:val="single" w:sz="4" w:space="0" w:color="auto"/>
            </w:tcBorders>
          </w:tcPr>
          <w:p w:rsidR="00E80B0A" w:rsidRPr="001C4E6F" w:rsidRDefault="00E80B0A" w:rsidP="0036458B">
            <w:pPr>
              <w:pStyle w:val="Normlny0"/>
              <w:jc w:val="center"/>
            </w:pPr>
            <w:r w:rsidRPr="001C4E6F">
              <w:t>Zhoda</w:t>
            </w:r>
          </w:p>
        </w:tc>
        <w:tc>
          <w:tcPr>
            <w:tcW w:w="1134" w:type="dxa"/>
            <w:tcBorders>
              <w:top w:val="single" w:sz="4" w:space="0" w:color="auto"/>
              <w:left w:val="single" w:sz="4" w:space="0" w:color="auto"/>
              <w:bottom w:val="single" w:sz="4" w:space="0" w:color="auto"/>
              <w:right w:val="single" w:sz="12" w:space="0" w:color="auto"/>
            </w:tcBorders>
          </w:tcPr>
          <w:p w:rsidR="00E80B0A" w:rsidRPr="001C4E6F" w:rsidRDefault="00E80B0A" w:rsidP="0036458B">
            <w:pPr>
              <w:pStyle w:val="Normlny0"/>
              <w:jc w:val="center"/>
            </w:pPr>
            <w:r w:rsidRPr="001C4E6F">
              <w:t>Poznámky</w:t>
            </w:r>
          </w:p>
        </w:tc>
      </w:tr>
      <w:tr w:rsidR="00E80B0A" w:rsidRPr="00012F6A" w:rsidTr="0036458B">
        <w:tc>
          <w:tcPr>
            <w:tcW w:w="682" w:type="dxa"/>
            <w:tcBorders>
              <w:top w:val="single" w:sz="4" w:space="0" w:color="auto"/>
              <w:left w:val="single" w:sz="12" w:space="0" w:color="auto"/>
              <w:bottom w:val="single" w:sz="4" w:space="0" w:color="auto"/>
              <w:right w:val="single" w:sz="4" w:space="0" w:color="auto"/>
            </w:tcBorders>
          </w:tcPr>
          <w:p w:rsidR="00E80B0A" w:rsidRPr="001C4E6F" w:rsidRDefault="00E80B0A" w:rsidP="0036458B">
            <w:pPr>
              <w:jc w:val="center"/>
              <w:rPr>
                <w:sz w:val="20"/>
                <w:szCs w:val="20"/>
              </w:rPr>
            </w:pPr>
            <w:r w:rsidRPr="001C4E6F">
              <w:rPr>
                <w:sz w:val="20"/>
                <w:szCs w:val="20"/>
              </w:rPr>
              <w:t>C:2</w:t>
            </w:r>
          </w:p>
          <w:p w:rsidR="00E80B0A" w:rsidRPr="001C4E6F" w:rsidRDefault="00E80B0A" w:rsidP="0036458B">
            <w:pPr>
              <w:jc w:val="center"/>
              <w:rPr>
                <w:sz w:val="20"/>
                <w:szCs w:val="20"/>
              </w:rPr>
            </w:pPr>
            <w:r w:rsidRPr="001C4E6F">
              <w:rPr>
                <w:sz w:val="20"/>
                <w:szCs w:val="20"/>
              </w:rPr>
              <w:t>O:1</w:t>
            </w:r>
          </w:p>
          <w:p w:rsidR="00E80B0A" w:rsidRPr="001C4E6F" w:rsidRDefault="00E80B0A" w:rsidP="0036458B">
            <w:pPr>
              <w:jc w:val="center"/>
              <w:rPr>
                <w:sz w:val="20"/>
                <w:szCs w:val="20"/>
              </w:rPr>
            </w:pPr>
            <w:r w:rsidRPr="001C4E6F">
              <w:rPr>
                <w:sz w:val="20"/>
                <w:szCs w:val="20"/>
              </w:rPr>
              <w:t>P:a</w:t>
            </w:r>
          </w:p>
        </w:tc>
        <w:tc>
          <w:tcPr>
            <w:tcW w:w="5754" w:type="dxa"/>
            <w:tcBorders>
              <w:top w:val="single" w:sz="4" w:space="0" w:color="auto"/>
              <w:left w:val="single" w:sz="4" w:space="0" w:color="auto"/>
              <w:bottom w:val="single" w:sz="4" w:space="0" w:color="auto"/>
              <w:right w:val="single" w:sz="4" w:space="0" w:color="auto"/>
            </w:tcBorders>
          </w:tcPr>
          <w:p w:rsidR="00E80B0A" w:rsidRPr="001C4E6F" w:rsidRDefault="00E80B0A" w:rsidP="0036458B">
            <w:pPr>
              <w:pStyle w:val="Normlny0"/>
              <w:rPr>
                <w:bCs/>
              </w:rPr>
            </w:pPr>
            <w:r w:rsidRPr="001C4E6F">
              <w:rPr>
                <w:bCs/>
              </w:rPr>
              <w:t xml:space="preserve">Na účely tejto smernice sa uplatňujú tieto vymedzenia pojmov: </w:t>
            </w:r>
          </w:p>
          <w:p w:rsidR="00E80B0A" w:rsidRPr="001C4E6F" w:rsidRDefault="00E80B0A" w:rsidP="0036458B">
            <w:pPr>
              <w:pStyle w:val="Normlny0"/>
              <w:rPr>
                <w:bCs/>
              </w:rPr>
            </w:pPr>
            <w:r w:rsidRPr="001C4E6F">
              <w:rPr>
                <w:bCs/>
              </w:rPr>
              <w:t xml:space="preserve">1. „subjekty verejného záujmu“ sú podniky patriace do rozsahu pôsobnosti článku 1, ktoré: </w:t>
            </w:r>
          </w:p>
          <w:p w:rsidR="00E80B0A" w:rsidRPr="001C4E6F" w:rsidRDefault="00E80B0A" w:rsidP="000655BA">
            <w:pPr>
              <w:pStyle w:val="Normlny0"/>
              <w:rPr>
                <w:bCs/>
              </w:rPr>
            </w:pPr>
            <w:r w:rsidRPr="001C4E6F">
              <w:rPr>
                <w:bCs/>
              </w:rPr>
              <w:t>a) sa riadia právom členského štátu a ktorých prevoditeľné cenné papiere sú prijaté na obchodovanie na regulovanom trhu ktoréhokoľvek členského štátu v zmysle článku 4 ods. 1 bodu 14 smernice Európskeho parlamentu a Rady 2004/39/ES z 21. apríla 2004 o trhoch s finančnými nástrojmi (1</w:t>
            </w:r>
            <w:r w:rsidR="000655BA" w:rsidRPr="001C4E6F">
              <w:rPr>
                <w:bCs/>
              </w:rPr>
              <w:t>2</w:t>
            </w:r>
            <w:r w:rsidRPr="001C4E6F">
              <w:rPr>
                <w:bCs/>
              </w:rPr>
              <w:t>);</w:t>
            </w:r>
          </w:p>
          <w:p w:rsidR="000655BA" w:rsidRPr="001C4E6F" w:rsidRDefault="000655BA" w:rsidP="000655BA">
            <w:pPr>
              <w:pStyle w:val="Normlny0"/>
              <w:rPr>
                <w:bCs/>
              </w:rPr>
            </w:pPr>
            <w:r w:rsidRPr="001C4E6F">
              <w:rPr>
                <w:bCs/>
              </w:rPr>
              <w:t>(12)  Ú. v. EÚ L 145, 30.4.2004, s. 1.</w:t>
            </w:r>
          </w:p>
        </w:tc>
        <w:tc>
          <w:tcPr>
            <w:tcW w:w="1156" w:type="dxa"/>
            <w:gridSpan w:val="2"/>
            <w:vMerge w:val="restart"/>
            <w:tcBorders>
              <w:top w:val="single" w:sz="4" w:space="0" w:color="auto"/>
              <w:left w:val="single" w:sz="4" w:space="0" w:color="auto"/>
              <w:right w:val="single" w:sz="12" w:space="0" w:color="auto"/>
            </w:tcBorders>
          </w:tcPr>
          <w:p w:rsidR="00E80B0A" w:rsidRPr="001C4E6F" w:rsidRDefault="00E80B0A" w:rsidP="0036458B">
            <w:pPr>
              <w:jc w:val="center"/>
              <w:rPr>
                <w:sz w:val="20"/>
                <w:szCs w:val="20"/>
              </w:rPr>
            </w:pPr>
            <w:r w:rsidRPr="001C4E6F">
              <w:rPr>
                <w:sz w:val="20"/>
                <w:szCs w:val="20"/>
              </w:rPr>
              <w:t>N</w:t>
            </w:r>
          </w:p>
        </w:tc>
        <w:tc>
          <w:tcPr>
            <w:tcW w:w="851" w:type="dxa"/>
            <w:vMerge w:val="restart"/>
            <w:tcBorders>
              <w:top w:val="single" w:sz="4" w:space="0" w:color="auto"/>
              <w:left w:val="nil"/>
              <w:right w:val="single" w:sz="4" w:space="0" w:color="auto"/>
            </w:tcBorders>
          </w:tcPr>
          <w:p w:rsidR="00E80B0A" w:rsidRPr="001C4E6F" w:rsidRDefault="00E80B0A" w:rsidP="0036458B">
            <w:pPr>
              <w:adjustRightInd w:val="0"/>
              <w:rPr>
                <w:color w:val="000000"/>
                <w:sz w:val="20"/>
                <w:szCs w:val="20"/>
              </w:rPr>
            </w:pPr>
            <w:r w:rsidRPr="001C4E6F">
              <w:rPr>
                <w:color w:val="000000"/>
                <w:sz w:val="20"/>
                <w:szCs w:val="20"/>
              </w:rPr>
              <w:t>431/2002</w:t>
            </w:r>
          </w:p>
          <w:p w:rsidR="00E80B0A" w:rsidRPr="001C4E6F" w:rsidRDefault="00E80B0A" w:rsidP="0036458B">
            <w:pPr>
              <w:adjustRightInd w:val="0"/>
              <w:rPr>
                <w:b/>
                <w:color w:val="000000"/>
                <w:sz w:val="20"/>
                <w:szCs w:val="20"/>
              </w:rPr>
            </w:pPr>
          </w:p>
          <w:p w:rsidR="00E80B0A" w:rsidRPr="001C4E6F" w:rsidRDefault="00E80B0A" w:rsidP="0036458B">
            <w:pPr>
              <w:adjustRightInd w:val="0"/>
              <w:rPr>
                <w:b/>
                <w:color w:val="000000"/>
                <w:sz w:val="20"/>
                <w:szCs w:val="20"/>
              </w:rPr>
            </w:pPr>
          </w:p>
          <w:p w:rsidR="00E80B0A" w:rsidRPr="001C4E6F" w:rsidRDefault="00E80B0A" w:rsidP="0036458B">
            <w:pPr>
              <w:adjustRightInd w:val="0"/>
              <w:rPr>
                <w:b/>
                <w:color w:val="000000"/>
                <w:sz w:val="20"/>
                <w:szCs w:val="20"/>
              </w:rPr>
            </w:pPr>
          </w:p>
          <w:p w:rsidR="00E80B0A" w:rsidRPr="001C4E6F" w:rsidRDefault="00E80B0A" w:rsidP="0036458B">
            <w:pPr>
              <w:adjustRightInd w:val="0"/>
              <w:rPr>
                <w:b/>
                <w:color w:val="000000"/>
                <w:sz w:val="20"/>
                <w:szCs w:val="20"/>
              </w:rPr>
            </w:pPr>
          </w:p>
          <w:p w:rsidR="00E80B0A" w:rsidRPr="001C4E6F" w:rsidRDefault="00E80B0A" w:rsidP="0036458B">
            <w:pPr>
              <w:adjustRightInd w:val="0"/>
              <w:rPr>
                <w:b/>
                <w:color w:val="000000"/>
                <w:sz w:val="20"/>
                <w:szCs w:val="20"/>
              </w:rPr>
            </w:pPr>
          </w:p>
          <w:p w:rsidR="00E80B0A" w:rsidRPr="001C4E6F" w:rsidRDefault="00E80B0A" w:rsidP="0036458B">
            <w:pPr>
              <w:adjustRightInd w:val="0"/>
              <w:rPr>
                <w:b/>
                <w:color w:val="000000"/>
                <w:sz w:val="20"/>
                <w:szCs w:val="20"/>
              </w:rPr>
            </w:pPr>
          </w:p>
          <w:p w:rsidR="00E80B0A" w:rsidRPr="001C4E6F" w:rsidRDefault="00E80B0A" w:rsidP="0036458B">
            <w:pPr>
              <w:adjustRightInd w:val="0"/>
              <w:rPr>
                <w:b/>
                <w:color w:val="000000"/>
                <w:sz w:val="20"/>
                <w:szCs w:val="20"/>
              </w:rPr>
            </w:pPr>
          </w:p>
          <w:p w:rsidR="00E80B0A" w:rsidRPr="001C4E6F" w:rsidRDefault="00E80B0A" w:rsidP="0036458B">
            <w:pPr>
              <w:adjustRightInd w:val="0"/>
              <w:rPr>
                <w:b/>
                <w:color w:val="000000"/>
                <w:sz w:val="20"/>
                <w:szCs w:val="20"/>
              </w:rPr>
            </w:pPr>
          </w:p>
          <w:p w:rsidR="00E80B0A" w:rsidRPr="001C4E6F" w:rsidRDefault="00E80B0A" w:rsidP="0036458B">
            <w:pPr>
              <w:adjustRightInd w:val="0"/>
              <w:rPr>
                <w:b/>
                <w:color w:val="000000"/>
                <w:sz w:val="20"/>
                <w:szCs w:val="20"/>
              </w:rPr>
            </w:pPr>
          </w:p>
          <w:p w:rsidR="00E80B0A" w:rsidRPr="001C4E6F" w:rsidRDefault="00E80B0A" w:rsidP="0036458B">
            <w:pPr>
              <w:adjustRightInd w:val="0"/>
              <w:rPr>
                <w:b/>
                <w:color w:val="000000"/>
                <w:sz w:val="20"/>
                <w:szCs w:val="20"/>
              </w:rPr>
            </w:pPr>
          </w:p>
          <w:p w:rsidR="00E80B0A" w:rsidRPr="001C4E6F" w:rsidRDefault="00E80B0A" w:rsidP="0036458B">
            <w:pPr>
              <w:adjustRightInd w:val="0"/>
              <w:rPr>
                <w:b/>
                <w:color w:val="000000"/>
                <w:sz w:val="20"/>
                <w:szCs w:val="20"/>
              </w:rPr>
            </w:pPr>
            <w:r w:rsidRPr="001C4E6F">
              <w:rPr>
                <w:b/>
                <w:color w:val="000000"/>
                <w:sz w:val="20"/>
                <w:szCs w:val="20"/>
              </w:rPr>
              <w:t xml:space="preserve">Návrh </w:t>
            </w:r>
          </w:p>
          <w:p w:rsidR="00E80B0A" w:rsidRPr="001C4E6F" w:rsidRDefault="00E80B0A" w:rsidP="0036458B">
            <w:pPr>
              <w:adjustRightInd w:val="0"/>
              <w:rPr>
                <w:b/>
                <w:color w:val="000000"/>
                <w:sz w:val="20"/>
                <w:szCs w:val="20"/>
              </w:rPr>
            </w:pPr>
            <w:r w:rsidRPr="001C4E6F">
              <w:rPr>
                <w:b/>
                <w:color w:val="000000"/>
                <w:sz w:val="20"/>
                <w:szCs w:val="20"/>
              </w:rPr>
              <w:t>čl. III</w:t>
            </w:r>
          </w:p>
          <w:p w:rsidR="00E80B0A" w:rsidRPr="001C4E6F" w:rsidRDefault="00E80B0A" w:rsidP="0036458B">
            <w:pPr>
              <w:jc w:val="center"/>
              <w:rPr>
                <w:bCs/>
                <w:sz w:val="20"/>
                <w:szCs w:val="20"/>
              </w:rPr>
            </w:pPr>
          </w:p>
        </w:tc>
        <w:tc>
          <w:tcPr>
            <w:tcW w:w="850" w:type="dxa"/>
            <w:vMerge w:val="restart"/>
            <w:tcBorders>
              <w:top w:val="single" w:sz="4" w:space="0" w:color="auto"/>
              <w:left w:val="single" w:sz="4" w:space="0" w:color="auto"/>
              <w:right w:val="single" w:sz="4" w:space="0" w:color="auto"/>
            </w:tcBorders>
          </w:tcPr>
          <w:p w:rsidR="00E80B0A" w:rsidRPr="001C4E6F" w:rsidRDefault="00E80B0A" w:rsidP="0036458B">
            <w:pPr>
              <w:jc w:val="center"/>
              <w:rPr>
                <w:sz w:val="20"/>
                <w:szCs w:val="20"/>
              </w:rPr>
            </w:pPr>
            <w:r w:rsidRPr="001C4E6F">
              <w:rPr>
                <w:sz w:val="20"/>
                <w:szCs w:val="20"/>
              </w:rPr>
              <w:t>§ 2</w:t>
            </w:r>
          </w:p>
          <w:p w:rsidR="00E80B0A" w:rsidRPr="001C4E6F" w:rsidRDefault="00E80B0A" w:rsidP="0036458B">
            <w:pPr>
              <w:jc w:val="center"/>
              <w:rPr>
                <w:sz w:val="20"/>
                <w:szCs w:val="20"/>
              </w:rPr>
            </w:pPr>
            <w:r w:rsidRPr="001C4E6F">
              <w:rPr>
                <w:sz w:val="20"/>
                <w:szCs w:val="20"/>
              </w:rPr>
              <w:t>O: 14</w:t>
            </w:r>
          </w:p>
          <w:p w:rsidR="00E80B0A" w:rsidRPr="001C4E6F" w:rsidRDefault="00E80B0A" w:rsidP="0036458B">
            <w:pPr>
              <w:jc w:val="center"/>
              <w:rPr>
                <w:sz w:val="20"/>
                <w:szCs w:val="20"/>
              </w:rPr>
            </w:pPr>
          </w:p>
          <w:p w:rsidR="00E80B0A" w:rsidRPr="001C4E6F" w:rsidRDefault="00E80B0A" w:rsidP="0036458B">
            <w:pPr>
              <w:jc w:val="center"/>
              <w:rPr>
                <w:sz w:val="20"/>
                <w:szCs w:val="20"/>
              </w:rPr>
            </w:pPr>
          </w:p>
          <w:p w:rsidR="00E80B0A" w:rsidRPr="001C4E6F" w:rsidRDefault="00E80B0A" w:rsidP="0036458B">
            <w:pPr>
              <w:jc w:val="center"/>
              <w:rPr>
                <w:sz w:val="20"/>
                <w:szCs w:val="20"/>
              </w:rPr>
            </w:pPr>
          </w:p>
          <w:p w:rsidR="00E80B0A" w:rsidRPr="001C4E6F" w:rsidRDefault="00E80B0A" w:rsidP="0036458B">
            <w:pPr>
              <w:jc w:val="center"/>
              <w:rPr>
                <w:sz w:val="20"/>
                <w:szCs w:val="20"/>
              </w:rPr>
            </w:pPr>
          </w:p>
          <w:p w:rsidR="00E80B0A" w:rsidRPr="001C4E6F" w:rsidRDefault="00E80B0A" w:rsidP="0036458B">
            <w:pPr>
              <w:jc w:val="center"/>
              <w:rPr>
                <w:sz w:val="20"/>
                <w:szCs w:val="20"/>
              </w:rPr>
            </w:pPr>
          </w:p>
          <w:p w:rsidR="00E80B0A" w:rsidRPr="001C4E6F" w:rsidRDefault="00E80B0A" w:rsidP="0036458B">
            <w:pPr>
              <w:jc w:val="center"/>
              <w:rPr>
                <w:sz w:val="20"/>
                <w:szCs w:val="20"/>
              </w:rPr>
            </w:pPr>
          </w:p>
        </w:tc>
        <w:tc>
          <w:tcPr>
            <w:tcW w:w="3380" w:type="dxa"/>
            <w:vMerge w:val="restart"/>
            <w:tcBorders>
              <w:top w:val="single" w:sz="4" w:space="0" w:color="auto"/>
              <w:left w:val="single" w:sz="4" w:space="0" w:color="auto"/>
              <w:right w:val="single" w:sz="4" w:space="0" w:color="auto"/>
            </w:tcBorders>
          </w:tcPr>
          <w:p w:rsidR="00E80B0A" w:rsidRPr="001C4E6F" w:rsidRDefault="00E80B0A" w:rsidP="0036458B">
            <w:pPr>
              <w:pStyle w:val="Odsekzoznamu"/>
              <w:ind w:left="0"/>
              <w:rPr>
                <w:sz w:val="20"/>
                <w:szCs w:val="20"/>
              </w:rPr>
            </w:pPr>
            <w:r w:rsidRPr="001C4E6F">
              <w:rPr>
                <w:sz w:val="20"/>
                <w:szCs w:val="20"/>
              </w:rPr>
              <w:t>Na účely tohto zákona sa subjektom verejného záujmu rozumie účtovná jednotka, ktorá emitovala cenné papiere a tie boli prijaté na obchodovanie na regulovanom trhu ktoréhokoľvek členského štátu Európskej únie (ďalej len „členský štát“), banka, pobočka zahraničnej banky, Exportno-importná banka Slovenskej republiky, poisťovňa, pobočka zahraničnej poisťovne, zaisťovňa, pobočka zahraničnej zaisťovne, zdravotná poisťovňa, správcovská spoločnosť, pobočka zahraničnej správcovskej spoločnosti, dôchodková správcovská spoločnosť, doplnková dôchodková spoločnosť, Burza cenných papierov, Centrálny depozitár cenných papierov, obchodník s cennými papiermi,  platobná inštitúcia, inštitúcia elektronických peňazí, subjekt kolektívneho investovania, dôchodkový fond, pobočka zahraničnej finančnej inštitúcie</w:t>
            </w:r>
            <w:r w:rsidRPr="001C4E6F">
              <w:rPr>
                <w:sz w:val="20"/>
                <w:szCs w:val="20"/>
                <w:vertAlign w:val="superscript"/>
              </w:rPr>
              <w:t>29db</w:t>
            </w:r>
            <w:r w:rsidRPr="001C4E6F">
              <w:rPr>
                <w:sz w:val="20"/>
                <w:szCs w:val="20"/>
              </w:rPr>
              <w:t xml:space="preserve">) a účtovná jednotka </w:t>
            </w:r>
            <w:r w:rsidRPr="001C4E6F">
              <w:rPr>
                <w:strike/>
                <w:sz w:val="20"/>
                <w:szCs w:val="20"/>
              </w:rPr>
              <w:t>uvedená</w:t>
            </w:r>
            <w:r w:rsidRPr="001C4E6F">
              <w:rPr>
                <w:sz w:val="20"/>
                <w:szCs w:val="20"/>
              </w:rPr>
              <w:t xml:space="preserve">, </w:t>
            </w:r>
            <w:r w:rsidRPr="001C4E6F">
              <w:rPr>
                <w:b/>
                <w:sz w:val="20"/>
                <w:szCs w:val="20"/>
              </w:rPr>
              <w:t>ktorá spĺňa podmienky uvedené</w:t>
            </w:r>
            <w:r w:rsidRPr="001C4E6F">
              <w:rPr>
                <w:sz w:val="20"/>
                <w:szCs w:val="20"/>
              </w:rPr>
              <w:t xml:space="preserve"> v § 17a ods. 2.</w:t>
            </w:r>
          </w:p>
          <w:p w:rsidR="00E80B0A" w:rsidRPr="001C4E6F" w:rsidRDefault="00E80B0A" w:rsidP="000655BA">
            <w:pPr>
              <w:pStyle w:val="Odsekzoznamu"/>
              <w:ind w:left="0"/>
              <w:rPr>
                <w:sz w:val="20"/>
                <w:szCs w:val="20"/>
              </w:rPr>
            </w:pPr>
            <w:r w:rsidRPr="001C4E6F">
              <w:rPr>
                <w:sz w:val="20"/>
                <w:szCs w:val="20"/>
              </w:rPr>
              <w:t xml:space="preserve">29db) § 5 písm. ab) zákona č. 483/2001 Z. z. </w:t>
            </w:r>
            <w:r w:rsidR="000655BA" w:rsidRPr="001C4E6F">
              <w:rPr>
                <w:sz w:val="20"/>
                <w:szCs w:val="20"/>
              </w:rPr>
              <w:t>v znení zákona č. 213/2014 Z. z.</w:t>
            </w:r>
            <w:r w:rsidRPr="001C4E6F">
              <w:rPr>
                <w:sz w:val="20"/>
                <w:szCs w:val="20"/>
              </w:rPr>
              <w:t>.</w:t>
            </w:r>
          </w:p>
        </w:tc>
        <w:tc>
          <w:tcPr>
            <w:tcW w:w="1134" w:type="dxa"/>
            <w:vMerge w:val="restart"/>
            <w:tcBorders>
              <w:top w:val="single" w:sz="4" w:space="0" w:color="auto"/>
              <w:left w:val="single" w:sz="4" w:space="0" w:color="auto"/>
              <w:right w:val="single" w:sz="4" w:space="0" w:color="auto"/>
            </w:tcBorders>
          </w:tcPr>
          <w:p w:rsidR="00E80B0A" w:rsidRPr="001C4E6F" w:rsidRDefault="00E80B0A" w:rsidP="0036458B">
            <w:pPr>
              <w:jc w:val="center"/>
              <w:rPr>
                <w:sz w:val="20"/>
                <w:szCs w:val="20"/>
              </w:rPr>
            </w:pPr>
            <w:r w:rsidRPr="001C4E6F">
              <w:rPr>
                <w:sz w:val="20"/>
                <w:szCs w:val="20"/>
              </w:rPr>
              <w:t>Ú</w:t>
            </w:r>
          </w:p>
        </w:tc>
        <w:tc>
          <w:tcPr>
            <w:tcW w:w="1134" w:type="dxa"/>
            <w:vMerge w:val="restart"/>
            <w:tcBorders>
              <w:top w:val="single" w:sz="4" w:space="0" w:color="auto"/>
              <w:left w:val="single" w:sz="4" w:space="0" w:color="auto"/>
              <w:right w:val="single" w:sz="12" w:space="0" w:color="auto"/>
            </w:tcBorders>
          </w:tcPr>
          <w:p w:rsidR="00E80B0A" w:rsidRPr="001C4E6F" w:rsidRDefault="00E80B0A" w:rsidP="00BF667E">
            <w:pPr>
              <w:pStyle w:val="Nadpis1"/>
              <w:numPr>
                <w:ilvl w:val="0"/>
                <w:numId w:val="0"/>
              </w:numPr>
              <w:ind w:left="567"/>
              <w:jc w:val="left"/>
              <w:rPr>
                <w:b w:val="0"/>
                <w:bCs/>
                <w:sz w:val="20"/>
              </w:rPr>
            </w:pPr>
          </w:p>
        </w:tc>
      </w:tr>
      <w:tr w:rsidR="00E80B0A" w:rsidRPr="00012F6A" w:rsidTr="0036458B">
        <w:tc>
          <w:tcPr>
            <w:tcW w:w="682" w:type="dxa"/>
            <w:tcBorders>
              <w:top w:val="single" w:sz="4" w:space="0" w:color="auto"/>
              <w:left w:val="single" w:sz="12" w:space="0" w:color="auto"/>
              <w:bottom w:val="single" w:sz="4" w:space="0" w:color="auto"/>
              <w:right w:val="single" w:sz="4" w:space="0" w:color="auto"/>
            </w:tcBorders>
          </w:tcPr>
          <w:p w:rsidR="00E80B0A" w:rsidRPr="001C4E6F" w:rsidRDefault="00E80B0A" w:rsidP="0036458B">
            <w:pPr>
              <w:jc w:val="center"/>
              <w:rPr>
                <w:sz w:val="20"/>
                <w:szCs w:val="20"/>
              </w:rPr>
            </w:pPr>
            <w:r w:rsidRPr="001C4E6F">
              <w:rPr>
                <w:sz w:val="20"/>
                <w:szCs w:val="20"/>
              </w:rPr>
              <w:t>C:2</w:t>
            </w:r>
          </w:p>
          <w:p w:rsidR="00E80B0A" w:rsidRPr="001C4E6F" w:rsidRDefault="00E80B0A" w:rsidP="0036458B">
            <w:pPr>
              <w:jc w:val="center"/>
              <w:rPr>
                <w:sz w:val="20"/>
                <w:szCs w:val="20"/>
              </w:rPr>
            </w:pPr>
            <w:r w:rsidRPr="001C4E6F">
              <w:rPr>
                <w:sz w:val="20"/>
                <w:szCs w:val="20"/>
              </w:rPr>
              <w:t>O: 1</w:t>
            </w:r>
          </w:p>
          <w:p w:rsidR="00E80B0A" w:rsidRPr="001C4E6F" w:rsidRDefault="00E80B0A" w:rsidP="0036458B">
            <w:pPr>
              <w:jc w:val="center"/>
              <w:rPr>
                <w:sz w:val="20"/>
                <w:szCs w:val="20"/>
              </w:rPr>
            </w:pPr>
            <w:r w:rsidRPr="001C4E6F">
              <w:rPr>
                <w:sz w:val="20"/>
                <w:szCs w:val="20"/>
              </w:rPr>
              <w:t>P:b</w:t>
            </w:r>
          </w:p>
        </w:tc>
        <w:tc>
          <w:tcPr>
            <w:tcW w:w="5754" w:type="dxa"/>
            <w:tcBorders>
              <w:top w:val="single" w:sz="4" w:space="0" w:color="auto"/>
              <w:left w:val="single" w:sz="4" w:space="0" w:color="auto"/>
              <w:bottom w:val="single" w:sz="4" w:space="0" w:color="auto"/>
              <w:right w:val="single" w:sz="4" w:space="0" w:color="auto"/>
            </w:tcBorders>
          </w:tcPr>
          <w:p w:rsidR="00E80B0A" w:rsidRPr="001C4E6F" w:rsidRDefault="00E80B0A" w:rsidP="000655BA">
            <w:pPr>
              <w:pStyle w:val="Normlny0"/>
              <w:rPr>
                <w:bCs/>
              </w:rPr>
            </w:pPr>
            <w:r w:rsidRPr="001C4E6F">
              <w:rPr>
                <w:bCs/>
              </w:rPr>
              <w:t>b) sú úverovými inštitúciami podľa vymedzenia v článku 4 bode 1 smernice Európskeho parlamentu a Rady 2006/48/ES zo 14. júna 2006 o začatí a vykonávaní činností úverových inštitúcií (1</w:t>
            </w:r>
            <w:r w:rsidR="000655BA" w:rsidRPr="001C4E6F">
              <w:rPr>
                <w:bCs/>
              </w:rPr>
              <w:t>3</w:t>
            </w:r>
            <w:r w:rsidRPr="001C4E6F">
              <w:rPr>
                <w:bCs/>
              </w:rPr>
              <w:t>), a nie sú úverovými inštitúciami uvedenými v článku 2 uvedenej smernice;</w:t>
            </w:r>
          </w:p>
          <w:p w:rsidR="000655BA" w:rsidRPr="001C4E6F" w:rsidRDefault="000655BA" w:rsidP="000655BA">
            <w:pPr>
              <w:pStyle w:val="Normlny0"/>
              <w:rPr>
                <w:bCs/>
              </w:rPr>
            </w:pPr>
            <w:r w:rsidRPr="001C4E6F">
              <w:rPr>
                <w:bCs/>
              </w:rPr>
              <w:t>(13)  Ú. v. EÚ L 177, 30.6.2006, s. 1.</w:t>
            </w:r>
          </w:p>
        </w:tc>
        <w:tc>
          <w:tcPr>
            <w:tcW w:w="1156" w:type="dxa"/>
            <w:gridSpan w:val="2"/>
            <w:vMerge/>
            <w:tcBorders>
              <w:left w:val="single" w:sz="4" w:space="0" w:color="auto"/>
              <w:right w:val="single" w:sz="12" w:space="0" w:color="auto"/>
            </w:tcBorders>
          </w:tcPr>
          <w:p w:rsidR="00E80B0A" w:rsidRPr="001C4E6F" w:rsidRDefault="00E80B0A" w:rsidP="0036458B">
            <w:pPr>
              <w:jc w:val="center"/>
              <w:rPr>
                <w:sz w:val="20"/>
                <w:szCs w:val="20"/>
              </w:rPr>
            </w:pPr>
          </w:p>
        </w:tc>
        <w:tc>
          <w:tcPr>
            <w:tcW w:w="851" w:type="dxa"/>
            <w:vMerge/>
            <w:tcBorders>
              <w:left w:val="nil"/>
              <w:right w:val="single" w:sz="4" w:space="0" w:color="auto"/>
            </w:tcBorders>
          </w:tcPr>
          <w:p w:rsidR="00E80B0A" w:rsidRPr="001C4E6F" w:rsidRDefault="00E80B0A" w:rsidP="0036458B">
            <w:pPr>
              <w:jc w:val="center"/>
              <w:rPr>
                <w:bCs/>
                <w:sz w:val="20"/>
                <w:szCs w:val="20"/>
              </w:rPr>
            </w:pPr>
          </w:p>
        </w:tc>
        <w:tc>
          <w:tcPr>
            <w:tcW w:w="850" w:type="dxa"/>
            <w:vMerge/>
            <w:tcBorders>
              <w:left w:val="single" w:sz="4" w:space="0" w:color="auto"/>
              <w:right w:val="single" w:sz="4" w:space="0" w:color="auto"/>
            </w:tcBorders>
          </w:tcPr>
          <w:p w:rsidR="00E80B0A" w:rsidRPr="001C4E6F" w:rsidRDefault="00E80B0A" w:rsidP="0036458B">
            <w:pPr>
              <w:jc w:val="center"/>
              <w:rPr>
                <w:sz w:val="20"/>
                <w:szCs w:val="20"/>
              </w:rPr>
            </w:pPr>
          </w:p>
        </w:tc>
        <w:tc>
          <w:tcPr>
            <w:tcW w:w="3380" w:type="dxa"/>
            <w:vMerge/>
            <w:tcBorders>
              <w:left w:val="single" w:sz="4" w:space="0" w:color="auto"/>
              <w:right w:val="single" w:sz="4" w:space="0" w:color="auto"/>
            </w:tcBorders>
          </w:tcPr>
          <w:p w:rsidR="00E80B0A" w:rsidRPr="001C4E6F" w:rsidRDefault="00E80B0A" w:rsidP="0036458B">
            <w:pPr>
              <w:jc w:val="both"/>
              <w:rPr>
                <w:sz w:val="20"/>
                <w:szCs w:val="20"/>
              </w:rPr>
            </w:pPr>
          </w:p>
        </w:tc>
        <w:tc>
          <w:tcPr>
            <w:tcW w:w="1134" w:type="dxa"/>
            <w:vMerge/>
            <w:tcBorders>
              <w:left w:val="single" w:sz="4" w:space="0" w:color="auto"/>
              <w:right w:val="single" w:sz="4" w:space="0" w:color="auto"/>
            </w:tcBorders>
          </w:tcPr>
          <w:p w:rsidR="00E80B0A" w:rsidRPr="001C4E6F" w:rsidRDefault="00E80B0A" w:rsidP="0036458B">
            <w:pPr>
              <w:jc w:val="center"/>
              <w:rPr>
                <w:sz w:val="20"/>
                <w:szCs w:val="20"/>
              </w:rPr>
            </w:pPr>
          </w:p>
        </w:tc>
        <w:tc>
          <w:tcPr>
            <w:tcW w:w="1134" w:type="dxa"/>
            <w:vMerge/>
            <w:tcBorders>
              <w:left w:val="single" w:sz="4" w:space="0" w:color="auto"/>
              <w:right w:val="single" w:sz="12" w:space="0" w:color="auto"/>
            </w:tcBorders>
          </w:tcPr>
          <w:p w:rsidR="00E80B0A" w:rsidRPr="001C4E6F" w:rsidRDefault="00E80B0A" w:rsidP="0036458B">
            <w:pPr>
              <w:pStyle w:val="Nadpis1"/>
              <w:rPr>
                <w:b w:val="0"/>
                <w:bCs/>
                <w:sz w:val="20"/>
              </w:rPr>
            </w:pPr>
          </w:p>
        </w:tc>
      </w:tr>
      <w:tr w:rsidR="00E80B0A" w:rsidRPr="00012F6A" w:rsidTr="0036458B">
        <w:trPr>
          <w:trHeight w:val="1053"/>
        </w:trPr>
        <w:tc>
          <w:tcPr>
            <w:tcW w:w="682" w:type="dxa"/>
            <w:tcBorders>
              <w:top w:val="single" w:sz="4" w:space="0" w:color="auto"/>
              <w:left w:val="single" w:sz="12" w:space="0" w:color="auto"/>
              <w:bottom w:val="single" w:sz="4" w:space="0" w:color="auto"/>
              <w:right w:val="single" w:sz="4" w:space="0" w:color="auto"/>
            </w:tcBorders>
          </w:tcPr>
          <w:p w:rsidR="00E80B0A" w:rsidRPr="001C4E6F" w:rsidRDefault="00E80B0A" w:rsidP="0036458B">
            <w:pPr>
              <w:jc w:val="center"/>
              <w:rPr>
                <w:sz w:val="20"/>
                <w:szCs w:val="20"/>
              </w:rPr>
            </w:pPr>
            <w:r w:rsidRPr="001C4E6F">
              <w:rPr>
                <w:sz w:val="20"/>
                <w:szCs w:val="20"/>
              </w:rPr>
              <w:t>C:2</w:t>
            </w:r>
          </w:p>
          <w:p w:rsidR="00E80B0A" w:rsidRPr="001C4E6F" w:rsidRDefault="00E80B0A" w:rsidP="0036458B">
            <w:pPr>
              <w:jc w:val="center"/>
              <w:rPr>
                <w:sz w:val="20"/>
                <w:szCs w:val="20"/>
              </w:rPr>
            </w:pPr>
            <w:r w:rsidRPr="001C4E6F">
              <w:rPr>
                <w:sz w:val="20"/>
                <w:szCs w:val="20"/>
              </w:rPr>
              <w:t>O: 1</w:t>
            </w:r>
          </w:p>
          <w:p w:rsidR="00E80B0A" w:rsidRPr="001C4E6F" w:rsidRDefault="00E80B0A" w:rsidP="0036458B">
            <w:pPr>
              <w:jc w:val="center"/>
              <w:rPr>
                <w:sz w:val="20"/>
                <w:szCs w:val="20"/>
              </w:rPr>
            </w:pPr>
            <w:r w:rsidRPr="001C4E6F">
              <w:rPr>
                <w:sz w:val="20"/>
                <w:szCs w:val="20"/>
              </w:rPr>
              <w:t>P:c</w:t>
            </w:r>
          </w:p>
        </w:tc>
        <w:tc>
          <w:tcPr>
            <w:tcW w:w="5754" w:type="dxa"/>
            <w:tcBorders>
              <w:top w:val="single" w:sz="4" w:space="0" w:color="auto"/>
              <w:left w:val="single" w:sz="4" w:space="0" w:color="auto"/>
              <w:bottom w:val="single" w:sz="4" w:space="0" w:color="auto"/>
              <w:right w:val="single" w:sz="4" w:space="0" w:color="auto"/>
            </w:tcBorders>
          </w:tcPr>
          <w:p w:rsidR="00E80B0A" w:rsidRPr="001C4E6F" w:rsidRDefault="00E80B0A" w:rsidP="000655BA">
            <w:pPr>
              <w:pStyle w:val="Normlny0"/>
              <w:rPr>
                <w:bCs/>
              </w:rPr>
            </w:pPr>
            <w:r w:rsidRPr="001C4E6F">
              <w:rPr>
                <w:bCs/>
              </w:rPr>
              <w:t>c) sú poisťovňami v zmysle článku 2 ods. 1 smernice Rady 91/674/EHS z 19. decembra 1991 o ročných účtovných závierkach a konsolidovaných účtovných závierkach poisťovní (</w:t>
            </w:r>
            <w:r w:rsidR="000655BA" w:rsidRPr="001C4E6F">
              <w:rPr>
                <w:bCs/>
              </w:rPr>
              <w:t>14</w:t>
            </w:r>
            <w:r w:rsidRPr="001C4E6F">
              <w:rPr>
                <w:bCs/>
              </w:rPr>
              <w:t>); alebo</w:t>
            </w:r>
          </w:p>
          <w:p w:rsidR="000655BA" w:rsidRPr="001C4E6F" w:rsidRDefault="000655BA" w:rsidP="000655BA">
            <w:pPr>
              <w:pStyle w:val="Normlny0"/>
              <w:rPr>
                <w:bCs/>
              </w:rPr>
            </w:pPr>
            <w:r w:rsidRPr="001C4E6F">
              <w:rPr>
                <w:bCs/>
              </w:rPr>
              <w:t>(14)  Ú. v. ES L 374, 31.12.1991, s. 7.</w:t>
            </w:r>
          </w:p>
        </w:tc>
        <w:tc>
          <w:tcPr>
            <w:tcW w:w="1156" w:type="dxa"/>
            <w:gridSpan w:val="2"/>
            <w:vMerge/>
            <w:tcBorders>
              <w:left w:val="single" w:sz="4" w:space="0" w:color="auto"/>
              <w:right w:val="single" w:sz="12" w:space="0" w:color="auto"/>
            </w:tcBorders>
          </w:tcPr>
          <w:p w:rsidR="00E80B0A" w:rsidRPr="001C4E6F" w:rsidRDefault="00E80B0A" w:rsidP="0036458B">
            <w:pPr>
              <w:jc w:val="center"/>
              <w:rPr>
                <w:sz w:val="20"/>
                <w:szCs w:val="20"/>
              </w:rPr>
            </w:pPr>
          </w:p>
        </w:tc>
        <w:tc>
          <w:tcPr>
            <w:tcW w:w="851" w:type="dxa"/>
            <w:vMerge/>
            <w:tcBorders>
              <w:left w:val="nil"/>
              <w:right w:val="single" w:sz="4" w:space="0" w:color="auto"/>
            </w:tcBorders>
          </w:tcPr>
          <w:p w:rsidR="00E80B0A" w:rsidRPr="001C4E6F" w:rsidRDefault="00E80B0A" w:rsidP="0036458B">
            <w:pPr>
              <w:jc w:val="center"/>
              <w:rPr>
                <w:bCs/>
                <w:sz w:val="20"/>
                <w:szCs w:val="20"/>
              </w:rPr>
            </w:pPr>
          </w:p>
        </w:tc>
        <w:tc>
          <w:tcPr>
            <w:tcW w:w="850" w:type="dxa"/>
            <w:vMerge/>
            <w:tcBorders>
              <w:left w:val="single" w:sz="4" w:space="0" w:color="auto"/>
              <w:right w:val="single" w:sz="4" w:space="0" w:color="auto"/>
            </w:tcBorders>
          </w:tcPr>
          <w:p w:rsidR="00E80B0A" w:rsidRPr="001C4E6F" w:rsidRDefault="00E80B0A" w:rsidP="0036458B">
            <w:pPr>
              <w:jc w:val="center"/>
              <w:rPr>
                <w:sz w:val="20"/>
                <w:szCs w:val="20"/>
              </w:rPr>
            </w:pPr>
          </w:p>
        </w:tc>
        <w:tc>
          <w:tcPr>
            <w:tcW w:w="3380" w:type="dxa"/>
            <w:vMerge/>
            <w:tcBorders>
              <w:left w:val="single" w:sz="4" w:space="0" w:color="auto"/>
              <w:right w:val="single" w:sz="4" w:space="0" w:color="auto"/>
            </w:tcBorders>
          </w:tcPr>
          <w:p w:rsidR="00E80B0A" w:rsidRPr="001C4E6F" w:rsidRDefault="00E80B0A" w:rsidP="0036458B">
            <w:pPr>
              <w:jc w:val="both"/>
              <w:rPr>
                <w:sz w:val="20"/>
                <w:szCs w:val="20"/>
              </w:rPr>
            </w:pPr>
          </w:p>
        </w:tc>
        <w:tc>
          <w:tcPr>
            <w:tcW w:w="1134" w:type="dxa"/>
            <w:vMerge/>
            <w:tcBorders>
              <w:left w:val="single" w:sz="4" w:space="0" w:color="auto"/>
              <w:right w:val="single" w:sz="4" w:space="0" w:color="auto"/>
            </w:tcBorders>
          </w:tcPr>
          <w:p w:rsidR="00E80B0A" w:rsidRPr="001C4E6F" w:rsidRDefault="00E80B0A" w:rsidP="0036458B">
            <w:pPr>
              <w:jc w:val="center"/>
              <w:rPr>
                <w:sz w:val="20"/>
                <w:szCs w:val="20"/>
              </w:rPr>
            </w:pPr>
          </w:p>
        </w:tc>
        <w:tc>
          <w:tcPr>
            <w:tcW w:w="1134" w:type="dxa"/>
            <w:vMerge/>
            <w:tcBorders>
              <w:left w:val="single" w:sz="4" w:space="0" w:color="auto"/>
              <w:right w:val="single" w:sz="12" w:space="0" w:color="auto"/>
            </w:tcBorders>
          </w:tcPr>
          <w:p w:rsidR="00E80B0A" w:rsidRPr="001C4E6F" w:rsidRDefault="00E80B0A" w:rsidP="0036458B">
            <w:pPr>
              <w:pStyle w:val="Nadpis1"/>
              <w:rPr>
                <w:b w:val="0"/>
                <w:bCs/>
                <w:sz w:val="20"/>
              </w:rPr>
            </w:pPr>
          </w:p>
        </w:tc>
      </w:tr>
      <w:tr w:rsidR="00E80B0A" w:rsidRPr="00012F6A" w:rsidTr="0036458B">
        <w:tc>
          <w:tcPr>
            <w:tcW w:w="682" w:type="dxa"/>
            <w:tcBorders>
              <w:top w:val="single" w:sz="4" w:space="0" w:color="auto"/>
              <w:left w:val="single" w:sz="12" w:space="0" w:color="auto"/>
              <w:bottom w:val="single" w:sz="4" w:space="0" w:color="auto"/>
              <w:right w:val="single" w:sz="4" w:space="0" w:color="auto"/>
            </w:tcBorders>
          </w:tcPr>
          <w:p w:rsidR="00E80B0A" w:rsidRPr="001C4E6F" w:rsidRDefault="00E80B0A" w:rsidP="0036458B">
            <w:pPr>
              <w:jc w:val="center"/>
              <w:rPr>
                <w:sz w:val="20"/>
                <w:szCs w:val="20"/>
              </w:rPr>
            </w:pPr>
            <w:r w:rsidRPr="001C4E6F">
              <w:rPr>
                <w:sz w:val="20"/>
                <w:szCs w:val="20"/>
              </w:rPr>
              <w:t>C:2</w:t>
            </w:r>
          </w:p>
          <w:p w:rsidR="00E80B0A" w:rsidRPr="001C4E6F" w:rsidRDefault="00E80B0A" w:rsidP="0036458B">
            <w:pPr>
              <w:jc w:val="center"/>
              <w:rPr>
                <w:sz w:val="20"/>
                <w:szCs w:val="20"/>
              </w:rPr>
            </w:pPr>
            <w:r w:rsidRPr="001C4E6F">
              <w:rPr>
                <w:sz w:val="20"/>
                <w:szCs w:val="20"/>
              </w:rPr>
              <w:t>O: 1</w:t>
            </w:r>
          </w:p>
          <w:p w:rsidR="00E80B0A" w:rsidRPr="001C4E6F" w:rsidRDefault="00E80B0A" w:rsidP="0036458B">
            <w:pPr>
              <w:jc w:val="center"/>
              <w:rPr>
                <w:sz w:val="20"/>
                <w:szCs w:val="20"/>
              </w:rPr>
            </w:pPr>
            <w:r w:rsidRPr="001C4E6F">
              <w:rPr>
                <w:sz w:val="20"/>
                <w:szCs w:val="20"/>
              </w:rPr>
              <w:t>P: d</w:t>
            </w:r>
          </w:p>
        </w:tc>
        <w:tc>
          <w:tcPr>
            <w:tcW w:w="5754" w:type="dxa"/>
            <w:tcBorders>
              <w:top w:val="single" w:sz="4" w:space="0" w:color="auto"/>
              <w:left w:val="single" w:sz="4" w:space="0" w:color="auto"/>
              <w:bottom w:val="single" w:sz="4" w:space="0" w:color="auto"/>
              <w:right w:val="single" w:sz="4" w:space="0" w:color="auto"/>
            </w:tcBorders>
          </w:tcPr>
          <w:p w:rsidR="00E80B0A" w:rsidRPr="001C4E6F" w:rsidRDefault="00E80B0A" w:rsidP="0036458B">
            <w:pPr>
              <w:pStyle w:val="Normlny0"/>
              <w:rPr>
                <w:bCs/>
              </w:rPr>
            </w:pPr>
            <w:r w:rsidRPr="001C4E6F">
              <w:rPr>
                <w:bCs/>
              </w:rPr>
              <w:t>d) určili členské štáty ako subjekty verejného záujmu, napríklad podniky, ktoré sú dôležité z verejného hľadiska z dôvodu povahy ich podnikania, ich veľkosti alebo počtu zamestnancov;</w:t>
            </w:r>
          </w:p>
        </w:tc>
        <w:tc>
          <w:tcPr>
            <w:tcW w:w="1156" w:type="dxa"/>
            <w:gridSpan w:val="2"/>
            <w:vMerge/>
            <w:tcBorders>
              <w:left w:val="single" w:sz="4" w:space="0" w:color="auto"/>
              <w:bottom w:val="single" w:sz="4" w:space="0" w:color="auto"/>
              <w:right w:val="single" w:sz="12" w:space="0" w:color="auto"/>
            </w:tcBorders>
          </w:tcPr>
          <w:p w:rsidR="00E80B0A" w:rsidRPr="001C4E6F" w:rsidRDefault="00E80B0A" w:rsidP="0036458B">
            <w:pPr>
              <w:jc w:val="center"/>
              <w:rPr>
                <w:sz w:val="20"/>
                <w:szCs w:val="20"/>
              </w:rPr>
            </w:pPr>
          </w:p>
        </w:tc>
        <w:tc>
          <w:tcPr>
            <w:tcW w:w="851" w:type="dxa"/>
            <w:vMerge/>
            <w:tcBorders>
              <w:left w:val="nil"/>
              <w:bottom w:val="single" w:sz="4" w:space="0" w:color="auto"/>
              <w:right w:val="single" w:sz="4" w:space="0" w:color="auto"/>
            </w:tcBorders>
          </w:tcPr>
          <w:p w:rsidR="00E80B0A" w:rsidRPr="001C4E6F" w:rsidRDefault="00E80B0A" w:rsidP="0036458B">
            <w:pPr>
              <w:jc w:val="center"/>
              <w:rPr>
                <w:bCs/>
                <w:sz w:val="20"/>
                <w:szCs w:val="20"/>
              </w:rPr>
            </w:pPr>
          </w:p>
        </w:tc>
        <w:tc>
          <w:tcPr>
            <w:tcW w:w="850" w:type="dxa"/>
            <w:vMerge/>
            <w:tcBorders>
              <w:left w:val="single" w:sz="4" w:space="0" w:color="auto"/>
              <w:bottom w:val="single" w:sz="4" w:space="0" w:color="auto"/>
              <w:right w:val="single" w:sz="4" w:space="0" w:color="auto"/>
            </w:tcBorders>
          </w:tcPr>
          <w:p w:rsidR="00E80B0A" w:rsidRPr="001C4E6F" w:rsidRDefault="00E80B0A" w:rsidP="0036458B">
            <w:pPr>
              <w:jc w:val="center"/>
              <w:rPr>
                <w:sz w:val="20"/>
                <w:szCs w:val="20"/>
              </w:rPr>
            </w:pPr>
          </w:p>
        </w:tc>
        <w:tc>
          <w:tcPr>
            <w:tcW w:w="3380" w:type="dxa"/>
            <w:vMerge/>
            <w:tcBorders>
              <w:left w:val="single" w:sz="4" w:space="0" w:color="auto"/>
              <w:bottom w:val="single" w:sz="4" w:space="0" w:color="auto"/>
              <w:right w:val="single" w:sz="4" w:space="0" w:color="auto"/>
            </w:tcBorders>
          </w:tcPr>
          <w:p w:rsidR="00E80B0A" w:rsidRPr="001C4E6F" w:rsidRDefault="00E80B0A" w:rsidP="0036458B">
            <w:pPr>
              <w:jc w:val="both"/>
              <w:rPr>
                <w:sz w:val="20"/>
                <w:szCs w:val="20"/>
              </w:rPr>
            </w:pPr>
          </w:p>
        </w:tc>
        <w:tc>
          <w:tcPr>
            <w:tcW w:w="1134" w:type="dxa"/>
            <w:vMerge/>
            <w:tcBorders>
              <w:left w:val="single" w:sz="4" w:space="0" w:color="auto"/>
              <w:bottom w:val="single" w:sz="4" w:space="0" w:color="auto"/>
              <w:right w:val="single" w:sz="4" w:space="0" w:color="auto"/>
            </w:tcBorders>
          </w:tcPr>
          <w:p w:rsidR="00E80B0A" w:rsidRPr="001C4E6F" w:rsidRDefault="00E80B0A" w:rsidP="0036458B">
            <w:pPr>
              <w:jc w:val="center"/>
              <w:rPr>
                <w:sz w:val="20"/>
                <w:szCs w:val="20"/>
              </w:rPr>
            </w:pPr>
          </w:p>
        </w:tc>
        <w:tc>
          <w:tcPr>
            <w:tcW w:w="1134" w:type="dxa"/>
            <w:vMerge/>
            <w:tcBorders>
              <w:left w:val="single" w:sz="4" w:space="0" w:color="auto"/>
              <w:bottom w:val="single" w:sz="4" w:space="0" w:color="auto"/>
              <w:right w:val="single" w:sz="12" w:space="0" w:color="auto"/>
            </w:tcBorders>
          </w:tcPr>
          <w:p w:rsidR="00E80B0A" w:rsidRPr="001C4E6F" w:rsidRDefault="00E80B0A" w:rsidP="0036458B">
            <w:pPr>
              <w:pStyle w:val="Nadpis1"/>
              <w:rPr>
                <w:b w:val="0"/>
                <w:bCs/>
                <w:sz w:val="20"/>
              </w:rPr>
            </w:pPr>
          </w:p>
        </w:tc>
      </w:tr>
    </w:tbl>
    <w:p w:rsidR="008537D8" w:rsidRPr="001C4E6F" w:rsidRDefault="001C4E6F">
      <w:pPr>
        <w:rPr>
          <w:sz w:val="20"/>
          <w:szCs w:val="20"/>
        </w:rPr>
      </w:pPr>
    </w:p>
    <w:sectPr w:rsidR="008537D8" w:rsidRPr="001C4E6F" w:rsidSect="00E80B0A">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altName w:val="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E29"/>
    <w:rsid w:val="00012F6A"/>
    <w:rsid w:val="000655BA"/>
    <w:rsid w:val="001C4E6F"/>
    <w:rsid w:val="006E0958"/>
    <w:rsid w:val="00906E29"/>
    <w:rsid w:val="009368F0"/>
    <w:rsid w:val="00BF667E"/>
    <w:rsid w:val="00E80B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A76856-A6E5-4134-B1AE-1B37C7AD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80B0A"/>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E80B0A"/>
    <w:pPr>
      <w:keepNext/>
      <w:numPr>
        <w:numId w:val="1"/>
      </w:numPr>
      <w:jc w:val="center"/>
      <w:outlineLvl w:val="0"/>
    </w:pPr>
    <w:rPr>
      <w:rFonts w:eastAsia="Arial Unicode MS"/>
      <w:b/>
      <w:sz w:val="28"/>
      <w:szCs w:val="20"/>
    </w:rPr>
  </w:style>
  <w:style w:type="paragraph" w:styleId="Nadpis2">
    <w:name w:val="heading 2"/>
    <w:aliases w:val="Úloha"/>
    <w:basedOn w:val="Normlny"/>
    <w:next w:val="Normlny"/>
    <w:link w:val="Nadpis2Char"/>
    <w:uiPriority w:val="9"/>
    <w:qFormat/>
    <w:rsid w:val="00E80B0A"/>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E80B0A"/>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E80B0A"/>
    <w:pPr>
      <w:keepNext/>
      <w:numPr>
        <w:ilvl w:val="3"/>
        <w:numId w:val="1"/>
      </w:numPr>
      <w:spacing w:before="240" w:after="60"/>
      <w:outlineLvl w:val="3"/>
    </w:pPr>
    <w:rPr>
      <w:b/>
      <w:bCs/>
      <w:sz w:val="28"/>
      <w:szCs w:val="28"/>
    </w:rPr>
  </w:style>
  <w:style w:type="paragraph" w:styleId="Nadpis5">
    <w:name w:val="heading 5"/>
    <w:basedOn w:val="Normlny"/>
    <w:next w:val="Normlny"/>
    <w:link w:val="Nadpis5Char"/>
    <w:qFormat/>
    <w:rsid w:val="00E80B0A"/>
    <w:pPr>
      <w:keepNext/>
      <w:numPr>
        <w:ilvl w:val="4"/>
        <w:numId w:val="1"/>
      </w:numPr>
      <w:outlineLvl w:val="4"/>
    </w:pPr>
    <w:rPr>
      <w:b/>
      <w:bCs/>
    </w:rPr>
  </w:style>
  <w:style w:type="paragraph" w:styleId="Nadpis6">
    <w:name w:val="heading 6"/>
    <w:basedOn w:val="Normlny"/>
    <w:next w:val="Normlny"/>
    <w:link w:val="Nadpis6Char"/>
    <w:qFormat/>
    <w:rsid w:val="00E80B0A"/>
    <w:pPr>
      <w:keepNext/>
      <w:numPr>
        <w:ilvl w:val="5"/>
        <w:numId w:val="1"/>
      </w:numPr>
      <w:jc w:val="both"/>
      <w:outlineLvl w:val="5"/>
    </w:pPr>
    <w:rPr>
      <w:b/>
      <w:bCs/>
      <w:u w:val="single"/>
    </w:rPr>
  </w:style>
  <w:style w:type="paragraph" w:styleId="Nadpis7">
    <w:name w:val="heading 7"/>
    <w:basedOn w:val="Normlny"/>
    <w:next w:val="Normlny"/>
    <w:link w:val="Nadpis7Char"/>
    <w:uiPriority w:val="99"/>
    <w:qFormat/>
    <w:rsid w:val="00E80B0A"/>
    <w:pPr>
      <w:keepNext/>
      <w:numPr>
        <w:ilvl w:val="6"/>
        <w:numId w:val="1"/>
      </w:numPr>
      <w:jc w:val="both"/>
      <w:outlineLvl w:val="6"/>
    </w:pPr>
    <w:rPr>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80B0A"/>
    <w:rPr>
      <w:rFonts w:ascii="Times New Roman" w:eastAsia="Arial Unicode MS" w:hAnsi="Times New Roman" w:cs="Times New Roman"/>
      <w:b/>
      <w:sz w:val="28"/>
      <w:szCs w:val="20"/>
      <w:lang w:eastAsia="sk-SK"/>
    </w:rPr>
  </w:style>
  <w:style w:type="character" w:customStyle="1" w:styleId="Nadpis2Char">
    <w:name w:val="Nadpis 2 Char"/>
    <w:aliases w:val="Úloha Char"/>
    <w:basedOn w:val="Predvolenpsmoodseku"/>
    <w:link w:val="Nadpis2"/>
    <w:uiPriority w:val="9"/>
    <w:rsid w:val="00E80B0A"/>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E80B0A"/>
    <w:rPr>
      <w:rFonts w:ascii="Arial" w:eastAsia="Times New Roman" w:hAnsi="Arial" w:cs="Arial"/>
      <w:b/>
      <w:bCs/>
      <w:sz w:val="26"/>
      <w:szCs w:val="26"/>
      <w:lang w:eastAsia="sk-SK"/>
    </w:rPr>
  </w:style>
  <w:style w:type="character" w:customStyle="1" w:styleId="Nadpis4Char">
    <w:name w:val="Nadpis 4 Char"/>
    <w:basedOn w:val="Predvolenpsmoodseku"/>
    <w:link w:val="Nadpis4"/>
    <w:rsid w:val="00E80B0A"/>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rsid w:val="00E80B0A"/>
    <w:rPr>
      <w:rFonts w:ascii="Times New Roman" w:eastAsia="Times New Roman" w:hAnsi="Times New Roman" w:cs="Times New Roman"/>
      <w:b/>
      <w:bCs/>
      <w:sz w:val="24"/>
      <w:szCs w:val="24"/>
      <w:lang w:eastAsia="sk-SK"/>
    </w:rPr>
  </w:style>
  <w:style w:type="character" w:customStyle="1" w:styleId="Nadpis6Char">
    <w:name w:val="Nadpis 6 Char"/>
    <w:basedOn w:val="Predvolenpsmoodseku"/>
    <w:link w:val="Nadpis6"/>
    <w:rsid w:val="00E80B0A"/>
    <w:rPr>
      <w:rFonts w:ascii="Times New Roman" w:eastAsia="Times New Roman" w:hAnsi="Times New Roman" w:cs="Times New Roman"/>
      <w:b/>
      <w:bCs/>
      <w:sz w:val="24"/>
      <w:szCs w:val="24"/>
      <w:u w:val="single"/>
      <w:lang w:eastAsia="sk-SK"/>
    </w:rPr>
  </w:style>
  <w:style w:type="character" w:customStyle="1" w:styleId="Nadpis7Char">
    <w:name w:val="Nadpis 7 Char"/>
    <w:basedOn w:val="Predvolenpsmoodseku"/>
    <w:link w:val="Nadpis7"/>
    <w:uiPriority w:val="99"/>
    <w:rsid w:val="00E80B0A"/>
    <w:rPr>
      <w:rFonts w:ascii="Times New Roman" w:eastAsia="Times New Roman" w:hAnsi="Times New Roman" w:cs="Times New Roman"/>
      <w:b/>
      <w:sz w:val="24"/>
      <w:szCs w:val="26"/>
      <w:lang w:eastAsia="sk-SK"/>
    </w:rPr>
  </w:style>
  <w:style w:type="paragraph" w:styleId="Zkladntext2">
    <w:name w:val="Body Text 2"/>
    <w:basedOn w:val="Normlny"/>
    <w:link w:val="Zkladntext2Char"/>
    <w:rsid w:val="00E80B0A"/>
    <w:pPr>
      <w:spacing w:after="120" w:line="480" w:lineRule="auto"/>
    </w:pPr>
  </w:style>
  <w:style w:type="character" w:customStyle="1" w:styleId="Zkladntext2Char">
    <w:name w:val="Základný text 2 Char"/>
    <w:basedOn w:val="Predvolenpsmoodseku"/>
    <w:link w:val="Zkladntext2"/>
    <w:rsid w:val="00E80B0A"/>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E80B0A"/>
    <w:pPr>
      <w:spacing w:after="120"/>
    </w:pPr>
    <w:rPr>
      <w:sz w:val="16"/>
      <w:szCs w:val="16"/>
    </w:rPr>
  </w:style>
  <w:style w:type="character" w:customStyle="1" w:styleId="Zkladntext3Char">
    <w:name w:val="Základný text 3 Char"/>
    <w:basedOn w:val="Predvolenpsmoodseku"/>
    <w:link w:val="Zkladntext3"/>
    <w:rsid w:val="00E80B0A"/>
    <w:rPr>
      <w:rFonts w:ascii="Times New Roman" w:eastAsia="Times New Roman" w:hAnsi="Times New Roman" w:cs="Times New Roman"/>
      <w:sz w:val="16"/>
      <w:szCs w:val="16"/>
      <w:lang w:eastAsia="sk-SK"/>
    </w:rPr>
  </w:style>
  <w:style w:type="paragraph" w:styleId="Odsekzoznamu">
    <w:name w:val="List Paragraph"/>
    <w:aliases w:val="tabulky,Conclusion de partie,Numbered Para 1,Dot pt,No Spacing1,List Paragraph Char Char Char,Indicator Text,Bullet 1,List Paragraph1,Bullet Points,MAIN CONTENT,List Paragraph12,F5 List Paragraph,Heading 2_sj,Nad"/>
    <w:basedOn w:val="Normlny"/>
    <w:link w:val="OdsekzoznamuChar"/>
    <w:uiPriority w:val="99"/>
    <w:qFormat/>
    <w:rsid w:val="00E80B0A"/>
    <w:pPr>
      <w:ind w:left="720"/>
      <w:contextualSpacing/>
    </w:pPr>
  </w:style>
  <w:style w:type="character" w:customStyle="1" w:styleId="OdsekzoznamuChar">
    <w:name w:val="Odsek zoznamu Char"/>
    <w:aliases w:val="tabulky Char,Conclusion de partie Char,Numbered Para 1 Char,Dot pt Char,No Spacing1 Char,List Paragraph Char Char Char Char,Indicator Text Char,Bullet 1 Char,List Paragraph1 Char,Bullet Points Char,MAIN CONTENT Char,Heading 2_sj Char"/>
    <w:link w:val="Odsekzoznamu"/>
    <w:uiPriority w:val="99"/>
    <w:qFormat/>
    <w:locked/>
    <w:rsid w:val="00E80B0A"/>
    <w:rPr>
      <w:rFonts w:ascii="Times New Roman" w:eastAsia="Times New Roman" w:hAnsi="Times New Roman" w:cs="Times New Roman"/>
      <w:sz w:val="24"/>
      <w:szCs w:val="24"/>
      <w:lang w:eastAsia="sk-SK"/>
    </w:rPr>
  </w:style>
  <w:style w:type="paragraph" w:customStyle="1" w:styleId="Normlny0">
    <w:name w:val="_Normálny"/>
    <w:basedOn w:val="Normlny"/>
    <w:uiPriority w:val="99"/>
    <w:rsid w:val="00E80B0A"/>
    <w:pPr>
      <w:autoSpaceDE w:val="0"/>
      <w:autoSpaceDN w:val="0"/>
    </w:pPr>
    <w:rPr>
      <w:sz w:val="20"/>
      <w:szCs w:val="20"/>
      <w:lang w:eastAsia="en-US"/>
    </w:rPr>
  </w:style>
  <w:style w:type="paragraph" w:customStyle="1" w:styleId="Zkladntext">
    <w:name w:val="Základní text"/>
    <w:aliases w:val="Základný text Char Char"/>
    <w:uiPriority w:val="99"/>
    <w:rsid w:val="00E80B0A"/>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012F6A"/>
    <w:rPr>
      <w:rFonts w:ascii="Segoe UI" w:hAnsi="Segoe UI" w:cs="Segoe UI"/>
      <w:sz w:val="18"/>
      <w:szCs w:val="18"/>
    </w:rPr>
  </w:style>
  <w:style w:type="character" w:customStyle="1" w:styleId="TextbublinyChar">
    <w:name w:val="Text bubliny Char"/>
    <w:basedOn w:val="Predvolenpsmoodseku"/>
    <w:link w:val="Textbubliny"/>
    <w:uiPriority w:val="99"/>
    <w:semiHidden/>
    <w:rsid w:val="00012F6A"/>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2611</Characters>
  <Application>Microsoft Office Word</Application>
  <DocSecurity>4</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Hajdu Ladislav</dc:creator>
  <cp:keywords/>
  <dc:description/>
  <cp:lastModifiedBy>Hajdu Ladislav</cp:lastModifiedBy>
  <cp:revision>2</cp:revision>
  <dcterms:created xsi:type="dcterms:W3CDTF">2021-12-09T07:29:00Z</dcterms:created>
  <dcterms:modified xsi:type="dcterms:W3CDTF">2021-12-09T07:29:00Z</dcterms:modified>
</cp:coreProperties>
</file>