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3815"/>
        <w:gridCol w:w="1124"/>
        <w:gridCol w:w="1004"/>
        <w:gridCol w:w="993"/>
        <w:gridCol w:w="23"/>
        <w:gridCol w:w="4726"/>
        <w:gridCol w:w="1033"/>
        <w:gridCol w:w="30"/>
        <w:gridCol w:w="280"/>
        <w:gridCol w:w="878"/>
      </w:tblGrid>
      <w:tr w:rsidR="00143B78" w:rsidRPr="00FB1F53" w14:paraId="75795B8D" w14:textId="77777777" w:rsidTr="00CE49E7">
        <w:trPr>
          <w:gridAfter w:val="1"/>
          <w:wAfter w:w="878" w:type="dxa"/>
          <w:trHeight w:val="675"/>
        </w:trPr>
        <w:tc>
          <w:tcPr>
            <w:tcW w:w="137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9D0FF2" w14:textId="77777777" w:rsidR="00143B78" w:rsidRPr="00FB1F53" w:rsidRDefault="00143B78" w:rsidP="00CE49E7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FD7602">
              <w:rPr>
                <w:b/>
                <w:bCs/>
                <w:sz w:val="20"/>
                <w:szCs w:val="20"/>
              </w:rPr>
              <w:t>TABUĽKA ZHODY</w:t>
            </w:r>
            <w:r w:rsidRPr="00FD7602">
              <w:rPr>
                <w:b/>
                <w:bCs/>
                <w:sz w:val="20"/>
                <w:szCs w:val="20"/>
              </w:rPr>
              <w:br/>
              <w:t>návrhu právneho predpisu s právom Európskej únie</w:t>
            </w:r>
            <w:bookmarkStart w:id="0" w:name="_GoBack"/>
            <w:bookmarkEnd w:id="0"/>
          </w:p>
        </w:tc>
      </w:tr>
      <w:tr w:rsidR="00143B78" w:rsidRPr="00FB1F53" w14:paraId="7DC5241B" w14:textId="77777777" w:rsidTr="00CE49E7">
        <w:trPr>
          <w:trHeight w:val="840"/>
        </w:trPr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A299B" w14:textId="77777777" w:rsidR="00143B78" w:rsidRPr="00E63853" w:rsidRDefault="004B33F8" w:rsidP="00CE49E7">
            <w:pPr>
              <w:pStyle w:val="Normlnywebov"/>
              <w:keepNext/>
              <w:keepLines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4B33F8">
              <w:rPr>
                <w:b/>
                <w:sz w:val="20"/>
                <w:szCs w:val="20"/>
              </w:rPr>
              <w:t xml:space="preserve">Smernica 2000/31/ES Európskeho parlamentu a Rady z 8. júna 2000 o určitých právnych aspektoch služieb informačnej spoločnosti na vnútornom trhu, najmä o elektronickom obchode (smernica o elektronickom obchode) </w:t>
            </w:r>
            <w:r w:rsidR="00143B78" w:rsidRPr="00E63853">
              <w:rPr>
                <w:b/>
                <w:sz w:val="20"/>
                <w:szCs w:val="20"/>
              </w:rPr>
              <w:t>(</w:t>
            </w:r>
            <w:r w:rsidRPr="004B33F8">
              <w:rPr>
                <w:b/>
                <w:iCs/>
                <w:sz w:val="20"/>
                <w:szCs w:val="20"/>
              </w:rPr>
              <w:t>Ú. v. ES L 178, 17.7.2000</w:t>
            </w:r>
            <w:r w:rsidR="00143B78" w:rsidRPr="00E63853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9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DB030A" w14:textId="77777777" w:rsidR="004B33F8" w:rsidRDefault="004B33F8" w:rsidP="00CE49E7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4B33F8">
              <w:rPr>
                <w:b/>
                <w:sz w:val="20"/>
                <w:szCs w:val="20"/>
              </w:rPr>
              <w:t>Návrh zákona, ktorým sa menia a dopĺňajú niektoré zákony v súvislosti so zlepšovaním podnikateľského prostredia</w:t>
            </w:r>
          </w:p>
          <w:p w14:paraId="50106768" w14:textId="77777777" w:rsidR="004B33F8" w:rsidRDefault="004B33F8" w:rsidP="004B33F8">
            <w:pPr>
              <w:rPr>
                <w:sz w:val="20"/>
                <w:szCs w:val="20"/>
              </w:rPr>
            </w:pPr>
          </w:p>
          <w:p w14:paraId="205BD348" w14:textId="77777777" w:rsidR="00143B78" w:rsidRPr="004B33F8" w:rsidRDefault="004B33F8" w:rsidP="004B33F8">
            <w:pPr>
              <w:rPr>
                <w:sz w:val="20"/>
                <w:szCs w:val="20"/>
              </w:rPr>
            </w:pPr>
            <w:r w:rsidRPr="004B33F8">
              <w:rPr>
                <w:sz w:val="20"/>
                <w:szCs w:val="20"/>
              </w:rPr>
              <w:t xml:space="preserve">Zákon </w:t>
            </w:r>
            <w:r>
              <w:rPr>
                <w:sz w:val="20"/>
                <w:szCs w:val="20"/>
              </w:rPr>
              <w:t xml:space="preserve">č. 22/2004 Z. z. </w:t>
            </w:r>
            <w:r w:rsidRPr="004B33F8">
              <w:rPr>
                <w:sz w:val="20"/>
                <w:szCs w:val="20"/>
              </w:rPr>
              <w:t>o elektronickom obchode a o zmene a doplnení zákona č. 128/2002 Z. z. o štátnej kontrole vnútorného trhu vo veciach ochrany spotrebiteľa a o zmene a doplnení niektorých zákonov v znení zákona č. 284/2002 Z. z.</w:t>
            </w:r>
            <w:r>
              <w:rPr>
                <w:sz w:val="20"/>
                <w:szCs w:val="20"/>
              </w:rPr>
              <w:t xml:space="preserve"> v znení neskorších predpisov</w:t>
            </w:r>
          </w:p>
        </w:tc>
      </w:tr>
      <w:tr w:rsidR="00143B78" w:rsidRPr="00FB1F53" w14:paraId="0B7ABB92" w14:textId="77777777" w:rsidTr="00CE49E7">
        <w:trPr>
          <w:trHeight w:val="25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0D6F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B04E9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3138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4EB43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52D8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E96E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80D50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5C5A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8</w:t>
            </w:r>
          </w:p>
        </w:tc>
      </w:tr>
      <w:tr w:rsidR="00143B78" w:rsidRPr="00FB1F53" w14:paraId="16FBAD55" w14:textId="77777777" w:rsidTr="00CE49E7">
        <w:trPr>
          <w:trHeight w:val="513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678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Článok</w:t>
            </w:r>
          </w:p>
          <w:p w14:paraId="3FEB6FE8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(Č, O, V, P)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0E9ED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Text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B1059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Spôsob transpozície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F0BB6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Číslo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115BD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4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BDE95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Text</w:t>
            </w:r>
          </w:p>
        </w:tc>
        <w:tc>
          <w:tcPr>
            <w:tcW w:w="10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76DBAF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Zhoda</w:t>
            </w:r>
          </w:p>
        </w:tc>
        <w:tc>
          <w:tcPr>
            <w:tcW w:w="11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D6B573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Poznámky</w:t>
            </w:r>
          </w:p>
        </w:tc>
      </w:tr>
      <w:tr w:rsidR="00143B78" w:rsidRPr="00FB1F53" w14:paraId="60B05618" w14:textId="77777777" w:rsidTr="00CE49E7">
        <w:trPr>
          <w:trHeight w:val="76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454" w14:textId="77777777" w:rsidR="00143B78" w:rsidRDefault="004B33F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Č:9</w:t>
            </w:r>
          </w:p>
          <w:p w14:paraId="2B56CB2D" w14:textId="77777777" w:rsidR="004B33F8" w:rsidRPr="00FB1F53" w:rsidRDefault="004B33F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O:2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D3CF6" w14:textId="77777777" w:rsidR="004B33F8" w:rsidRPr="004B33F8" w:rsidRDefault="004B33F8" w:rsidP="004B33F8">
            <w:pPr>
              <w:pStyle w:val="Normlnywebov"/>
              <w:keepNext/>
              <w:keepLines/>
              <w:jc w:val="both"/>
              <w:rPr>
                <w:sz w:val="20"/>
                <w:szCs w:val="20"/>
              </w:rPr>
            </w:pPr>
            <w:r w:rsidRPr="004B33F8">
              <w:rPr>
                <w:sz w:val="20"/>
                <w:szCs w:val="20"/>
              </w:rPr>
              <w:t>Členské štáty môžu ustanoviť, aby sa odsek 1 neuplatňoval na všetky alebo na určité zmluvy spadajúce do jednej z nasledujúcich kategórií:</w:t>
            </w:r>
          </w:p>
          <w:p w14:paraId="65D88B5F" w14:textId="77777777" w:rsidR="004B33F8" w:rsidRPr="004B33F8" w:rsidRDefault="004B33F8" w:rsidP="004B33F8">
            <w:pPr>
              <w:pStyle w:val="Normlnywebov"/>
              <w:keepNext/>
              <w:keepLines/>
              <w:jc w:val="both"/>
              <w:rPr>
                <w:sz w:val="20"/>
                <w:szCs w:val="20"/>
              </w:rPr>
            </w:pPr>
            <w:r w:rsidRPr="004B33F8">
              <w:rPr>
                <w:sz w:val="20"/>
                <w:szCs w:val="20"/>
              </w:rPr>
              <w:t>(a) zmluvy, ktoré vytvárajú alebo prevádzajú práva k nehnuteľnému majetku, s výnimkou nájomných práv;</w:t>
            </w:r>
          </w:p>
          <w:p w14:paraId="3F67ABD4" w14:textId="77777777" w:rsidR="004B33F8" w:rsidRPr="004B33F8" w:rsidRDefault="004B33F8" w:rsidP="004B33F8">
            <w:pPr>
              <w:pStyle w:val="Normlnywebov"/>
              <w:keepNext/>
              <w:keepLines/>
              <w:jc w:val="both"/>
              <w:rPr>
                <w:sz w:val="20"/>
                <w:szCs w:val="20"/>
              </w:rPr>
            </w:pPr>
            <w:r w:rsidRPr="004B33F8">
              <w:rPr>
                <w:sz w:val="20"/>
                <w:szCs w:val="20"/>
              </w:rPr>
              <w:t>(b) zmluvy, ktoré si podľa práva vyžadujú účasť súdov, verejných orgánov alebo profesií výkonu verejných právomocí;</w:t>
            </w:r>
          </w:p>
          <w:p w14:paraId="0737C893" w14:textId="77777777" w:rsidR="004B33F8" w:rsidRPr="004B33F8" w:rsidRDefault="004B33F8" w:rsidP="004B33F8">
            <w:pPr>
              <w:pStyle w:val="Normlnywebov"/>
              <w:keepNext/>
              <w:keepLines/>
              <w:jc w:val="both"/>
              <w:rPr>
                <w:sz w:val="20"/>
                <w:szCs w:val="20"/>
              </w:rPr>
            </w:pPr>
            <w:r w:rsidRPr="004B33F8">
              <w:rPr>
                <w:sz w:val="20"/>
                <w:szCs w:val="20"/>
              </w:rPr>
              <w:t>(c) ručiteľské zmluvy a zmluvy o dodatočnom zabezpečení cennými papiermi, ktoré sú poskytnuté osobami konajúcimi za účelom, ktorý je mimo rámca ich obchodu, podnikania alebo povolania;</w:t>
            </w:r>
          </w:p>
          <w:p w14:paraId="021659BE" w14:textId="77777777" w:rsidR="00143B78" w:rsidRPr="00FB1F53" w:rsidRDefault="004B33F8" w:rsidP="004B33F8">
            <w:pPr>
              <w:pStyle w:val="Normlnywebov"/>
              <w:keepNext/>
              <w:keepLines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B33F8">
              <w:rPr>
                <w:sz w:val="20"/>
                <w:szCs w:val="20"/>
              </w:rPr>
              <w:t>(d) zmluvy, ktoré sa riadia rodinným právom alebo dedičským právom.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D7330" w14:textId="77777777" w:rsidR="00143B78" w:rsidRPr="00FB1F53" w:rsidRDefault="004B33F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8D5E1" w14:textId="77777777" w:rsidR="00143B78" w:rsidRPr="00FB1F53" w:rsidRDefault="004B33F8" w:rsidP="004B33F8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22/2004 Z. z. + </w:t>
            </w:r>
            <w:r w:rsidR="00143B78" w:rsidRPr="004B33F8">
              <w:rPr>
                <w:b/>
                <w:sz w:val="20"/>
                <w:szCs w:val="20"/>
              </w:rPr>
              <w:t xml:space="preserve">Návrh </w:t>
            </w:r>
            <w:r w:rsidRPr="004B33F8">
              <w:rPr>
                <w:b/>
                <w:sz w:val="20"/>
                <w:szCs w:val="20"/>
              </w:rPr>
              <w:t>zákona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1D042" w14:textId="77777777" w:rsidR="00143B78" w:rsidRDefault="004B33F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§:5</w:t>
            </w:r>
          </w:p>
          <w:p w14:paraId="15CF64AC" w14:textId="77777777" w:rsidR="004B33F8" w:rsidRPr="00FB1F53" w:rsidRDefault="004B33F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O:8</w:t>
            </w:r>
          </w:p>
          <w:p w14:paraId="5055D527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  <w:p w14:paraId="07DF1BA1" w14:textId="77777777" w:rsidR="00143B78" w:rsidRPr="00FB1F53" w:rsidRDefault="00143B78" w:rsidP="00CE49E7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39687" w14:textId="77777777" w:rsidR="00394FEE" w:rsidRPr="00394FEE" w:rsidRDefault="00394FEE" w:rsidP="00394FEE">
            <w:pPr>
              <w:jc w:val="both"/>
              <w:rPr>
                <w:sz w:val="20"/>
                <w:szCs w:val="20"/>
              </w:rPr>
            </w:pPr>
            <w:r w:rsidRPr="00394FEE">
              <w:rPr>
                <w:sz w:val="20"/>
                <w:szCs w:val="20"/>
              </w:rPr>
              <w:t>Prostredníctvom elektronických zariadení nemožno uzatvoriť zmluvu,</w:t>
            </w:r>
          </w:p>
          <w:p w14:paraId="772284DE" w14:textId="77777777" w:rsidR="00394FEE" w:rsidRPr="00394FEE" w:rsidRDefault="00394FEE" w:rsidP="00394F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394FEE">
              <w:rPr>
                <w:sz w:val="20"/>
                <w:szCs w:val="20"/>
              </w:rPr>
              <w:t>na ktorú je potrebné podľa osobitného predpisu rozhodnutie súdu, orgánu verejnej správy alebo notára,</w:t>
            </w:r>
          </w:p>
          <w:p w14:paraId="025031F6" w14:textId="77777777" w:rsidR="00143B78" w:rsidRPr="00FB1F53" w:rsidRDefault="00394FEE" w:rsidP="00394F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o zabezpečení záväzkov;</w:t>
            </w:r>
            <w:r w:rsidRPr="00394FEE">
              <w:rPr>
                <w:sz w:val="20"/>
                <w:szCs w:val="20"/>
              </w:rPr>
              <w:t xml:space="preserve"> to neplatí, ak je aspoň jednou zmluvnou stranou banka aleb</w:t>
            </w:r>
            <w:r>
              <w:rPr>
                <w:sz w:val="20"/>
                <w:szCs w:val="20"/>
              </w:rPr>
              <w:t>o pobočka zahraničnej banky, poštový podnik</w:t>
            </w:r>
            <w:r w:rsidRPr="00394FEE">
              <w:rPr>
                <w:sz w:val="20"/>
                <w:szCs w:val="20"/>
              </w:rPr>
              <w:t xml:space="preserve"> alebo podnik poskytujúci elektronické komunikačné siete alebo elek</w:t>
            </w:r>
            <w:r>
              <w:rPr>
                <w:sz w:val="20"/>
                <w:szCs w:val="20"/>
              </w:rPr>
              <w:t xml:space="preserve">tronické komunikačné služby alebo </w:t>
            </w:r>
            <w:r w:rsidRPr="00394FEE">
              <w:rPr>
                <w:sz w:val="20"/>
                <w:szCs w:val="20"/>
              </w:rPr>
              <w:t>ak ide o zmluvu o zabezpečení záväzku medzi poskytovateľom leasingu a podnikateľom alebo poskytovateľom úveru a</w:t>
            </w:r>
            <w:r>
              <w:rPr>
                <w:sz w:val="20"/>
                <w:szCs w:val="20"/>
              </w:rPr>
              <w:t> </w:t>
            </w:r>
            <w:r w:rsidRPr="00394FEE">
              <w:rPr>
                <w:sz w:val="20"/>
                <w:szCs w:val="20"/>
              </w:rPr>
              <w:t>podnikateľom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960D7" w14:textId="77777777" w:rsidR="00143B78" w:rsidRPr="00FB1F53" w:rsidRDefault="004B33F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4F3F8" w14:textId="77777777" w:rsidR="00143B78" w:rsidRPr="00FB1F53" w:rsidRDefault="00143B78" w:rsidP="00CE49E7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</w:tr>
    </w:tbl>
    <w:p w14:paraId="67E3D139" w14:textId="77777777" w:rsidR="00143B78" w:rsidRPr="00FB1F53" w:rsidRDefault="00143B78" w:rsidP="00143B78"/>
    <w:p w14:paraId="29DE773D" w14:textId="77777777" w:rsidR="00143B78" w:rsidRPr="00FB1F53" w:rsidRDefault="00143B78" w:rsidP="00143B78">
      <w:pPr>
        <w:outlineLvl w:val="0"/>
        <w:rPr>
          <w:sz w:val="20"/>
          <w:szCs w:val="20"/>
        </w:rPr>
      </w:pPr>
      <w:r w:rsidRPr="00FB1F53">
        <w:rPr>
          <w:sz w:val="20"/>
          <w:szCs w:val="20"/>
        </w:rPr>
        <w:t>LEGENDA:</w:t>
      </w:r>
    </w:p>
    <w:tbl>
      <w:tblPr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6424"/>
      </w:tblGrid>
      <w:tr w:rsidR="00143B78" w:rsidRPr="00FB1F53" w14:paraId="40056430" w14:textId="77777777" w:rsidTr="00CE49E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91187B" w14:textId="77777777" w:rsidR="00143B78" w:rsidRPr="00FB1F53" w:rsidRDefault="00143B78" w:rsidP="00CE49E7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B1F53">
              <w:rPr>
                <w:lang w:eastAsia="sk-SK"/>
              </w:rPr>
              <w:t>V stĺpci (1):</w:t>
            </w:r>
          </w:p>
          <w:p w14:paraId="1764FECD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 – článok</w:t>
            </w:r>
          </w:p>
          <w:p w14:paraId="188FC954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O – odsek</w:t>
            </w:r>
          </w:p>
          <w:p w14:paraId="5F2B6099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V – veta</w:t>
            </w:r>
          </w:p>
          <w:p w14:paraId="1E25B98E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P – číslo (písmeno)</w:t>
            </w:r>
          </w:p>
          <w:p w14:paraId="284C4C9C" w14:textId="77777777" w:rsidR="00143B78" w:rsidRPr="00FB1F53" w:rsidRDefault="00143B78" w:rsidP="00CE49E7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223D637" w14:textId="77777777" w:rsidR="00143B78" w:rsidRPr="00FB1F53" w:rsidRDefault="00143B78" w:rsidP="00CE49E7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B1F53">
              <w:rPr>
                <w:lang w:eastAsia="sk-SK"/>
              </w:rPr>
              <w:t>V stĺpci (3):</w:t>
            </w:r>
          </w:p>
          <w:p w14:paraId="03DDB1C8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N – bežná transpozícia</w:t>
            </w:r>
          </w:p>
          <w:p w14:paraId="6AFA092A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O – transpozícia s možnosťou voľby</w:t>
            </w:r>
          </w:p>
          <w:p w14:paraId="153E835A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D – transpozícia podľa úvahy (dobrovoľná)</w:t>
            </w:r>
          </w:p>
          <w:p w14:paraId="1A41C72C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882B4A7" w14:textId="77777777" w:rsidR="00143B78" w:rsidRPr="00FB1F53" w:rsidRDefault="00143B78" w:rsidP="00CE49E7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B1F53">
              <w:rPr>
                <w:lang w:eastAsia="sk-SK"/>
              </w:rPr>
              <w:t>V stĺpci (5):</w:t>
            </w:r>
          </w:p>
          <w:p w14:paraId="79596A6B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 – článok</w:t>
            </w:r>
          </w:p>
          <w:p w14:paraId="76547F75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§ – paragraf</w:t>
            </w:r>
          </w:p>
          <w:p w14:paraId="22AA9D9F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O – odsek</w:t>
            </w:r>
          </w:p>
          <w:p w14:paraId="066DA8D1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V – veta</w:t>
            </w:r>
          </w:p>
          <w:p w14:paraId="37F21B6A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</w:tcPr>
          <w:p w14:paraId="5E1281E8" w14:textId="77777777" w:rsidR="00143B78" w:rsidRPr="00FB1F53" w:rsidRDefault="00143B78" w:rsidP="00CE49E7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FB1F53">
              <w:rPr>
                <w:lang w:eastAsia="sk-SK"/>
              </w:rPr>
              <w:t>V stĺpci (7):</w:t>
            </w:r>
          </w:p>
          <w:p w14:paraId="070E774D" w14:textId="77777777" w:rsidR="00143B78" w:rsidRPr="00FB1F53" w:rsidRDefault="00143B78" w:rsidP="00CE49E7">
            <w:pPr>
              <w:ind w:left="290" w:hanging="290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51038C87" w14:textId="77777777" w:rsidR="00143B78" w:rsidRPr="00FB1F53" w:rsidRDefault="00143B78" w:rsidP="00CE49E7">
            <w:pPr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103302CB" w14:textId="77777777" w:rsidR="00143B78" w:rsidRPr="00FB1F53" w:rsidRDefault="00143B78" w:rsidP="00CE49E7">
            <w:pPr>
              <w:pStyle w:val="Zarkazkladnhotextu2"/>
              <w:spacing w:after="0" w:line="240" w:lineRule="auto"/>
              <w:ind w:left="0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Ž – žiadna zhoda (ak nebola dosiahnutá ani úplná ani čiast. zhoda alebo k prebratiu dôjde v budúcnosti)</w:t>
            </w:r>
          </w:p>
          <w:p w14:paraId="0FFEE0DE" w14:textId="77777777" w:rsidR="00143B78" w:rsidRPr="00FB1F53" w:rsidRDefault="00143B78" w:rsidP="00CE49E7">
            <w:pPr>
              <w:ind w:hanging="290"/>
              <w:rPr>
                <w:sz w:val="20"/>
                <w:szCs w:val="20"/>
              </w:rPr>
            </w:pPr>
            <w:r w:rsidRPr="00FB1F53">
              <w:rPr>
                <w:sz w:val="20"/>
                <w:szCs w:val="20"/>
              </w:rPr>
              <w:t>n.   N – neaplikovateľnosť (ak sa ustanovenie smernice netýka SR alebo nie je potrebné ho prebrať)</w:t>
            </w:r>
          </w:p>
        </w:tc>
      </w:tr>
    </w:tbl>
    <w:p w14:paraId="29E1607A" w14:textId="77777777" w:rsidR="00143B78" w:rsidRPr="00940990" w:rsidRDefault="00143B78" w:rsidP="00940990">
      <w:pPr>
        <w:adjustRightInd w:val="0"/>
        <w:jc w:val="center"/>
      </w:pPr>
    </w:p>
    <w:sectPr w:rsidR="00143B78" w:rsidRPr="00940990" w:rsidSect="00143B7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C33D6" w14:textId="77777777" w:rsidR="00A52A32" w:rsidRDefault="00A52A32">
      <w:r>
        <w:separator/>
      </w:r>
    </w:p>
  </w:endnote>
  <w:endnote w:type="continuationSeparator" w:id="0">
    <w:p w14:paraId="0F035A36" w14:textId="77777777" w:rsidR="00A52A32" w:rsidRDefault="00A5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36AA7" w14:textId="77777777" w:rsidR="00424B2F" w:rsidRPr="001D6749" w:rsidRDefault="00930624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F7C3C" w14:textId="77777777" w:rsidR="00A52A32" w:rsidRDefault="00A52A32">
      <w:r>
        <w:separator/>
      </w:r>
    </w:p>
  </w:footnote>
  <w:footnote w:type="continuationSeparator" w:id="0">
    <w:p w14:paraId="094EB614" w14:textId="77777777" w:rsidR="00A52A32" w:rsidRDefault="00A5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46AB9" w14:textId="77777777" w:rsidR="00424B2F" w:rsidRPr="00CD4982" w:rsidRDefault="00930624" w:rsidP="000F6083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A9"/>
    <w:rsid w:val="0000769C"/>
    <w:rsid w:val="00143B78"/>
    <w:rsid w:val="002C71A9"/>
    <w:rsid w:val="00372017"/>
    <w:rsid w:val="00394FEE"/>
    <w:rsid w:val="004B33F8"/>
    <w:rsid w:val="00930624"/>
    <w:rsid w:val="00940990"/>
    <w:rsid w:val="009636BD"/>
    <w:rsid w:val="00967638"/>
    <w:rsid w:val="00A52A32"/>
    <w:rsid w:val="00B628A9"/>
    <w:rsid w:val="00E479DE"/>
    <w:rsid w:val="00E8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1A3A"/>
  <w15:chartTrackingRefBased/>
  <w15:docId w15:val="{2E5CE3F3-30A9-43E3-8897-707FAC1A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2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2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628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28A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628A9"/>
    <w:rPr>
      <w:color w:val="0563C1" w:themeColor="hyperlink"/>
      <w:u w:val="single"/>
    </w:rPr>
  </w:style>
  <w:style w:type="paragraph" w:customStyle="1" w:styleId="Default">
    <w:name w:val="Default"/>
    <w:rsid w:val="009409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940990"/>
    <w:pPr>
      <w:spacing w:after="0" w:line="240" w:lineRule="auto"/>
    </w:pPr>
    <w:rPr>
      <w:rFonts w:eastAsia="Times New Roman" w:cs="Times New Roman"/>
    </w:rPr>
  </w:style>
  <w:style w:type="paragraph" w:styleId="Normlnywebov">
    <w:name w:val="Normal (Web)"/>
    <w:basedOn w:val="Normlny"/>
    <w:uiPriority w:val="99"/>
    <w:unhideWhenUsed/>
    <w:rsid w:val="00143B78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59"/>
    <w:rsid w:val="0014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rsid w:val="00143B7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43B7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0">
    <w:name w:val="_Normálny"/>
    <w:basedOn w:val="Normlny"/>
    <w:rsid w:val="00143B78"/>
    <w:pPr>
      <w:autoSpaceDE w:val="0"/>
      <w:autoSpaceDN w:val="0"/>
    </w:pPr>
    <w:rPr>
      <w:sz w:val="20"/>
      <w:szCs w:val="20"/>
      <w:lang w:eastAsia="en-US"/>
    </w:rPr>
  </w:style>
  <w:style w:type="paragraph" w:customStyle="1" w:styleId="tlVavo125cmOpakovanzarka066cm">
    <w:name w:val="Štýl Vľavo:  125 cm Opakovaná zarážka:  066 cm"/>
    <w:basedOn w:val="Normlny"/>
    <w:uiPriority w:val="99"/>
    <w:rsid w:val="00143B78"/>
    <w:pPr>
      <w:ind w:left="1080" w:hanging="372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76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7638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85C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C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C9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C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C9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27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6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Tabuľka-zhody-2020-2088"/>
    <f:field ref="objsubject" par="" edit="true" text=""/>
    <f:field ref="objcreatedby" par="" text="Hajdu, Ladislav, JUDr"/>
    <f:field ref="objcreatedat" par="" text="16.11.2021 14:16:13"/>
    <f:field ref="objchangedby" par="" text="Administrator, System"/>
    <f:field ref="objmodifiedat" par="" text="16.11.2021 14:16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Bartosova Rachel Maria</dc:creator>
  <cp:keywords/>
  <dc:description/>
  <cp:lastModifiedBy>Hajdu Ladislav</cp:lastModifiedBy>
  <cp:revision>2</cp:revision>
  <cp:lastPrinted>2021-11-16T07:43:00Z</cp:lastPrinted>
  <dcterms:created xsi:type="dcterms:W3CDTF">2021-12-06T07:10:00Z</dcterms:created>
  <dcterms:modified xsi:type="dcterms:W3CDTF">2021-12-06T07:10:00Z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align="center"&gt;&lt;strong&gt;Správa o&amp;nbsp;účasti verejnosti&lt;/strong&gt;&lt;/p&gt;&lt;p align="center"&gt;&amp;nbsp;&lt;/p&gt;&lt;table border="1" cellpadding="0" cellspacing="0" width="688"&gt;	&lt;tbody&gt;		&lt;tr&gt;			&lt;td colspan="5" style="width: 688px; height: 16px;"&gt;			&lt;p align="center"&gt;&lt;stro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 Ladislav Hajdu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ktorou sa mení a dopĺňa vyhláška Ministerstva hospodárstva Slovenskej republiky č. 225/2013 Z. z., ktorou sa vykonávajú niektoré ustanovenia zákona č. 78/2012 Z. z. o bezpečnosti hračiek a o zmene a doplnení zákona č. 128/2002 Z. z. o štátnej kontrole vn</vt:lpwstr>
  </property>
  <property fmtid="{D5CDD505-2E9C-101B-9397-08002B2CF9AE}" pid="15" name="FSC#SKEDITIONSLOVLEX@103.510:nazovpredpis1">
    <vt:lpwstr>útorného trhu vo veciach ochrany spotrebiteľa a o zmene a doplnení niektorých zákonov v znení neskorších predpisov v znení zákona č. 140/2013 Z. z. v znení neskorších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Úlohy B.5 a B.6 z uznesenia vlády SR č. 177/2021_x000d_
</vt:lpwstr>
  </property>
  <property fmtid="{D5CDD505-2E9C-101B-9397-08002B2CF9AE}" pid="23" name="FSC#SKEDITIONSLOVLEX@103.510:plnynazovpredpis">
    <vt:lpwstr> Vyhláška Ministerstva hospodárstva Slovenskej republiky ktorou sa mení a dopĺňa vyhláška Ministerstva hospodárstva Slovenskej republiky č. 225/2013 Z. z., ktorou sa vykonávajú niektoré ustanovenia zákona č. 78/2012 Z. z. o bezpečnosti hračiek a o zmene a</vt:lpwstr>
  </property>
  <property fmtid="{D5CDD505-2E9C-101B-9397-08002B2CF9AE}" pid="24" name="FSC#SKEDITIONSLOVLEX@103.510:plnynazovpredpis1">
    <vt:lpwstr> doplnení zákona č. 128/2002 Z. z. o štátnej kontrole vnútorného trhu vo veciach ochrany spotrebiteľa a o zmene a doplnení niektorých zákonov v znení neskorších predpisov v znení zákona č. 140/2013 Z. z.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105104/2021-2062-224512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LP/2021/684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únie, čl. 26 a 114</vt:lpwstr>
  </property>
  <property fmtid="{D5CDD505-2E9C-101B-9397-08002B2CF9AE}" pid="47" name="FSC#SKEDITIONSLOVLEX@103.510:AttrStrListDocPropSekundarneLegPravoPO">
    <vt:lpwstr>- smernica Európskeho parlamentu a Rady 2009/48/ES z 18. júna 2009 o bezpečnosti hračiek (Ú. v. EÚ L 170, 30. 6. 2009) v platnom znení_x000d_
nariadenie Komisie (EÚ) č. 681/2013 zo 17. júla 2013, ktorým sa mení a dopĺňa časť III prílohy II k smernici Európskeho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Vec C-9/04 Návrh na začatie prejudiciálneho konania Hoge Raad der Nederlanden  </vt:lpwstr>
  </property>
  <property fmtid="{D5CDD505-2E9C-101B-9397-08002B2CF9AE}" pid="52" name="FSC#SKEDITIONSLOVLEX@103.510:AttrStrListDocPropLehotaPrebratieSmernice">
    <vt:lpwstr>- Smernica Komisie (EÚ) 2020/2088 – lehota na prevzatie: do 4. júla 2022, účinnosť od 5. júla 2022;   _x000d_
- Smernica Komisie (EÚ) 2020/2089 – lehota na prevzatie: do 4. júla 2022, účinnosť od 5. júla 2022,_x000d_
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Nebolo začaté konanie proti SR</vt:lpwstr>
  </property>
  <property fmtid="{D5CDD505-2E9C-101B-9397-08002B2CF9AE}" pid="55" name="FSC#SKEDITIONSLOVLEX@103.510:AttrStrListDocPropInfoUzPreberanePP">
    <vt:lpwstr>Úplný rozsah prebratia:_x000d_
- zákon č. 78/2012 Z. z. o bezpečnosti hračiek a o zmene a doplnení zákona č. 128/2002 Z. z. o štátnej kontrole vnútorného trhu vo veciach ochrany spotrebiteľa a o zmene a doplnení niektorých zákonov v znení neskorších predpisov;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3. 11. 2021</vt:lpwstr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 – ponechanie platného a účinného znenia právneho predpisu. Netransponovaním smerníc Európskej komisie a ponechaním status quo by však došlo k nesúladu právnych predpisov Slovenskej republiky s právom EÚ.</vt:lpwstr>
  </property>
  <property fmtid="{D5CDD505-2E9C-101B-9397-08002B2CF9AE}" pid="67" name="FSC#SKEDITIONSLOVLEX@103.510:AttrStrListDocPropStanoviskoGest">
    <vt:lpwstr>&lt;p&gt;Súhlasné s&amp;nbsp;návrhom na dopracovanie&lt;/p&gt;&lt;p&gt;Uveďte pripomienky zo stanoviska Komisie z&amp;nbsp;časti II. spolu s&amp;nbsp;Vaším vyhodnotením:&lt;/p&gt;&lt;p&gt;K doložke vybraných vplyvov&lt;/p&gt;&lt;p&gt;V&amp;nbsp; doložke vybraných vplyvov odporúča Komisia dopracovať bod 3. Ciele 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center;"&gt;Predkladacia správa&lt;/p&gt;&lt;p&gt;Návrh vyhlášky Ministerstva hospodárstva Slovenskej republiky, ktorou sa mení a&amp;nbsp;dopĺňa vyhláška Ministerstva hospodárstva Slovenskej republiky č. 225/2013 Z. z., ktorou sa vykonávajú niektoré u</vt:lpwstr>
  </property>
  <property fmtid="{D5CDD505-2E9C-101B-9397-08002B2CF9AE}" pid="150" name="FSC#SKEDITIONSLOVLEX@103.510:vytvorenedna">
    <vt:lpwstr>16. 11. 2021</vt:lpwstr>
  </property>
  <property fmtid="{D5CDD505-2E9C-101B-9397-08002B2CF9AE}" pid="151" name="FSC#COOSYSTEM@1.1:Container">
    <vt:lpwstr>COO.2145.1000.3.4668401</vt:lpwstr>
  </property>
  <property fmtid="{D5CDD505-2E9C-101B-9397-08002B2CF9AE}" pid="152" name="FSC#FSCFOLIO@1.1001:docpropproject">
    <vt:lpwstr/>
  </property>
</Properties>
</file>