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E1718" w14:textId="77777777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598B2CF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1B0FDA30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E1086C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7FDC52B5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A321F01" w14:textId="77777777" w:rsidR="001B23B7" w:rsidRPr="00B043B4" w:rsidRDefault="001B23B7" w:rsidP="009263D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688EE57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4F6E7F8" w14:textId="5044752F" w:rsidR="00117111" w:rsidRPr="00943504" w:rsidRDefault="00117111" w:rsidP="000800F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 w:rsidRPr="00117111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Návrh zákona, ktorým sa menia a dopĺňajú niektoré zákony v súvislosti so zlepšovaním podnikateľského prostredia</w:t>
            </w:r>
          </w:p>
          <w:p w14:paraId="2A1E542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CF4C5F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D05A76C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078E584F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C0FAB" w14:textId="3CEC7212" w:rsidR="001B23B7" w:rsidRPr="00A71E2A" w:rsidRDefault="00995E97" w:rsidP="000800FC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Ministerstvo hospodárstva Slovenskej republiky</w:t>
            </w:r>
          </w:p>
          <w:p w14:paraId="37D1D2B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3E23433C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ADE7249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2D36570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4A8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4BAE1049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9D729F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E72BCE7" w14:textId="77777777" w:rsidR="001B23B7" w:rsidRPr="00B043B4" w:rsidRDefault="0094350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2C5DCA3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355323C9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FB3ADC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B1E0B99" w14:textId="10400135" w:rsidR="001B23B7" w:rsidRPr="00B043B4" w:rsidRDefault="00DA104A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AAFCCD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10331A9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B196EA6" w14:textId="62FF9AF1" w:rsidR="007755B3" w:rsidRPr="007755B3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53C666E4" w14:textId="3ABD8EF4" w:rsidR="00776955" w:rsidRPr="00776955" w:rsidRDefault="00776955" w:rsidP="0077695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77695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smernica Európskeho parlamentu a Rady 2012/27/EÚ z  25. októbra 2012 o energetickej efektívnosti, ktorou sa menia a dopĺňajú smernice 2009/125/ES a 2010/30/EÚ a ktorou sa zrušujú smernice 2004/8/ES a 2006/32/ES (Ú. v. EÚ L315, 14.11.2012) v platnom znení, </w:t>
            </w:r>
          </w:p>
          <w:p w14:paraId="7D662579" w14:textId="1F788DEB" w:rsidR="00776955" w:rsidRPr="00776955" w:rsidRDefault="00776955" w:rsidP="0077695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77695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smernica Európskeho parlamentu a Rady 2011/83/EÚ z 25. októbra 2011 o právach spotrebiteľov, ktorou sa mení a dopĺňa smernica Rady 93/13/EHS a smernica Európskeho parlamentu a Rady 1999/44/ES a smernica Európskeho parlamentu a Rady 97/7/ES (Ú. v. EÚ L304, 22.11.2011) v platnom znení, </w:t>
            </w:r>
          </w:p>
          <w:p w14:paraId="0A6046C5" w14:textId="1F37B64D" w:rsidR="00776955" w:rsidRPr="00776955" w:rsidRDefault="00776955" w:rsidP="0077695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77695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smernica Európskeho parlamentu a Rady 2009/73/ES z 13. júla 2009 o spoločných pravidlách pre vnútorný trh so zemným plynom, ktorou sa zrušuje smernica 2003/55/ES (Ú. v. EÚ L211, 14.8.2009) v platnom znení, </w:t>
            </w:r>
          </w:p>
          <w:p w14:paraId="2A87B3B5" w14:textId="6EE93D2C" w:rsidR="00776955" w:rsidRPr="00776955" w:rsidRDefault="00776955" w:rsidP="0077695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77695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smernica 2000/31/ES Európskeho parlamentu a Rady z 8. júna 2000 o určitých právnych aspektoch služieb informačnej spoločnosti na vnútornom trhu, najmä o elektronickom obchode (smernica o elektronickom obchode) (Ú. v. EÚ L 178, 17.7.2000), </w:t>
            </w:r>
          </w:p>
          <w:p w14:paraId="6C1C2829" w14:textId="77777777" w:rsidR="00776955" w:rsidRPr="009372AF" w:rsidRDefault="00776955" w:rsidP="00776955">
            <w:pPr>
              <w:pStyle w:val="Odsekzoznamu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7695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 6. 2006)</w:t>
            </w:r>
            <w:r w:rsidR="009372AF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v platnom znení,</w:t>
            </w:r>
          </w:p>
          <w:p w14:paraId="35476D26" w14:textId="0C866046" w:rsidR="009372AF" w:rsidRPr="00776955" w:rsidRDefault="009372AF" w:rsidP="009372AF">
            <w:pPr>
              <w:pStyle w:val="Odsekzoznamu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9372AF">
              <w:rPr>
                <w:rFonts w:ascii="Times New Roman" w:hAnsi="Times New Roman" w:cs="Times New Roman"/>
                <w:color w:val="000000"/>
              </w:rPr>
              <w:t xml:space="preserve">Smernica Európskeho parlamentu a Rady (EÚ) 2019/944 z 5. júna 2019 o spoločných pravidlách pre vnútorný trh s elektrinou a o zmene smernice 2012/27/EÚ (Ú. v. EÚ L 158, 14.6.2019) </w:t>
            </w:r>
          </w:p>
        </w:tc>
      </w:tr>
      <w:tr w:rsidR="001B23B7" w:rsidRPr="00B043B4" w14:paraId="51DADFA7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9070F2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614" w14:textId="7560A5CF" w:rsidR="001B23B7" w:rsidRPr="00B043B4" w:rsidRDefault="0045109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</w:t>
            </w:r>
            <w:r w:rsidR="009435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eptember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/október</w:t>
            </w:r>
            <w:r w:rsidR="009435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1B23B7" w:rsidRPr="00B043B4" w14:paraId="677417A9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C2E0F5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84B" w14:textId="5277583E" w:rsidR="001B23B7" w:rsidRPr="00B043B4" w:rsidRDefault="00412546" w:rsidP="009435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</w:t>
            </w:r>
            <w:r w:rsidR="009435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1B23B7" w:rsidRPr="00B043B4" w14:paraId="7BA3299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BC963E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F49" w14:textId="488F59F1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49B95442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803A8F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6792" w14:textId="34CF3383" w:rsidR="001B23B7" w:rsidRPr="00B043B4" w:rsidRDefault="004E2A4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december 2021</w:t>
            </w:r>
          </w:p>
        </w:tc>
      </w:tr>
      <w:tr w:rsidR="001B23B7" w:rsidRPr="00B043B4" w14:paraId="3551319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E24A8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20DB243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E8824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2C4980B6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8B822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738CB0A3" w14:textId="77777777" w:rsidR="00943504" w:rsidRDefault="00943504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B9D4B0A" w14:textId="310835C6" w:rsidR="00692453" w:rsidRPr="00FA6807" w:rsidRDefault="00692453" w:rsidP="006924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FA6807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Predkladaný materiál má ambíciu prispieť k riešeniu dlhodobého problému podnikateľského prostredia v SR, a to jeho značného zaťaženia reguláciami, prijatými v čase pandémie ochorenia COVID-19, ale i reguláciami z predchádzajúcich období. Dlhodobou snahou MH SR ako gestora agendy lepšej regulácie je zbierať podnety priamo z podnikateľského prostredia a formulovať opatrenia n</w:t>
            </w:r>
            <w:r w:rsidR="00DA104A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a zníženie nákladov a zaťaženia</w:t>
            </w:r>
            <w:r w:rsidRPr="00FA6807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prameniacich z obsolentných regulácií.</w:t>
            </w:r>
          </w:p>
          <w:p w14:paraId="1C8BD5FF" w14:textId="77777777" w:rsidR="00692453" w:rsidRDefault="00692453" w:rsidP="00707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C696DB4" w14:textId="54447324" w:rsidR="00943504" w:rsidRDefault="001754A1" w:rsidP="00707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54A1">
              <w:rPr>
                <w:rFonts w:ascii="Times New Roman" w:hAnsi="Times New Roman" w:cs="Times New Roman"/>
                <w:color w:val="000000"/>
              </w:rPr>
              <w:t xml:space="preserve">Vo svojej najnovšej predikcii Národná banky Slovenska zhoršila výhľad rastu slovenského hospodárstva koncom roka 2021 a aj v roku 2022. Závislosť slovenskej ekonomiky na automobilovom priemysle robí našu ekonomiku v porovnaní s inými krajinami zraniteľnejšou. Rast ekonomiky v roku </w:t>
            </w:r>
            <w:r w:rsidRPr="001754A1">
              <w:rPr>
                <w:rFonts w:ascii="Times New Roman" w:hAnsi="Times New Roman" w:cs="Times New Roman"/>
                <w:color w:val="000000"/>
              </w:rPr>
              <w:lastRenderedPageBreak/>
              <w:t xml:space="preserve">2021 bude znížený o 1,8 p. b. z dôvodu výpadku vo výrobe áut kvôli nedostatku potrebných súčiastok. Prebiehajúca pandémia vyžaduje opatrenia, ktoré obmedzujú ekonomickú aktivitu. </w:t>
            </w:r>
            <w:r w:rsidR="00692453">
              <w:rPr>
                <w:rFonts w:ascii="Times New Roman" w:hAnsi="Times New Roman" w:cs="Times New Roman"/>
                <w:color w:val="000000"/>
              </w:rPr>
              <w:t xml:space="preserve">Na základe </w:t>
            </w:r>
            <w:r w:rsidR="00943504" w:rsidRPr="0070708F">
              <w:rPr>
                <w:rFonts w:ascii="Times New Roman" w:hAnsi="Times New Roman" w:cs="Times New Roman"/>
                <w:color w:val="000000"/>
              </w:rPr>
              <w:t>uvedených skutočností sa návrhom zákona vytvára najmä základný zákonný rámec slúžiaci na pod</w:t>
            </w:r>
            <w:r w:rsidR="00692453">
              <w:rPr>
                <w:rFonts w:ascii="Times New Roman" w:hAnsi="Times New Roman" w:cs="Times New Roman"/>
                <w:color w:val="000000"/>
              </w:rPr>
              <w:t>poru podnikateľského prostredia.</w:t>
            </w:r>
          </w:p>
          <w:p w14:paraId="23A2815D" w14:textId="4EF8504E" w:rsidR="001B23B7" w:rsidRPr="00B043B4" w:rsidRDefault="001B23B7" w:rsidP="006924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75DF33D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ADB9B3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Ciele a výsledný stav</w:t>
            </w:r>
          </w:p>
        </w:tc>
      </w:tr>
      <w:tr w:rsidR="001B23B7" w:rsidRPr="00B043B4" w14:paraId="5008CD96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3F62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749606C2" w14:textId="77777777" w:rsidR="00943504" w:rsidRPr="00943504" w:rsidRDefault="00943504" w:rsidP="0094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8E3836" w14:textId="25259FFE" w:rsidR="0070708F" w:rsidRPr="00AC5DE4" w:rsidRDefault="00692453" w:rsidP="0070708F">
            <w:pPr>
              <w:jc w:val="both"/>
              <w:rPr>
                <w:rFonts w:ascii="Times New Roman" w:eastAsia="Times New Roman" w:hAnsi="Times New Roman" w:cs="Times New Roman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sk-SK"/>
              </w:rPr>
              <w:t>H</w:t>
            </w:r>
            <w:r w:rsidRPr="00692453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>lavným cieľom je odstrániť časť nákladov podnikateľského prostredia na základe podnetov, ktoré podnikateľské prostredie identifikovalo ako problémové.</w:t>
            </w:r>
            <w:r>
              <w:rPr>
                <w:rFonts w:ascii="Times New Roman" w:eastAsia="Times New Roman" w:hAnsi="Times New Roman" w:cs="Times New Roman"/>
                <w:szCs w:val="18"/>
                <w:lang w:eastAsia="sk-SK"/>
              </w:rPr>
              <w:t xml:space="preserve"> </w:t>
            </w:r>
            <w:r w:rsidR="00943504" w:rsidRPr="00AC5DE4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 xml:space="preserve">Cieľom návrhu zákona je </w:t>
            </w:r>
            <w:r w:rsidR="0070708F" w:rsidRPr="00AC5DE4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 xml:space="preserve">podporiť rast ekonomiky Slovenska. Návrhom zákona sa odstraňujú zbytočné byrokratické ustanovenia v jednotlivých zákonoch, zrušujú sa viaceré povinnosti a odstraňujú prekážky v podnikaní a znižujú náklady pre podnikateľov. Hospodárstvo je postihnuté pandémiou choroby COVID-19 a niektorými opatreniami sa sleduje aj </w:t>
            </w:r>
            <w:r w:rsidR="00943504" w:rsidRPr="00AC5DE4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 xml:space="preserve">zmiernenie negatívnych dôsledkov súvisiacich s opatreniami proti pandémii choroby COVID-19 na podnikateľské subjekty v Slovenskej republike. </w:t>
            </w:r>
            <w:r w:rsidR="0070708F" w:rsidRPr="00AC5DE4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>Cieľom návrhu zákona je napr. znížiť zaťaženosť subjektov v energetike, zjednodušiť postupy v oblas</w:t>
            </w:r>
            <w:r w:rsidR="00CA3F6B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>ti ochrany spotrebiteľa a</w:t>
            </w:r>
            <w:r w:rsidR="0070708F" w:rsidRPr="00AC5DE4">
              <w:rPr>
                <w:rFonts w:ascii="Times New Roman" w:eastAsia="Times New Roman" w:hAnsi="Times New Roman" w:cs="Times New Roman"/>
                <w:szCs w:val="18"/>
                <w:lang w:eastAsia="sk-SK"/>
              </w:rPr>
              <w:t xml:space="preserve"> rozšíriť informatizáciu spoločnosti. </w:t>
            </w:r>
          </w:p>
          <w:p w14:paraId="7D0F53A5" w14:textId="77777777" w:rsidR="00943504" w:rsidRPr="00B043B4" w:rsidRDefault="00943504" w:rsidP="00707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0DC6E3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C3DC0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2560773A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C9856" w14:textId="77777777" w:rsidR="001B23B7" w:rsidRPr="00990DC3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7DECCDBE" w14:textId="77777777" w:rsidR="001B23B7" w:rsidRPr="00990DC3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16CEC48" w14:textId="77777777" w:rsidR="00317145" w:rsidRDefault="00F06843" w:rsidP="006F2CB4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CA3F6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Všetky kategórie podnikateľských subjektov, ktorých počet je cca </w:t>
            </w:r>
            <w:r w:rsidR="003170BC" w:rsidRPr="00CA3F6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590</w:t>
            </w:r>
            <w:r w:rsidRPr="00CA3F6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 000.</w:t>
            </w:r>
            <w:r w:rsidR="00943504" w:rsidRPr="00CA3F6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</w:p>
          <w:p w14:paraId="15D887B6" w14:textId="67D1C984" w:rsidR="00317145" w:rsidRPr="006F2CB4" w:rsidRDefault="00317145" w:rsidP="006F2CB4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Všetci zamestnanci (ženy aj muži). Stavebníci vlastniaci stavebný pozemok.</w:t>
            </w:r>
          </w:p>
          <w:p w14:paraId="44CE8F06" w14:textId="77777777" w:rsidR="00943504" w:rsidRPr="00990DC3" w:rsidRDefault="0094350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351C095" w14:textId="77777777" w:rsidR="00943504" w:rsidRPr="00990DC3" w:rsidRDefault="00943504" w:rsidP="00943504">
            <w:pPr>
              <w:rPr>
                <w:rFonts w:ascii="Times New Roman" w:eastAsia="Times New Roman" w:hAnsi="Times New Roman" w:cs="Times New Roman"/>
                <w:u w:val="single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u w:val="single"/>
                <w:lang w:eastAsia="sk-SK"/>
              </w:rPr>
              <w:t>Ústredné orgány štátnej správy:</w:t>
            </w:r>
          </w:p>
          <w:p w14:paraId="3255EC8C" w14:textId="1E293F20" w:rsidR="00943504" w:rsidRPr="00990DC3" w:rsidRDefault="00AC5DE4" w:rsidP="00AC5D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lang w:eastAsia="sk-SK"/>
              </w:rPr>
              <w:t xml:space="preserve">Ministerstvo financií SR, </w:t>
            </w:r>
            <w:r w:rsidR="00943504" w:rsidRPr="00990DC3">
              <w:rPr>
                <w:rFonts w:ascii="Times New Roman" w:eastAsia="Times New Roman" w:hAnsi="Times New Roman" w:cs="Times New Roman"/>
                <w:lang w:eastAsia="sk-SK"/>
              </w:rPr>
              <w:t>Ministerstvo dopravy a výstavby SR, Ministerstvo hospodárst</w:t>
            </w:r>
            <w:r w:rsidR="00D944C7" w:rsidRPr="00990DC3">
              <w:rPr>
                <w:rFonts w:ascii="Times New Roman" w:eastAsia="Times New Roman" w:hAnsi="Times New Roman" w:cs="Times New Roman"/>
                <w:lang w:eastAsia="sk-SK"/>
              </w:rPr>
              <w:t xml:space="preserve">va SR, </w:t>
            </w:r>
            <w:r w:rsidR="00943504" w:rsidRPr="00990DC3">
              <w:rPr>
                <w:rFonts w:ascii="Times New Roman" w:eastAsia="Times New Roman" w:hAnsi="Times New Roman" w:cs="Times New Roman"/>
                <w:lang w:eastAsia="sk-SK"/>
              </w:rPr>
              <w:t>Ministe</w:t>
            </w:r>
            <w:r w:rsidR="00D944C7" w:rsidRPr="00990DC3">
              <w:rPr>
                <w:rFonts w:ascii="Times New Roman" w:eastAsia="Times New Roman" w:hAnsi="Times New Roman" w:cs="Times New Roman"/>
                <w:lang w:eastAsia="sk-SK"/>
              </w:rPr>
              <w:t xml:space="preserve">rstvo vnútra SR, </w:t>
            </w:r>
            <w:r w:rsidRPr="00990DC3">
              <w:rPr>
                <w:rFonts w:ascii="Times New Roman" w:eastAsia="Times New Roman" w:hAnsi="Times New Roman" w:cs="Times New Roman"/>
                <w:lang w:eastAsia="sk-SK"/>
              </w:rPr>
              <w:t>Ministerstvo práce sociálnych vecí a rodiny SR, Ministerstvo životného prostredia SR, Ministerstvo investícií, regionálneho rozvoja a informatizácie, Ministerstvo pôdohospodárstva a rozvoja vidieka SR, Ministerstvo kultúry SR,</w:t>
            </w:r>
            <w:r w:rsidR="00990DC3">
              <w:rPr>
                <w:rFonts w:ascii="Times New Roman" w:eastAsia="Times New Roman" w:hAnsi="Times New Roman" w:cs="Times New Roman"/>
                <w:lang w:eastAsia="sk-SK"/>
              </w:rPr>
              <w:t xml:space="preserve"> Ministerstvo zdravotníctva,</w:t>
            </w:r>
            <w:r w:rsidRPr="00990DC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D944C7" w:rsidRPr="00990DC3">
              <w:rPr>
                <w:rFonts w:ascii="Times New Roman" w:eastAsia="Times New Roman" w:hAnsi="Times New Roman" w:cs="Times New Roman"/>
                <w:lang w:eastAsia="sk-SK"/>
              </w:rPr>
              <w:t>Úrad pre normalizáciu a metrológiu, Úrad pre reguláciu sieťových odvetví, Slovenská obchodná inšpekcia</w:t>
            </w:r>
            <w:r w:rsidR="00CA3F6B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1B23B7" w:rsidRPr="00B043B4" w14:paraId="7882AD9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CAA0A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4ABEB1C6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6228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68A477E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8992E9E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779E185F" w14:textId="77777777" w:rsidR="00831AC2" w:rsidRDefault="00831AC2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8CD347F" w14:textId="027B149E" w:rsidR="00692453" w:rsidRDefault="00692453" w:rsidP="00831AC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92453">
              <w:rPr>
                <w:sz w:val="22"/>
                <w:szCs w:val="22"/>
              </w:rPr>
              <w:t xml:space="preserve">ulový variant – v prípade nerealizácie opatrení v predloženom materiáli by podnikateľské prostredie nebolo odľahčené o záťaž vo výške </w:t>
            </w:r>
            <w:r w:rsidR="00DA104A">
              <w:rPr>
                <w:sz w:val="22"/>
                <w:szCs w:val="22"/>
              </w:rPr>
              <w:t>cca</w:t>
            </w:r>
            <w:r w:rsidR="00DA104A" w:rsidRPr="00692453">
              <w:rPr>
                <w:sz w:val="22"/>
                <w:szCs w:val="22"/>
              </w:rPr>
              <w:t xml:space="preserve"> </w:t>
            </w:r>
            <w:r w:rsidRPr="00692453">
              <w:rPr>
                <w:sz w:val="22"/>
                <w:szCs w:val="22"/>
              </w:rPr>
              <w:t>4 mil. eur</w:t>
            </w:r>
          </w:p>
          <w:p w14:paraId="067828B7" w14:textId="5D975C87" w:rsidR="00831AC2" w:rsidRPr="00B043B4" w:rsidRDefault="00831AC2" w:rsidP="00692453">
            <w:pPr>
              <w:pStyle w:val="Default"/>
              <w:jc w:val="both"/>
              <w:rPr>
                <w:rFonts w:eastAsia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4E597CE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0B6C2B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5ACFD367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19F5F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0FD360F" w14:textId="12041181" w:rsidR="001B23B7" w:rsidRPr="00B043B4" w:rsidRDefault="005556ED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DE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0F9B90" w14:textId="4B152024" w:rsidR="001B23B7" w:rsidRPr="00B043B4" w:rsidRDefault="005556ED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DE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76B071B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E0C6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545FB50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5149294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0808D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29046234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EC07F12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39D7DB49" w14:textId="45E3D543" w:rsidR="00B107F1" w:rsidRPr="00F06843" w:rsidRDefault="00B107F1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C507136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20D6" w14:textId="77777777"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4788C5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513D25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54FD634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D162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2E371475" w14:textId="0845EBC0" w:rsidR="00F06843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7D71CA10" w14:textId="77777777" w:rsidR="00692453" w:rsidRDefault="0069245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4CD44D8" w14:textId="715F766D" w:rsidR="00076A0C" w:rsidRDefault="00076A0C" w:rsidP="005F65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sa bude uskutočňovať dva roky po nadobudnutí účinnosti jednotlivých opatrení.</w:t>
            </w:r>
          </w:p>
          <w:p w14:paraId="764F2244" w14:textId="54E26F7B" w:rsidR="006D0724" w:rsidRDefault="006D072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BA75D" w14:textId="05F5270A" w:rsidR="006D0724" w:rsidRPr="00076A0C" w:rsidRDefault="006D0724" w:rsidP="005F65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F65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Hlavným cieľom je odstrániť časť nákladov podnikateľského prostredia na základe podnetov, ktoré podnikateľské prostredie identifikovalo ako problémové</w:t>
            </w:r>
            <w:r w:rsidR="005F6575" w:rsidRPr="005F65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Kritériom bude</w:t>
            </w:r>
            <w:r w:rsidRPr="005F65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% splnených</w:t>
            </w:r>
            <w:r w:rsidR="005F6575" w:rsidRPr="005F65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opatrení a zníženia</w:t>
            </w:r>
            <w:r w:rsidRPr="005F65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nákladov regulácie vzťahujúc</w:t>
            </w:r>
            <w:r w:rsidR="005F6575" w:rsidRPr="005F65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ich sa k jednotlivým opatreniam. Splnenie opatrení bude taktiež sledované a odpočtované v rámci informačných správ MH SR a plnenia uznesení vlády SR.</w:t>
            </w:r>
          </w:p>
          <w:p w14:paraId="12189AF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23FC4E51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D59C80" w14:textId="1161B330" w:rsidR="001B23B7" w:rsidRPr="00B043B4" w:rsidRDefault="001B23B7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8E1A475" w14:textId="77777777" w:rsidR="001B23B7" w:rsidRPr="00B043B4" w:rsidRDefault="001B23B7" w:rsidP="00D944C7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36EDAB2" w14:textId="77777777" w:rsidR="00A340BB" w:rsidRDefault="001B23B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6EC8AF5C" w14:textId="77777777" w:rsidR="001B23B7" w:rsidRPr="00B043B4" w:rsidRDefault="001B23B7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5C326561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1553080" w14:textId="77777777" w:rsidR="001B23B7" w:rsidRPr="00B043B4" w:rsidRDefault="001B23B7" w:rsidP="00D944C7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14:paraId="516297A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683400" w14:textId="77777777" w:rsidR="001B23B7" w:rsidRPr="00D944C7" w:rsidRDefault="001B23B7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C9F9DD7" w14:textId="77777777" w:rsidR="001B23B7" w:rsidRPr="00B043B4" w:rsidRDefault="00203EE3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2774A01" w14:textId="77777777" w:rsidR="001B23B7" w:rsidRPr="00B043B4" w:rsidRDefault="001B23B7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55EB673" w14:textId="77777777" w:rsidR="001B23B7" w:rsidRPr="00B043B4" w:rsidRDefault="00203EE3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8A0217" w14:textId="77777777" w:rsidR="001B23B7" w:rsidRPr="00B043B4" w:rsidRDefault="001B23B7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27EFB8E" w14:textId="77777777" w:rsidR="001B23B7" w:rsidRPr="00B043B4" w:rsidRDefault="00D944C7" w:rsidP="00D944C7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55033" w14:textId="77777777" w:rsidR="001B23B7" w:rsidRPr="00B043B4" w:rsidRDefault="001B23B7" w:rsidP="00D944C7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20D292C9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4E60EDDC" w14:textId="77777777" w:rsidR="00B84F87" w:rsidRPr="00D944C7" w:rsidRDefault="00B84F8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7791E4FD" w14:textId="77777777" w:rsidR="00B84F87" w:rsidRPr="00D944C7" w:rsidRDefault="00B84F8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330AB679" w14:textId="77777777" w:rsidR="001B23B7" w:rsidRPr="00D944C7" w:rsidRDefault="00B84F8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06FD79" w14:textId="6FD02E19" w:rsidR="001B23B7" w:rsidRPr="00B043B4" w:rsidRDefault="003A5B2B" w:rsidP="00D944C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6E9AA" w14:textId="77777777" w:rsidR="001B23B7" w:rsidRPr="00B043B4" w:rsidRDefault="001B23B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AF0F60" w14:textId="77777777" w:rsidR="001B23B7" w:rsidRPr="00B043B4" w:rsidRDefault="00203EE3" w:rsidP="00D944C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DAFF1" w14:textId="77777777" w:rsidR="001B23B7" w:rsidRPr="00B043B4" w:rsidRDefault="001B23B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370C4" w14:textId="4B7621F1" w:rsidR="001B23B7" w:rsidRPr="00B043B4" w:rsidRDefault="003A5B2B" w:rsidP="00D944C7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DC3C" w14:textId="77777777" w:rsidR="001B23B7" w:rsidRPr="00B043B4" w:rsidRDefault="001B23B7" w:rsidP="00D944C7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14:paraId="65234FC3" w14:textId="77777777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55EA35" w14:textId="77777777" w:rsidR="00F87681" w:rsidRPr="00D944C7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006D9A6" w14:textId="77777777" w:rsidR="00F87681" w:rsidRPr="00B043B4" w:rsidRDefault="008E66CD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D85DC5" w14:textId="77777777" w:rsidR="00F87681" w:rsidRPr="00B043B4" w:rsidRDefault="00F87681" w:rsidP="00D944C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4920558" w14:textId="77777777" w:rsidR="00F87681" w:rsidRPr="00B043B4" w:rsidRDefault="00B547F5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E3B99D" w14:textId="77777777" w:rsidR="00F87681" w:rsidRPr="00B043B4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54A229" w14:textId="77777777" w:rsidR="00F87681" w:rsidRPr="00B043B4" w:rsidRDefault="00B547F5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DEEEA" w14:textId="77777777" w:rsidR="00F87681" w:rsidRPr="00B043B4" w:rsidRDefault="00F87681" w:rsidP="00D944C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14:paraId="33BA887D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6B7D3FE" w14:textId="77777777" w:rsidR="00F87681" w:rsidRPr="00D944C7" w:rsidRDefault="00F87681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254C7D2F" w14:textId="77777777" w:rsidR="00F87681" w:rsidRPr="00D944C7" w:rsidRDefault="00F87681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26B399D" w14:textId="77777777" w:rsidR="00F87681" w:rsidRPr="00B043B4" w:rsidRDefault="008E66CD" w:rsidP="00D944C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8DDEBA" w14:textId="77777777" w:rsidR="00F87681" w:rsidRPr="00B043B4" w:rsidRDefault="00F87681" w:rsidP="00D944C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A6633B" w14:textId="77777777" w:rsidR="00F87681" w:rsidRPr="00B043B4" w:rsidRDefault="00B547F5" w:rsidP="00D944C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39C139" w14:textId="77777777" w:rsidR="00F87681" w:rsidRPr="00B043B4" w:rsidRDefault="00F87681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7B68C09" w14:textId="77777777" w:rsidR="00F87681" w:rsidRPr="00B043B4" w:rsidRDefault="00B547F5" w:rsidP="00D944C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27176D" w14:textId="77777777" w:rsidR="00F87681" w:rsidRPr="00B043B4" w:rsidRDefault="00F87681" w:rsidP="00D944C7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14:paraId="43F698B5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612FFBA" w14:textId="77777777" w:rsidR="00B84F87" w:rsidRPr="00D944C7" w:rsidRDefault="00B84F87" w:rsidP="00D94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71E92DA7" w14:textId="77777777" w:rsidR="00F87681" w:rsidRPr="00D944C7" w:rsidRDefault="00B84F87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D944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894A85" w14:textId="77777777" w:rsidR="00F87681" w:rsidRPr="00B043B4" w:rsidRDefault="008E66CD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C84B1" w14:textId="77777777" w:rsidR="00F87681" w:rsidRPr="00B043B4" w:rsidRDefault="00F87681" w:rsidP="00D944C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B52DD" w14:textId="77777777" w:rsidR="00F87681" w:rsidRPr="00B043B4" w:rsidRDefault="00F87681" w:rsidP="00D94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6DCF3" w14:textId="77777777" w:rsidR="00F87681" w:rsidRPr="00B043B4" w:rsidRDefault="00F87681" w:rsidP="00D94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F72913" w14:textId="77777777" w:rsidR="00F87681" w:rsidRPr="00B043B4" w:rsidRDefault="00203EE3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8CBB" w14:textId="77777777" w:rsidR="00F87681" w:rsidRPr="00B043B4" w:rsidRDefault="00F87681" w:rsidP="00D944C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F87681" w:rsidRPr="00990DC3" w14:paraId="15F422C5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64D2920" w14:textId="77777777" w:rsidR="00F87681" w:rsidRPr="00990DC3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92F9481" w14:textId="3229B4B4" w:rsidR="00F87681" w:rsidRPr="00990DC3" w:rsidRDefault="00990DC3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0F792" w14:textId="77777777" w:rsidR="00F87681" w:rsidRPr="00990DC3" w:rsidRDefault="00F87681" w:rsidP="00D944C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068CA8" w14:textId="43FF5C48" w:rsidR="00F87681" w:rsidRPr="00990DC3" w:rsidRDefault="00990DC3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EE32D" w14:textId="77777777" w:rsidR="00F87681" w:rsidRPr="00990DC3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6DD62B" w14:textId="0284A5C9" w:rsidR="00F87681" w:rsidRPr="00990DC3" w:rsidRDefault="00D92A61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F886" w14:textId="77777777" w:rsidR="00F87681" w:rsidRPr="00990DC3" w:rsidRDefault="00F87681" w:rsidP="00D944C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990DC3" w14:paraId="620E7FD9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E69D3B" w14:textId="77777777" w:rsidR="00F87681" w:rsidRPr="00990DC3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72ACD15" w14:textId="6973B65D" w:rsidR="00F87681" w:rsidRPr="00990DC3" w:rsidRDefault="004E2A48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A60A4" w14:textId="77777777" w:rsidR="00F87681" w:rsidRPr="00990DC3" w:rsidRDefault="00F87681" w:rsidP="00D944C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2A4E65" w14:textId="1727EAC6" w:rsidR="00F87681" w:rsidRPr="00990DC3" w:rsidRDefault="004E2A48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E31DD" w14:textId="77777777" w:rsidR="00F87681" w:rsidRPr="00990DC3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69BB577" w14:textId="77777777" w:rsidR="00F87681" w:rsidRPr="00990DC3" w:rsidRDefault="00B547F5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D6954" w14:textId="77777777" w:rsidR="00F87681" w:rsidRPr="00990DC3" w:rsidRDefault="00F87681" w:rsidP="00D944C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990DC3" w14:paraId="76FF4491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14B9AD8" w14:textId="77777777" w:rsidR="00F87681" w:rsidRPr="00990DC3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 w:rsidR="00B84F87"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C8049B4" w14:textId="0BD63A57" w:rsidR="00F87681" w:rsidRPr="00990DC3" w:rsidRDefault="00AC5DE4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8542F" w14:textId="77777777" w:rsidR="00F87681" w:rsidRPr="00990DC3" w:rsidRDefault="00F87681" w:rsidP="00D944C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E26816" w14:textId="01A7F158" w:rsidR="00F87681" w:rsidRPr="00990DC3" w:rsidRDefault="00AC5DE4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00C1A" w14:textId="77777777" w:rsidR="00F87681" w:rsidRPr="00990DC3" w:rsidRDefault="00F87681" w:rsidP="00D944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89D21E1" w14:textId="77777777" w:rsidR="00F87681" w:rsidRPr="00990DC3" w:rsidRDefault="00B547F5" w:rsidP="00D944C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985CF" w14:textId="77777777" w:rsidR="00F87681" w:rsidRPr="00990DC3" w:rsidRDefault="00F87681" w:rsidP="00D944C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990DC3" w14:paraId="34A9A02E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F65DF2" w14:textId="77777777" w:rsidR="000F2BE9" w:rsidRPr="00990DC3" w:rsidRDefault="000F2BE9" w:rsidP="00D9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99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99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EDCB7" w14:textId="77777777" w:rsidR="000F2BE9" w:rsidRPr="00990DC3" w:rsidRDefault="000F2BE9" w:rsidP="00D944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E61D1E" w14:textId="77777777" w:rsidR="000F2BE9" w:rsidRPr="00990DC3" w:rsidRDefault="000F2BE9" w:rsidP="00D944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F7CA0F" w14:textId="77777777" w:rsidR="000F2BE9" w:rsidRPr="00990DC3" w:rsidRDefault="000F2BE9" w:rsidP="00D944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F8A33" w14:textId="77777777" w:rsidR="000F2BE9" w:rsidRPr="00990DC3" w:rsidRDefault="000F2BE9" w:rsidP="00D9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59DF9" w14:textId="77777777" w:rsidR="000F2BE9" w:rsidRPr="00990DC3" w:rsidRDefault="000F2BE9" w:rsidP="00D944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FA0BF6" w14:textId="77777777" w:rsidR="000F2BE9" w:rsidRPr="00990DC3" w:rsidRDefault="000F2BE9" w:rsidP="00D944C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990DC3" w14:paraId="07402B33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72C6F2" w14:textId="77777777" w:rsidR="000F2BE9" w:rsidRPr="00990DC3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04721A2" w14:textId="3DF6BFA7" w:rsidR="000F2BE9" w:rsidRPr="00990DC3" w:rsidRDefault="00990DC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E21705" w14:textId="77777777" w:rsidR="000F2BE9" w:rsidRPr="00990DC3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39A0C7C" w14:textId="1494ED50" w:rsidR="000F2BE9" w:rsidRPr="00990DC3" w:rsidRDefault="003E38C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DDB993" w14:textId="77777777" w:rsidR="000F2BE9" w:rsidRPr="00990DC3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0253603" w14:textId="77777777" w:rsidR="000F2BE9" w:rsidRPr="00990DC3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95E35C" w14:textId="77777777" w:rsidR="000F2BE9" w:rsidRPr="00990DC3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990DC3" w14:paraId="1EE15BD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C5F0DC" w14:textId="77777777" w:rsidR="000F2BE9" w:rsidRPr="00990DC3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B5FDA4" w14:textId="77777777" w:rsidR="000F2BE9" w:rsidRPr="00990DC3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D04EA0" w14:textId="77777777" w:rsidR="000F2BE9" w:rsidRPr="00990DC3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56525FE" w14:textId="77777777" w:rsidR="000F2BE9" w:rsidRPr="00990DC3" w:rsidRDefault="008E66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6F6141" w14:textId="77777777" w:rsidR="000F2BE9" w:rsidRPr="00990DC3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FF2EE9A" w14:textId="77777777" w:rsidR="000F2BE9" w:rsidRPr="00990DC3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6AAD" w14:textId="77777777" w:rsidR="000F2BE9" w:rsidRPr="00990DC3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6123C75B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8E3880" w14:textId="77777777" w:rsidR="00A340BB" w:rsidRPr="00990DC3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1A7312" w14:textId="77777777" w:rsidR="00A340BB" w:rsidRPr="00990DC3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D5AF2" w14:textId="77777777" w:rsidR="00A340BB" w:rsidRPr="00990DC3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56D4DA" w14:textId="77777777" w:rsidR="00A340BB" w:rsidRPr="00990DC3" w:rsidRDefault="008E66C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67FD" w14:textId="77777777" w:rsidR="00A340BB" w:rsidRPr="00990DC3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1248F9" w14:textId="77777777" w:rsidR="00A340BB" w:rsidRPr="00990DC3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990DC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6027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4A3CC65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101C1FE7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E50C7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6C5878A0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2009F43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14:paraId="0CEA859D" w14:textId="77777777" w:rsidR="00396946" w:rsidRDefault="00396946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C149B53" w14:textId="074B4883" w:rsidR="00F06843" w:rsidRDefault="00396946" w:rsidP="0039694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zákona bude mať negatívny vplyv na rozpočet verejnej správy</w:t>
            </w:r>
            <w:r w:rsidR="00C5505C">
              <w:rPr>
                <w:sz w:val="22"/>
                <w:szCs w:val="22"/>
              </w:rPr>
              <w:t xml:space="preserve">, ktorý bol vyčíslený pri </w:t>
            </w:r>
            <w:r w:rsidR="008B409C">
              <w:rPr>
                <w:sz w:val="22"/>
                <w:szCs w:val="22"/>
              </w:rPr>
              <w:t>troch</w:t>
            </w:r>
            <w:r w:rsidR="00C5505C">
              <w:rPr>
                <w:sz w:val="22"/>
                <w:szCs w:val="22"/>
              </w:rPr>
              <w:t xml:space="preserve"> úlohách</w:t>
            </w:r>
            <w:r>
              <w:rPr>
                <w:sz w:val="22"/>
                <w:szCs w:val="22"/>
              </w:rPr>
              <w:t xml:space="preserve">. </w:t>
            </w:r>
            <w:r w:rsidR="00C5505C">
              <w:rPr>
                <w:sz w:val="22"/>
                <w:szCs w:val="22"/>
              </w:rPr>
              <w:t>Vplyv</w:t>
            </w:r>
            <w:r w:rsidR="008B409C">
              <w:rPr>
                <w:sz w:val="22"/>
                <w:szCs w:val="22"/>
              </w:rPr>
              <w:t xml:space="preserve"> ostatných úloh a opatrení</w:t>
            </w:r>
            <w:r w:rsidR="00C5505C">
              <w:rPr>
                <w:sz w:val="22"/>
                <w:szCs w:val="22"/>
              </w:rPr>
              <w:t xml:space="preserve"> </w:t>
            </w:r>
            <w:r w:rsidR="00F06843">
              <w:rPr>
                <w:sz w:val="22"/>
                <w:szCs w:val="22"/>
              </w:rPr>
              <w:t>však</w:t>
            </w:r>
            <w:r>
              <w:rPr>
                <w:sz w:val="22"/>
                <w:szCs w:val="22"/>
              </w:rPr>
              <w:t xml:space="preserve"> nie je možné kvantifikovať </w:t>
            </w:r>
            <w:r w:rsidR="00F06843">
              <w:rPr>
                <w:sz w:val="22"/>
                <w:szCs w:val="22"/>
              </w:rPr>
              <w:t xml:space="preserve">z dôvodu, že </w:t>
            </w:r>
            <w:r w:rsidR="00C5505C">
              <w:rPr>
                <w:sz w:val="22"/>
                <w:szCs w:val="22"/>
              </w:rPr>
              <w:t>i</w:t>
            </w:r>
            <w:r w:rsidR="00F06843">
              <w:rPr>
                <w:sz w:val="22"/>
                <w:szCs w:val="22"/>
              </w:rPr>
              <w:t>ch termín plnenia je najčastejšie v rokoch 2023</w:t>
            </w:r>
            <w:r w:rsidR="00CA3F6B">
              <w:rPr>
                <w:sz w:val="22"/>
                <w:szCs w:val="22"/>
              </w:rPr>
              <w:t xml:space="preserve"> a 2024 a zámer je momentálne</w:t>
            </w:r>
            <w:r w:rsidR="00C5505C">
              <w:rPr>
                <w:sz w:val="22"/>
                <w:szCs w:val="22"/>
              </w:rPr>
              <w:t xml:space="preserve"> </w:t>
            </w:r>
            <w:r w:rsidR="00F06843">
              <w:rPr>
                <w:sz w:val="22"/>
                <w:szCs w:val="22"/>
              </w:rPr>
              <w:t xml:space="preserve">v štádiu </w:t>
            </w:r>
            <w:r w:rsidR="00C5505C">
              <w:rPr>
                <w:sz w:val="22"/>
                <w:szCs w:val="22"/>
              </w:rPr>
              <w:t>prípravy návrhu</w:t>
            </w:r>
            <w:r w:rsidR="00F06843">
              <w:rPr>
                <w:sz w:val="22"/>
                <w:szCs w:val="22"/>
              </w:rPr>
              <w:t>.</w:t>
            </w:r>
            <w:r w:rsidR="008B409C">
              <w:rPr>
                <w:sz w:val="22"/>
                <w:szCs w:val="22"/>
              </w:rPr>
              <w:t xml:space="preserve"> </w:t>
            </w:r>
            <w:r w:rsidR="008B409C" w:rsidRPr="008B409C">
              <w:rPr>
                <w:sz w:val="22"/>
                <w:szCs w:val="22"/>
              </w:rPr>
              <w:t>Prípadné negatívne vplyvy úloh, ktoré nie sú kvantifikované, budú financované v rámci záväzných limitov zodpovedných gestorov jednotlivých úloh.</w:t>
            </w:r>
          </w:p>
          <w:p w14:paraId="5D9776F9" w14:textId="77777777" w:rsidR="00396946" w:rsidRDefault="00396946" w:rsidP="0039694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BC14A9" w14:textId="72B3F8B9" w:rsidR="00BA20FB" w:rsidRPr="003A5B2B" w:rsidRDefault="00CA3F6B" w:rsidP="0039694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 bude mať výrazne</w:t>
            </w:r>
            <w:r w:rsidR="00396946">
              <w:rPr>
                <w:sz w:val="22"/>
                <w:szCs w:val="22"/>
              </w:rPr>
              <w:t xml:space="preserve"> </w:t>
            </w:r>
            <w:r w:rsidR="00396946" w:rsidRPr="003A5B2B">
              <w:rPr>
                <w:sz w:val="22"/>
                <w:szCs w:val="22"/>
              </w:rPr>
              <w:t xml:space="preserve">pozitívny vplyv na podnikateľské prostredie. Zmeny, ktoré sú zapracované do paragrafového znenia návrhu zákona alebo budú uložené gestorom ako úlohy, prinesú hlavne zníženie administratívnych nákladov a niektoré z nich prinesú aj zníženie </w:t>
            </w:r>
            <w:r w:rsidR="00BA20FB" w:rsidRPr="003A5B2B">
              <w:rPr>
                <w:sz w:val="22"/>
                <w:szCs w:val="22"/>
              </w:rPr>
              <w:t>ne</w:t>
            </w:r>
            <w:r w:rsidR="00396946" w:rsidRPr="003A5B2B">
              <w:rPr>
                <w:sz w:val="22"/>
                <w:szCs w:val="22"/>
              </w:rPr>
              <w:t xml:space="preserve">priamych finančných nákladov podnikateľov. </w:t>
            </w:r>
          </w:p>
          <w:p w14:paraId="7D59B708" w14:textId="75CFA869" w:rsidR="00317145" w:rsidRPr="003A5B2B" w:rsidRDefault="00317145" w:rsidP="003969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7CC3C0" w14:textId="6F37F85E" w:rsidR="00317145" w:rsidRPr="003A5B2B" w:rsidRDefault="00317145" w:rsidP="00396946">
            <w:pPr>
              <w:pStyle w:val="Default"/>
              <w:jc w:val="both"/>
              <w:rPr>
                <w:sz w:val="22"/>
                <w:szCs w:val="22"/>
              </w:rPr>
            </w:pPr>
            <w:r w:rsidRPr="003A5B2B">
              <w:rPr>
                <w:sz w:val="22"/>
                <w:szCs w:val="22"/>
              </w:rPr>
              <w:t>Materiál bude mať pozitívne aj negatívne sociálne vplyvy</w:t>
            </w:r>
            <w:r w:rsidR="005F3FFF" w:rsidRPr="003A5B2B">
              <w:rPr>
                <w:sz w:val="22"/>
                <w:szCs w:val="22"/>
              </w:rPr>
              <w:t xml:space="preserve"> s prevahou pozitívnych vplyvov. </w:t>
            </w:r>
          </w:p>
          <w:p w14:paraId="487167F1" w14:textId="03310518" w:rsidR="00BA20FB" w:rsidRPr="003A5B2B" w:rsidRDefault="00BA20FB" w:rsidP="00396946">
            <w:pPr>
              <w:pStyle w:val="Default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68BAEAF" w14:textId="119C418D" w:rsidR="005F6575" w:rsidRPr="003A5B2B" w:rsidRDefault="00396946" w:rsidP="003969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5B2B">
              <w:rPr>
                <w:rFonts w:ascii="Times New Roman" w:hAnsi="Times New Roman" w:cs="Times New Roman"/>
                <w:color w:val="000000"/>
              </w:rPr>
              <w:t xml:space="preserve">Materiál bude mať </w:t>
            </w:r>
            <w:r w:rsidR="00976187" w:rsidRPr="003A5B2B">
              <w:rPr>
                <w:rFonts w:ascii="Times New Roman" w:hAnsi="Times New Roman" w:cs="Times New Roman"/>
                <w:color w:val="000000"/>
              </w:rPr>
              <w:t>pozitívny vplyv na informatizáciu spoločnosti.</w:t>
            </w:r>
          </w:p>
          <w:p w14:paraId="78CC89FD" w14:textId="77777777" w:rsidR="005F6575" w:rsidRPr="003A5B2B" w:rsidRDefault="005F6575" w:rsidP="003969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1AD6C81" w14:textId="45FCD977" w:rsidR="00396946" w:rsidRPr="003A5B2B" w:rsidRDefault="005F6575" w:rsidP="003969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5B2B">
              <w:rPr>
                <w:rFonts w:ascii="Times New Roman" w:hAnsi="Times New Roman" w:cs="Times New Roman"/>
                <w:color w:val="000000"/>
              </w:rPr>
              <w:t>Materiál bude mať pozitívny vplyv na</w:t>
            </w:r>
            <w:r w:rsidR="00692453" w:rsidRPr="003A5B2B">
              <w:rPr>
                <w:rFonts w:ascii="Times New Roman" w:hAnsi="Times New Roman" w:cs="Times New Roman"/>
                <w:color w:val="000000"/>
              </w:rPr>
              <w:t xml:space="preserve"> služ</w:t>
            </w:r>
            <w:r w:rsidRPr="003A5B2B">
              <w:rPr>
                <w:rFonts w:ascii="Times New Roman" w:hAnsi="Times New Roman" w:cs="Times New Roman"/>
                <w:color w:val="000000"/>
              </w:rPr>
              <w:t>by verejnej správy pre občana.</w:t>
            </w:r>
            <w:r w:rsidR="000208B1" w:rsidRPr="003A5B2B">
              <w:rPr>
                <w:rFonts w:ascii="Times New Roman" w:hAnsi="Times New Roman" w:cs="Times New Roman"/>
                <w:color w:val="000000"/>
              </w:rPr>
              <w:t xml:space="preserve"> Občanom sa napr. zníži administratívna záťaž pri prístupe do elektronickej schránky.</w:t>
            </w:r>
          </w:p>
          <w:p w14:paraId="3528768B" w14:textId="77777777"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14:paraId="5EC9713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1892E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410B3FD7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A3D2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19DEA2C2" w14:textId="77777777" w:rsidR="006C0766" w:rsidRDefault="006C0766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169C82" w14:textId="77777777" w:rsidR="00831AC2" w:rsidRPr="00BA20FB" w:rsidRDefault="006C0766" w:rsidP="000800FC">
            <w:pPr>
              <w:rPr>
                <w:rFonts w:ascii="Times New Roman" w:eastAsia="Times New Roman" w:hAnsi="Times New Roman" w:cs="Times New Roman"/>
                <w:i/>
                <w:szCs w:val="20"/>
                <w:lang w:eastAsia="sk-SK"/>
              </w:rPr>
            </w:pPr>
            <w:r w:rsidRPr="00BA20F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Sekcia konkurencieschopnosti, odbor zlepšovania podnikateľského prostredia:</w:t>
            </w:r>
          </w:p>
          <w:p w14:paraId="1ED1DAB8" w14:textId="12C76255" w:rsidR="00CA3F6B" w:rsidRPr="00E8236A" w:rsidRDefault="00CA3F6B" w:rsidP="00CA3F6B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BA20F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Ing. Adriána Valášková, 02/4254 1904, </w:t>
            </w:r>
            <w:hyperlink r:id="rId8" w:history="1">
              <w:r w:rsidR="008B409C" w:rsidRPr="00A47C9E">
                <w:rPr>
                  <w:rStyle w:val="Hypertextovprepojenie"/>
                  <w:rFonts w:ascii="Times New Roman" w:eastAsia="Times New Roman" w:hAnsi="Times New Roman" w:cs="Times New Roman"/>
                  <w:szCs w:val="20"/>
                  <w:lang w:eastAsia="sk-SK"/>
                </w:rPr>
                <w:t>adriana.valaskova</w:t>
              </w:r>
              <w:r w:rsidR="008B409C" w:rsidRPr="00E8236A">
                <w:rPr>
                  <w:rStyle w:val="Hypertextovprepojenie"/>
                  <w:rFonts w:ascii="Times New Roman" w:eastAsia="Times New Roman" w:hAnsi="Times New Roman" w:cs="Times New Roman"/>
                  <w:szCs w:val="20"/>
                  <w:lang w:eastAsia="sk-SK"/>
                </w:rPr>
                <w:t>@mhsr.sk</w:t>
              </w:r>
            </w:hyperlink>
            <w:r w:rsidR="008B409C" w:rsidRPr="00E8236A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</w:p>
          <w:p w14:paraId="02FD512A" w14:textId="6B20D70A" w:rsidR="006C0766" w:rsidRDefault="008E66CD" w:rsidP="00CA3F6B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BA20F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Ing. Veronika Čopíková, 02</w:t>
            </w:r>
            <w:r w:rsidR="00B533A3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/</w:t>
            </w:r>
            <w:r w:rsidRPr="00BA20F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4854 7048, </w:t>
            </w:r>
            <w:hyperlink r:id="rId9" w:history="1">
              <w:r w:rsidR="008B409C" w:rsidRPr="00A47C9E">
                <w:rPr>
                  <w:rStyle w:val="Hypertextovprepojenie"/>
                  <w:rFonts w:ascii="Times New Roman" w:eastAsia="Times New Roman" w:hAnsi="Times New Roman" w:cs="Times New Roman"/>
                  <w:szCs w:val="20"/>
                  <w:lang w:eastAsia="sk-SK"/>
                </w:rPr>
                <w:t>veronika.copikova@mhsr.sk</w:t>
              </w:r>
            </w:hyperlink>
          </w:p>
          <w:p w14:paraId="423D3446" w14:textId="43BD36DB" w:rsidR="008B409C" w:rsidRPr="008B409C" w:rsidRDefault="008B409C" w:rsidP="00CA3F6B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Ing. Miloslav Andraško, 02/48545013, </w:t>
            </w:r>
            <w:hyperlink r:id="rId10" w:history="1">
              <w:r w:rsidRPr="00A47C9E">
                <w:rPr>
                  <w:rStyle w:val="Hypertextovprepojenie"/>
                  <w:rFonts w:ascii="Times New Roman" w:eastAsia="Times New Roman" w:hAnsi="Times New Roman" w:cs="Times New Roman"/>
                  <w:szCs w:val="20"/>
                  <w:lang w:eastAsia="sk-SK"/>
                </w:rPr>
                <w:t>miloslav.andrasko</w:t>
              </w:r>
              <w:r w:rsidRPr="00E8236A">
                <w:rPr>
                  <w:rStyle w:val="Hypertextovprepojenie"/>
                  <w:rFonts w:ascii="Times New Roman" w:eastAsia="Times New Roman" w:hAnsi="Times New Roman" w:cs="Times New Roman"/>
                  <w:szCs w:val="20"/>
                  <w:lang w:val="sv-SE" w:eastAsia="sk-SK"/>
                </w:rPr>
                <w:t>@</w:t>
              </w:r>
              <w:r w:rsidRPr="00A47C9E">
                <w:rPr>
                  <w:rStyle w:val="Hypertextovprepojenie"/>
                  <w:rFonts w:ascii="Times New Roman" w:eastAsia="Times New Roman" w:hAnsi="Times New Roman" w:cs="Times New Roman"/>
                  <w:szCs w:val="20"/>
                  <w:lang w:eastAsia="sk-SK"/>
                </w:rPr>
                <w:t>mhsr.sk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</w:p>
        </w:tc>
      </w:tr>
      <w:tr w:rsidR="001B23B7" w:rsidRPr="00B043B4" w14:paraId="0AAA426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79CEFD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40DEAB68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6851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CBC68A" w14:textId="77777777" w:rsidR="001B23B7" w:rsidRPr="00BA20FB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D5D8CB8" w14:textId="69B5AF2F" w:rsidR="001B23B7" w:rsidRDefault="003E38C1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533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Zdrojmi sú interné štatistiky jednotlivých gestorov a zároveň spolupráca s gestormi. Na kvantifikáciu opatrení boli využité štatistiky</w:t>
            </w:r>
            <w:r w:rsidR="00D93F1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="00D93F1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Finstat</w:t>
            </w:r>
            <w:proofErr w:type="spellEnd"/>
            <w:r w:rsidR="00D93F1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iné, linky uvedené nižšie)</w:t>
            </w:r>
            <w:r w:rsidRPr="00B533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interné štatistiky, Kalkulačka nákladov</w:t>
            </w:r>
            <w:r w:rsidR="006924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hyperlink r:id="rId11" w:history="1">
              <w:r w:rsidR="00692453" w:rsidRPr="00BA1F08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https://www.mhsr.sk/podnikatelske-prostredie/jednotna-metodika/dokumenty</w:t>
              </w:r>
            </w:hyperlink>
            <w:r w:rsidR="006924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B533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expertné odhady.</w:t>
            </w:r>
          </w:p>
          <w:p w14:paraId="4B3B02F9" w14:textId="77777777" w:rsidR="00692453" w:rsidRDefault="00692453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A3A63EF" w14:textId="26975888" w:rsidR="00692453" w:rsidRDefault="00D93F1E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Zdroje – štatistiky, cenníky:</w:t>
            </w:r>
          </w:p>
          <w:p w14:paraId="3E5ED4BB" w14:textId="67648ACC" w:rsidR="00692453" w:rsidRDefault="005556ED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2" w:history="1">
              <w:r w:rsidR="00692453" w:rsidRPr="00BA1F08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https://www.urso.gov.sk/2710-sk/informacny-servis/</w:t>
              </w:r>
            </w:hyperlink>
          </w:p>
          <w:p w14:paraId="3B4427B1" w14:textId="59B037A6" w:rsidR="00D93F1E" w:rsidRDefault="005556ED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3" w:anchor="!/view/sk/VBD_SK_WIN/ob3004rr/v_ob3004rr_00_00_00_sk" w:history="1">
              <w:r w:rsidR="00D93F1E" w:rsidRPr="00BA1F08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http://datacube.statistics.sk/#!/view/sk/VBD_SK_WIN/ob3004rr/v_ob3004rr_00_00_00_sk</w:t>
              </w:r>
            </w:hyperlink>
          </w:p>
          <w:p w14:paraId="0646BFB8" w14:textId="436B12C8" w:rsidR="00D93F1E" w:rsidRDefault="005556ED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4" w:history="1">
              <w:r w:rsidR="00D93F1E" w:rsidRPr="00BA1F08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https://www.vse.sk/sdoc/doc/elektrina/cenniky/2020/Cennik-MP-2020-male-podniky-VSE.pdf</w:t>
              </w:r>
            </w:hyperlink>
          </w:p>
          <w:p w14:paraId="6BBC9DD2" w14:textId="6E38719B" w:rsidR="00D93F1E" w:rsidRDefault="005556ED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5" w:history="1">
              <w:r w:rsidR="00D93F1E" w:rsidRPr="00BA1F08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https://www.uksup.sk/ovv-certifikacia-vinarskych-produktov</w:t>
              </w:r>
            </w:hyperlink>
          </w:p>
          <w:p w14:paraId="628C712D" w14:textId="1363C455" w:rsidR="00692453" w:rsidRPr="00B533A3" w:rsidRDefault="00692453" w:rsidP="00692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3E1F65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9628960" w14:textId="7235A53B" w:rsidR="001B23B7" w:rsidRPr="00B043B4" w:rsidRDefault="001B23B7" w:rsidP="002F7A5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2F7A5A" w:rsidRPr="002F7A5A">
              <w:rPr>
                <w:rFonts w:ascii="Times New Roman" w:eastAsia="Calibri" w:hAnsi="Times New Roman" w:cs="Times New Roman"/>
                <w:b/>
              </w:rPr>
              <w:t>188/2021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143D047D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37D6E747" w14:textId="77777777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4E8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393FA8D5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C91D3AD" w14:textId="77777777" w:rsidR="001B23B7" w:rsidRPr="00B043B4" w:rsidRDefault="005556E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17276C0" w14:textId="4272ED6D" w:rsidR="001B23B7" w:rsidRPr="00B043B4" w:rsidRDefault="005556E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7A5A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7F429AF5" w14:textId="77777777" w:rsidR="001B23B7" w:rsidRPr="00B043B4" w:rsidRDefault="005556E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A3CC8B9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41EDBE0" w14:textId="63D39A46" w:rsidR="00D93F1E" w:rsidRDefault="00D93F1E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7D255EE" w14:textId="6B3777E1" w:rsidR="00410870" w:rsidRDefault="00410870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33868F3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0870">
              <w:rPr>
                <w:b/>
                <w:bCs/>
                <w:sz w:val="22"/>
                <w:szCs w:val="22"/>
                <w:lang w:eastAsia="ar-SA"/>
              </w:rPr>
              <w:t>K doložke vybraných vplyvov</w:t>
            </w:r>
          </w:p>
          <w:p w14:paraId="461EFA35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870">
              <w:rPr>
                <w:rFonts w:ascii="Times New Roman" w:hAnsi="Times New Roman" w:cs="Times New Roman"/>
                <w:color w:val="000000"/>
              </w:rPr>
              <w:t xml:space="preserve">V bode 8. Preskúmanie  účelnosti je uvedený len termín preskúmania, Komisia odporúča dopracovať aj kritériá na základe, ktorých bude preskúmanie vykonané. </w:t>
            </w:r>
          </w:p>
          <w:p w14:paraId="2D71AB7B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CCC5A8E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10870">
              <w:rPr>
                <w:rFonts w:ascii="Times New Roman" w:hAnsi="Times New Roman" w:cs="Times New Roman"/>
                <w:i/>
                <w:color w:val="000000"/>
              </w:rPr>
              <w:t>AKCEPTOVANÉ – kritériá boli doplnené.</w:t>
            </w:r>
          </w:p>
          <w:p w14:paraId="46BB07BA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0243414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870">
              <w:rPr>
                <w:rFonts w:ascii="Times New Roman" w:hAnsi="Times New Roman" w:cs="Times New Roman"/>
                <w:color w:val="000000"/>
              </w:rPr>
              <w:t>V časti 10. Poznámky Komisia odporúča uviesť aj hodnotenie ďalších vyznačených vplyvov</w:t>
            </w:r>
            <w:r w:rsidRPr="0041087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t.j. </w:t>
            </w:r>
            <w:r w:rsidRPr="00410870">
              <w:rPr>
                <w:rFonts w:ascii="Times New Roman" w:hAnsi="Times New Roman" w:cs="Times New Roman"/>
                <w:color w:val="000000"/>
              </w:rPr>
              <w:t>že predkladaný materiál bude mať vplyv aj na životné prostredie, služby verejnej správy pre občana a sociálne vplyvy.</w:t>
            </w:r>
          </w:p>
          <w:p w14:paraId="57EE9E02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8309C26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10870">
              <w:rPr>
                <w:rFonts w:ascii="Times New Roman" w:hAnsi="Times New Roman" w:cs="Times New Roman"/>
                <w:i/>
                <w:color w:val="000000"/>
              </w:rPr>
              <w:t>AKCEPTOVANÉ – hodnotenie ďalších vyznačených vplyvov bolo doplnené.</w:t>
            </w:r>
          </w:p>
          <w:p w14:paraId="7BE34D72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A1F0121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870">
              <w:rPr>
                <w:rFonts w:ascii="Times New Roman" w:hAnsi="Times New Roman" w:cs="Times New Roman"/>
                <w:color w:val="000000"/>
              </w:rPr>
              <w:t>V doložke vybraných vplyvov Komisia odporúča predkladateľovi v bode 4. vyznačiť okrem uvedených dotknutých subjektov aj občanov, ktorí komunikujú s úradmi prostredníctvom Ústredného portálu verejnej správy</w:t>
            </w:r>
          </w:p>
          <w:p w14:paraId="727B2C6C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A64187A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10870">
              <w:rPr>
                <w:rFonts w:ascii="Times New Roman" w:hAnsi="Times New Roman" w:cs="Times New Roman"/>
                <w:i/>
                <w:color w:val="000000"/>
              </w:rPr>
              <w:t>AKCEPTOVANÉ – dotknuté subjekty – občania boli doplnení.</w:t>
            </w:r>
          </w:p>
          <w:p w14:paraId="6D0BFA3A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F8B7149" w14:textId="77777777" w:rsidR="00410870" w:rsidRPr="00410870" w:rsidRDefault="00410870" w:rsidP="004108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3860537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410870">
              <w:rPr>
                <w:b/>
                <w:bCs/>
                <w:sz w:val="22"/>
                <w:szCs w:val="22"/>
                <w:lang w:eastAsia="ar-SA"/>
              </w:rPr>
              <w:t>K vplyvom na rozpočet verejnej správy</w:t>
            </w:r>
          </w:p>
          <w:p w14:paraId="6782E705" w14:textId="13EF365B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 xml:space="preserve">V analýze vplyvov na rozpočet obcí je uvedený výpadok príjmov vo výške 450 tis. eur na rok 2023 a 550 tis. eur na rok 2024 súvisiaci s výpadkom príjmov z dane z pozemkov. Komisia upozorňuje, že z popisu v časti 2.1.1. nie je úplne zrejmé, či tento vplyv bude v plnej miere zabezpečený možným kompenzovaním prostredníctvom zvýšenia iných sadzieb daní. Z tohto dôvodu Komisia odporúča úbytok príjmov neuvádzať v riadkoch tabuľky č. 1 v časti „Financovanie zabezpečené v rozpočte“. Zároveň Komisia odporúča návrh na kompenzáciu výpadku príjmov popísať konkrétnejšie. </w:t>
            </w:r>
          </w:p>
          <w:p w14:paraId="5B04FCA0" w14:textId="77777777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58B9CC35" w14:textId="77A8287F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i/>
                <w:color w:val="000000"/>
                <w:sz w:val="22"/>
                <w:szCs w:val="22"/>
              </w:rPr>
              <w:t>AKCEPTOVANÉ –</w:t>
            </w:r>
            <w:r>
              <w:rPr>
                <w:i/>
                <w:color w:val="000000"/>
                <w:sz w:val="22"/>
                <w:szCs w:val="22"/>
              </w:rPr>
              <w:t xml:space="preserve"> úbytok príjmov obcí bol presunutý do časti „Rozpočtovo nekryté vplyvy“ a zároveň bol doplnený návrh</w:t>
            </w:r>
            <w:r w:rsidR="003A5B2B">
              <w:rPr>
                <w:i/>
                <w:color w:val="000000"/>
                <w:sz w:val="22"/>
                <w:szCs w:val="22"/>
              </w:rPr>
              <w:t xml:space="preserve"> na kompenzáciu výpadku príjmov a to napr. </w:t>
            </w:r>
            <w:r w:rsidR="003A5B2B" w:rsidRPr="003A5B2B">
              <w:rPr>
                <w:i/>
                <w:color w:val="000000"/>
                <w:sz w:val="22"/>
                <w:szCs w:val="22"/>
              </w:rPr>
              <w:t xml:space="preserve">formou zvýšenia </w:t>
            </w:r>
            <w:r w:rsidR="003A5B2B" w:rsidRPr="003A5B2B">
              <w:rPr>
                <w:bCs/>
                <w:i/>
                <w:sz w:val="22"/>
                <w:szCs w:val="22"/>
              </w:rPr>
              <w:t>niektorých iných sadzieb napr. daň za užívanie verejného priestranstva, daň za ubytovanie, daň za predajné automaty, daň za nevýherné hracie prístroje, vydávanie parkovacej karty a pod.</w:t>
            </w:r>
          </w:p>
          <w:p w14:paraId="23E59511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39947662" w14:textId="695C6F79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V prepracovanej analýze vplyvov je kvantifikovaný negatívny, rozpočtovo zabezpečený vplyv na rozpočet verejnej správy. Vplyv je vyčíslený iba pri troch úlohách, pri ostatných opatreniach nie je možné vplyv kvantifikovať z dôvodu, že ich termín plnenia je najčastejšie v rokoch 2023 a 2024 a zámer je momentálne v štádiu prípravy návrhu, pričom prípadné negatívne vplyvy úloh, ktoré nie sú kvantifikované, budú financované v rámci záväzných limitov zodpovedných gestorov jednotlivých úloh. V doložke vybraných vplyvov Komisia žiada jednoznačne uviesť, či všetky navrhované opatrenia boli odkomunikované s dotknutými rezortami a či súhlasia s financovaním jednotlivých úloh v rámci záväzných limitov svojich rezortov.</w:t>
            </w:r>
          </w:p>
          <w:p w14:paraId="1A2D5DA2" w14:textId="596DE02C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73DED65" w14:textId="5AFD26C6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i/>
                <w:color w:val="000000"/>
                <w:sz w:val="22"/>
                <w:szCs w:val="22"/>
              </w:rPr>
              <w:t>AKCEPTOVANÉ –</w:t>
            </w:r>
            <w:r>
              <w:rPr>
                <w:i/>
                <w:color w:val="000000"/>
                <w:sz w:val="22"/>
                <w:szCs w:val="22"/>
              </w:rPr>
              <w:t xml:space="preserve"> bol doplnený text, že </w:t>
            </w:r>
            <w:r w:rsidRPr="00410870">
              <w:rPr>
                <w:i/>
                <w:color w:val="000000"/>
                <w:sz w:val="22"/>
                <w:szCs w:val="22"/>
              </w:rPr>
              <w:t>všetky navrhované opatrenia boli odkomuniko</w:t>
            </w:r>
            <w:r>
              <w:rPr>
                <w:i/>
                <w:color w:val="000000"/>
                <w:sz w:val="22"/>
                <w:szCs w:val="22"/>
              </w:rPr>
              <w:t>vané s dotknutými rezortami a tie</w:t>
            </w:r>
            <w:r w:rsidRPr="00410870">
              <w:rPr>
                <w:i/>
                <w:color w:val="000000"/>
                <w:sz w:val="22"/>
                <w:szCs w:val="22"/>
              </w:rPr>
              <w:t xml:space="preserve"> súhlasia s financovaním jednotlivých úloh v rámci záväzných limitov svojich rezortov.</w:t>
            </w:r>
          </w:p>
          <w:p w14:paraId="0F8E52D7" w14:textId="0BC41305" w:rsidR="00410870" w:rsidRDefault="00410870" w:rsidP="00410870">
            <w:pPr>
              <w:pStyle w:val="norm00e1lny"/>
              <w:spacing w:line="240" w:lineRule="atLeast"/>
              <w:rPr>
                <w:sz w:val="22"/>
                <w:szCs w:val="22"/>
              </w:rPr>
            </w:pPr>
          </w:p>
          <w:p w14:paraId="620CAF49" w14:textId="77777777" w:rsidR="00410870" w:rsidRPr="00410870" w:rsidRDefault="00410870" w:rsidP="00410870">
            <w:pPr>
              <w:pStyle w:val="norm00e1lny"/>
              <w:spacing w:line="240" w:lineRule="atLeast"/>
              <w:rPr>
                <w:b/>
                <w:sz w:val="22"/>
                <w:szCs w:val="22"/>
              </w:rPr>
            </w:pPr>
            <w:r w:rsidRPr="00410870">
              <w:rPr>
                <w:b/>
                <w:sz w:val="22"/>
                <w:szCs w:val="22"/>
              </w:rPr>
              <w:t>K vplyvom na informatizáciu spoločnosti</w:t>
            </w:r>
          </w:p>
          <w:p w14:paraId="1BAD71AB" w14:textId="39EC4A4E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Komisia súhlasí s tým, že predmetný návrh zákona má vplyv na informatizáciu spoločnosti. Je však nutné vykonať drobnú úpravu analýzy vplyvov na informatizáciu spoločnosti v zmysle telefonickej konzultácie s predkladateľom.</w:t>
            </w:r>
          </w:p>
          <w:p w14:paraId="38EB7757" w14:textId="3C4E18C0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B1856EB" w14:textId="1A4910AF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i/>
                <w:color w:val="000000"/>
                <w:sz w:val="22"/>
                <w:szCs w:val="22"/>
              </w:rPr>
              <w:t>AKCEPTOVANÉ –</w:t>
            </w:r>
            <w:r>
              <w:rPr>
                <w:i/>
                <w:color w:val="000000"/>
                <w:sz w:val="22"/>
                <w:szCs w:val="22"/>
              </w:rPr>
              <w:t xml:space="preserve"> úprava bola vykonaná.</w:t>
            </w:r>
          </w:p>
          <w:p w14:paraId="67EE610B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73187CD" w14:textId="77777777" w:rsidR="00410870" w:rsidRPr="00410870" w:rsidRDefault="00410870" w:rsidP="00410870">
            <w:pPr>
              <w:pStyle w:val="norm00e1lny"/>
              <w:spacing w:line="240" w:lineRule="atLeast"/>
              <w:rPr>
                <w:b/>
                <w:sz w:val="22"/>
                <w:szCs w:val="22"/>
              </w:rPr>
            </w:pPr>
            <w:r w:rsidRPr="00410870">
              <w:rPr>
                <w:b/>
                <w:sz w:val="22"/>
                <w:szCs w:val="22"/>
              </w:rPr>
              <w:t>K sociálnym vplyvom</w:t>
            </w:r>
          </w:p>
          <w:p w14:paraId="4233C6D2" w14:textId="2957A4D9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V hodnotení opatrenia „zrušenie štátneho sviatku 1. september“ uvedeného v bode 4.1.2 sociálnej analýzy je potrebné upraviť znenie negatívneho vplyvu č. 2 nasledovne:  „Podľa Zákonníka práce zamestnanec, ktorý v deň sviatku pracuje, má nárok okrem mzdy na zvýhodnenie - príplatok za sviatok vo výške 100 % z priemerného zárobku. Z tohto dôvodu je vyčíslenie negatívneho vplyvu na jedného zamestnanca, ktorý doteraz pracoval počas sviatku a mal nárok na príplatky k mzde počas sviatku, avšak po zmene stratí nárok na príplatok za prácu dňa 1. septembra v priemernej výške 57,24 eur (priemerná mesačná hrubá mzda 1202 eur / 21 pracovných dní)“. Zároveň je potrebné kvantifikácie premiestniť z časti určenej na opis opatrenia do časti určenej na kvantifikáciu opatrení.</w:t>
            </w:r>
          </w:p>
          <w:p w14:paraId="225BCF62" w14:textId="372F9F12" w:rsidR="00BA2D1A" w:rsidRDefault="00BA2D1A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54D2E92D" w14:textId="5030C17B" w:rsidR="00BC398E" w:rsidRPr="00410870" w:rsidRDefault="00BC398E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NE</w:t>
            </w:r>
            <w:r w:rsidR="00BA2D1A" w:rsidRPr="00BA2D1A">
              <w:rPr>
                <w:i/>
                <w:color w:val="000000"/>
                <w:sz w:val="22"/>
                <w:szCs w:val="22"/>
              </w:rPr>
              <w:t xml:space="preserve">AKCEPTOVANÉ – </w:t>
            </w:r>
            <w:r>
              <w:rPr>
                <w:i/>
                <w:sz w:val="22"/>
                <w:szCs w:val="22"/>
              </w:rPr>
              <w:t>predmetné opatrenie bolo vypustené z materiálu. Z uvedeného dôvodu bolo vypustené aj z analýzy sociálnych vplyvov.</w:t>
            </w:r>
          </w:p>
          <w:p w14:paraId="575F5029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2485E0A4" w14:textId="149FE2E3" w:rsidR="00BC398E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K opatreniu „čl. IX, bod 1 vlastného materiálu (návrh zákona)“ uvedeného v bode 4.1.1 sociálnej analýzy je potrebné dokončiť uvedený modelový príklad v zmysle vyčíslenia zníženej zaplatenej daňovej povinnosti, pretože tá má priamy pozitívny vplyv na hospodárenie domácností. Zároveň je potrebné kvantifikáciu modelový príklad premiestniť z časti určenej na opis opatrenia do časti určenej na kvantifikáciu opatrení.</w:t>
            </w:r>
          </w:p>
          <w:p w14:paraId="4A874643" w14:textId="429F5E3E" w:rsidR="00BA2D1A" w:rsidRDefault="00BA2D1A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6EF4B8F" w14:textId="260802C6" w:rsidR="00BA2D1A" w:rsidRPr="00410870" w:rsidRDefault="00BA2D1A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BA2D1A">
              <w:rPr>
                <w:i/>
                <w:color w:val="000000"/>
                <w:sz w:val="22"/>
                <w:szCs w:val="22"/>
              </w:rPr>
              <w:t>AKCEPTOVANÉ</w:t>
            </w:r>
            <w:r>
              <w:rPr>
                <w:i/>
                <w:color w:val="000000"/>
                <w:sz w:val="22"/>
                <w:szCs w:val="22"/>
              </w:rPr>
              <w:t xml:space="preserve"> – modelový príklad bol dokončený a kvantifikácia premiestnená na miesto tomu určené. </w:t>
            </w:r>
          </w:p>
          <w:p w14:paraId="6E71C862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E214FB7" w14:textId="5E15A768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K opatreniu „čl. IX, bod 2 vlastného materiálu (návrh zákona)“ uvedeného v bode 4.1.1 sociálnej analýzy je potrebné špecifikovať ovplyvnenú skupinu domácností, ktorou sú platcovia dane z vybraných druhov pozemkov: záhrady, zastavané plochy a nádvoria, ostatné plochy a stavebné pozemky. Zároveň je potrebné do časti určenej na kvantifikáciu doplniť modelový príklad s vyčíslením zníženej zaplatenej daňovej povinnosti platcu dane.  </w:t>
            </w:r>
          </w:p>
          <w:p w14:paraId="7FC43571" w14:textId="25432923" w:rsidR="007E3388" w:rsidRDefault="007E3388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C8DEB93" w14:textId="26B57E8E" w:rsidR="007E3388" w:rsidRPr="00410870" w:rsidRDefault="007E3388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BA2D1A">
              <w:rPr>
                <w:i/>
                <w:color w:val="000000"/>
                <w:sz w:val="22"/>
                <w:szCs w:val="22"/>
              </w:rPr>
              <w:t>AKCEPTOVANÉ</w:t>
            </w:r>
            <w:r>
              <w:rPr>
                <w:i/>
                <w:color w:val="000000"/>
                <w:sz w:val="22"/>
                <w:szCs w:val="22"/>
              </w:rPr>
              <w:t xml:space="preserve"> – ovplyvnená skupina domácností bola doplnená.</w:t>
            </w:r>
          </w:p>
          <w:p w14:paraId="7EFBD98C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ED5C74C" w14:textId="3FF32058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Opatrenia  v bode 4.2 analýzy sociálnych vplyvov Komisia odporúča pokiaľ možno  čo najviac konkretizovať; pre zhodnotenie nepostačuje uviesť napr. „že sa zvýši právna istota, čo bude mať pozitívny sociálny vplyv“, ale je potrebné aspoň rámcovo uviesť, z akých  cieľov/ z akého účelu navrhovanej úlohy z uznesenia vlády SR vyplýva  dôsledok, ktorý sa v predloženej analýze uvádza - zvýši sa právna istota, zvýši sa právna prehľadnosť.... Ide o najmä o doplnenie hodnotenia úloh z uznesenia vlády SR č. C.3, C.4, C.11 – tu je v hodnotení uvedené slovo „pravdepodobne“ -  pokiaľ predkladateľ si nie je istý vplyvom, Komisia odporúča tento pozitívny vplyv skôr neuvádzať; V prípade, že sa pri úlohe č. C.26 myslí zlepšený prístup aj dotknutých obyvateľov k vytváraniu územného plánu obce, Komisia odporúča uviesť aspoň stručnú informáciu v čom spočíva základný rozdiel týkajúci sa zlepšenia postavenia dotknutých obyvateľov v porovnaní so súčasným stavom. Ide aj o spresnenie hodnotenia opatrenia uvedeného v návrhu čl. XV, bod 2.</w:t>
            </w:r>
          </w:p>
          <w:p w14:paraId="6D2C9C3F" w14:textId="63730A48" w:rsidR="00BE6BF6" w:rsidRDefault="00BE6BF6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4F5E4D7D" w14:textId="6688073B" w:rsidR="00BE6BF6" w:rsidRPr="00BE6BF6" w:rsidRDefault="00BE6BF6" w:rsidP="00410870">
            <w:pPr>
              <w:pStyle w:val="norm00e1lny"/>
              <w:spacing w:line="240" w:lineRule="atLeast"/>
              <w:jc w:val="both"/>
              <w:rPr>
                <w:i/>
                <w:sz w:val="22"/>
                <w:szCs w:val="22"/>
              </w:rPr>
            </w:pPr>
            <w:r w:rsidRPr="00BE6BF6">
              <w:rPr>
                <w:i/>
                <w:sz w:val="22"/>
                <w:szCs w:val="22"/>
              </w:rPr>
              <w:t>AKCEPTOVANÉ – Vyplývajúci dôsledok (zvýši sa právna istota, zvýši sa právna prehľadnosť) bol doplnený pri úlohách C.3 a C.4. Popis sociálneho vplyvu pri úlohe C.11 bol vypustený z dôvodu nízkej pravdepodobnosti</w:t>
            </w:r>
            <w:r w:rsidRPr="00DF4977">
              <w:rPr>
                <w:i/>
                <w:sz w:val="22"/>
                <w:szCs w:val="22"/>
              </w:rPr>
              <w:t xml:space="preserve">.  Rozdiel týkajúci sa zlepšenia postavenia dotknutých obyvateľov v porovnaní so súčasným stavom pri úlohe C.26 bol doplnený. </w:t>
            </w:r>
            <w:r w:rsidR="00DF4977" w:rsidRPr="00DF4977">
              <w:rPr>
                <w:i/>
                <w:sz w:val="22"/>
                <w:szCs w:val="22"/>
              </w:rPr>
              <w:t>Hodnotenie opatrenia uvedeného v návrhu čl. XV, bod 2. bolo spresnené.</w:t>
            </w:r>
          </w:p>
          <w:p w14:paraId="0A4B76C5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0C1813F9" w14:textId="5D09B73D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 xml:space="preserve">V súvislosti s hodnotením úlohy C.12 – „ </w:t>
            </w:r>
            <w:r w:rsidRPr="00410870">
              <w:rPr>
                <w:i/>
                <w:iCs/>
                <w:sz w:val="22"/>
                <w:szCs w:val="22"/>
              </w:rPr>
              <w:t>Predložiť na rokovanie vlády návrh novely zákona č. 203/2011 Z. z.  o kolektívnom investovaní v znení neskorších predpisov s cieľom umožniť nadobúdanie cenných papierov a majetkových účastí v alternatívnych investičných fondoch obmedzenému okruhu neprofesionálnych investorov.</w:t>
            </w:r>
            <w:r w:rsidRPr="00410870">
              <w:rPr>
                <w:sz w:val="22"/>
                <w:szCs w:val="22"/>
              </w:rPr>
              <w:t>“ Komisií nie je zrejmé definovanie jej dôsledku v analýze sociálnych vplyvov vo vzťahu investorom - bežnému obyvateľstvu. Zo znenia úlohy podľa názoru Komisie vyplýva prinajmenšom zavedenie opatrení zvyšujúcich ochranu neprofesionálneho investora pred pre neho neprimeraným rizikom, avšak v analýze sociálnych vplyvov je uvedené, že v dôsledku tejto úlohy „</w:t>
            </w:r>
            <w:r w:rsidRPr="00410870">
              <w:rPr>
                <w:i/>
                <w:iCs/>
                <w:sz w:val="22"/>
                <w:szCs w:val="22"/>
              </w:rPr>
              <w:t>sa rozšíria možnosti investovania pre niektorých ľudí, ktorí takúto možnosť nemali, čo predstavuje pozitívny sociálny vplyv.“</w:t>
            </w:r>
            <w:r w:rsidRPr="00410870">
              <w:rPr>
                <w:sz w:val="22"/>
                <w:szCs w:val="22"/>
              </w:rPr>
              <w:t xml:space="preserve"> Uvedené je potrebné prehodnotiť.</w:t>
            </w:r>
          </w:p>
          <w:p w14:paraId="58C79612" w14:textId="7BD5147D" w:rsidR="00301857" w:rsidRDefault="00301857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38800B74" w14:textId="389FB4DF" w:rsidR="00301857" w:rsidRPr="00301857" w:rsidRDefault="00301857" w:rsidP="00410870">
            <w:pPr>
              <w:pStyle w:val="norm00e1lny"/>
              <w:spacing w:line="240" w:lineRule="atLeast"/>
              <w:jc w:val="both"/>
              <w:rPr>
                <w:i/>
                <w:sz w:val="22"/>
                <w:szCs w:val="22"/>
              </w:rPr>
            </w:pPr>
            <w:r w:rsidRPr="00301857">
              <w:rPr>
                <w:i/>
                <w:sz w:val="22"/>
                <w:szCs w:val="22"/>
              </w:rPr>
              <w:t>AKCEPTOVANÉ – popis vplyvu bol prehodnotený a upravený.</w:t>
            </w:r>
          </w:p>
          <w:p w14:paraId="12C2F7F9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5CAFCDFE" w14:textId="1A02AF46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 xml:space="preserve">V súvislosti s hodnotením návrhu opatrenia z návrhu uznesenia vlády SR, ktorým sa umožní za určitých podmienok predaj  nepotravinového tovaru po dátume exspirácie, Komisia odporúča prehodnotiť konštatovanie uvedené v analýze sociálnych vplyvov, že </w:t>
            </w:r>
            <w:r w:rsidRPr="00410870">
              <w:rPr>
                <w:i/>
                <w:iCs/>
                <w:sz w:val="22"/>
                <w:szCs w:val="22"/>
              </w:rPr>
              <w:t>„obchodník určite poskytne na tovar po dátume exspirácie výraznejšiu zľavu</w:t>
            </w:r>
            <w:r w:rsidRPr="00410870">
              <w:rPr>
                <w:sz w:val="22"/>
                <w:szCs w:val="22"/>
              </w:rPr>
              <w:t>“. Komisií nie je zrejmé, či ide o konštatovanie na základe vyjadrení dotknutých podnikateľských subjektov.</w:t>
            </w:r>
          </w:p>
          <w:p w14:paraId="740AD609" w14:textId="77777777" w:rsidR="00951B61" w:rsidRDefault="00951B61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24FCF229" w14:textId="7BEE52E4" w:rsidR="00951B61" w:rsidRPr="00410870" w:rsidRDefault="00951B61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301857">
              <w:rPr>
                <w:i/>
                <w:sz w:val="22"/>
                <w:szCs w:val="22"/>
              </w:rPr>
              <w:t>AKCEPTOVANÉ –</w:t>
            </w:r>
            <w:r>
              <w:rPr>
                <w:i/>
                <w:sz w:val="22"/>
                <w:szCs w:val="22"/>
              </w:rPr>
              <w:t xml:space="preserve"> uvedené konštatovanie bolo </w:t>
            </w:r>
            <w:r w:rsidR="00BF000A">
              <w:rPr>
                <w:i/>
                <w:sz w:val="22"/>
                <w:szCs w:val="22"/>
              </w:rPr>
              <w:t>preformulované na „</w:t>
            </w:r>
            <w:r w:rsidR="00BF000A" w:rsidRPr="00BF000A">
              <w:rPr>
                <w:i/>
                <w:sz w:val="22"/>
                <w:szCs w:val="22"/>
              </w:rPr>
              <w:t>predpokladáme, že obchodník poskytne na tovar po dátume exspirácie výraznejšiu zľavu, aby ho predal.</w:t>
            </w:r>
            <w:r w:rsidR="00BF000A">
              <w:rPr>
                <w:i/>
                <w:sz w:val="22"/>
                <w:szCs w:val="22"/>
              </w:rPr>
              <w:t>“</w:t>
            </w:r>
          </w:p>
          <w:p w14:paraId="5F7E6E80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0620D8D" w14:textId="2594330B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V bode 4.4 je potrebné uviesť aj opis navrhovaného opatrenia, pretože z uvedeného znenia nie je zrejmé, o aké opatrenie ide (návrh novely zákona č. 530/2011 Z. z. o  spotrebnej dani z alkoholických nápojov v znení neskorších predpisov upravujúcej  návrh na upustenie  od splnenia podmienky na vydanie oprávnenia na distribúciu, a to zamestnávať v pracovnom pomere najmenej 10 zamestnancov). Zároveň je v časti týkajúcej vplyvu súvisiaceho so zánikom pracovných miest potrebné uviesť vplyv tohto návrhu na súčasných zamestnávateľov/súčasných zamestnancov.</w:t>
            </w:r>
          </w:p>
          <w:p w14:paraId="4176E737" w14:textId="099107FE" w:rsidR="00951B61" w:rsidRDefault="00951B61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FBD8433" w14:textId="1B7C5F6D" w:rsidR="00782698" w:rsidRDefault="00951B61" w:rsidP="00782698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301857">
              <w:rPr>
                <w:i/>
                <w:sz w:val="22"/>
                <w:szCs w:val="22"/>
              </w:rPr>
              <w:t>AKCEPTOVANÉ –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82698" w:rsidRPr="00782698">
              <w:rPr>
                <w:i/>
                <w:sz w:val="22"/>
                <w:szCs w:val="22"/>
              </w:rPr>
              <w:t>opis opatrenia a vplyv tohto návrhu na súčasných zamestnávateľov/súčasných zamestnancov bol doplnený.</w:t>
            </w:r>
          </w:p>
          <w:p w14:paraId="1CAEA707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34A71FC" w14:textId="0D659A77" w:rsid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Pokiaľ  možno,  Komisia odporúča uviesť opisy príslušných opatrení aj v iných častiach analýzy sociálnych vplyvov (bod 4.1, 4.2), aby už zo samotnej analýzy bolo čo najviac zrejmé, čo sa navrhuje, bez detailnejšieho poznania vlastného legislatívneho návrhu a iných častí predkladaného materiálu.</w:t>
            </w:r>
          </w:p>
          <w:p w14:paraId="0DE36DBF" w14:textId="77777777" w:rsidR="00782698" w:rsidRPr="00410870" w:rsidRDefault="00782698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0A03C477" w14:textId="3BBB94B6" w:rsidR="00410870" w:rsidRPr="007E3388" w:rsidRDefault="007E3388" w:rsidP="007E3388">
            <w:pPr>
              <w:pStyle w:val="norm00e1lny"/>
              <w:spacing w:line="240" w:lineRule="atLeast"/>
              <w:jc w:val="both"/>
              <w:rPr>
                <w:i/>
                <w:sz w:val="22"/>
                <w:szCs w:val="22"/>
              </w:rPr>
            </w:pPr>
            <w:r w:rsidRPr="007E3388">
              <w:rPr>
                <w:i/>
                <w:sz w:val="22"/>
                <w:szCs w:val="22"/>
              </w:rPr>
              <w:t>NE</w:t>
            </w:r>
            <w:r w:rsidR="00E65A98" w:rsidRPr="007E3388">
              <w:rPr>
                <w:i/>
                <w:sz w:val="22"/>
                <w:szCs w:val="22"/>
              </w:rPr>
              <w:t xml:space="preserve">AKCEPTOVANÉ – pri opatreniach </w:t>
            </w:r>
            <w:r w:rsidR="003A5B2B">
              <w:rPr>
                <w:i/>
                <w:sz w:val="22"/>
                <w:szCs w:val="22"/>
              </w:rPr>
              <w:t>v návrhu zákona</w:t>
            </w:r>
            <w:r w:rsidR="00E65A98" w:rsidRPr="007E3388">
              <w:rPr>
                <w:i/>
                <w:sz w:val="22"/>
                <w:szCs w:val="22"/>
              </w:rPr>
              <w:t xml:space="preserve"> je </w:t>
            </w:r>
            <w:r w:rsidR="003A5B2B">
              <w:rPr>
                <w:i/>
                <w:sz w:val="22"/>
                <w:szCs w:val="22"/>
              </w:rPr>
              <w:t xml:space="preserve">v analýze </w:t>
            </w:r>
            <w:r w:rsidR="00E65A98" w:rsidRPr="007E3388">
              <w:rPr>
                <w:i/>
                <w:sz w:val="22"/>
                <w:szCs w:val="22"/>
              </w:rPr>
              <w:t xml:space="preserve">uvedený popis opatrení a pri </w:t>
            </w:r>
            <w:r w:rsidR="003A5B2B">
              <w:rPr>
                <w:i/>
                <w:sz w:val="22"/>
                <w:szCs w:val="22"/>
              </w:rPr>
              <w:t>opatreniach vo forme úloh</w:t>
            </w:r>
            <w:r w:rsidR="00E65A98" w:rsidRPr="007E3388">
              <w:rPr>
                <w:i/>
                <w:sz w:val="22"/>
                <w:szCs w:val="22"/>
              </w:rPr>
              <w:t xml:space="preserve"> z uznesenia vlády SR sú uvedené znenia opatrení, z ktorých je zrejmé, čo sa navrhuje, pričom nie je potrebné </w:t>
            </w:r>
            <w:r w:rsidRPr="007E3388">
              <w:rPr>
                <w:i/>
                <w:sz w:val="22"/>
                <w:szCs w:val="22"/>
              </w:rPr>
              <w:t>hlbšie poznanie materiálu.</w:t>
            </w:r>
          </w:p>
          <w:p w14:paraId="76FF5CFD" w14:textId="77777777" w:rsidR="00E65A98" w:rsidRPr="00410870" w:rsidRDefault="00E65A98" w:rsidP="00410870">
            <w:pPr>
              <w:pStyle w:val="norm00e1lny"/>
              <w:spacing w:line="240" w:lineRule="atLeast"/>
              <w:rPr>
                <w:sz w:val="22"/>
                <w:szCs w:val="22"/>
              </w:rPr>
            </w:pPr>
          </w:p>
          <w:p w14:paraId="4D94BCB5" w14:textId="77777777" w:rsidR="00410870" w:rsidRPr="00410870" w:rsidRDefault="00410870" w:rsidP="00410870">
            <w:pPr>
              <w:pStyle w:val="norm00e1lny"/>
              <w:spacing w:line="240" w:lineRule="atLeast"/>
              <w:rPr>
                <w:b/>
                <w:sz w:val="22"/>
                <w:szCs w:val="22"/>
              </w:rPr>
            </w:pPr>
            <w:r w:rsidRPr="00410870">
              <w:rPr>
                <w:b/>
                <w:sz w:val="22"/>
                <w:szCs w:val="22"/>
              </w:rPr>
              <w:t>K vplyvom na služby verejnej správy na občana</w:t>
            </w:r>
          </w:p>
          <w:p w14:paraId="5E183D6D" w14:textId="77777777" w:rsidR="00410870" w:rsidRPr="00410870" w:rsidRDefault="00410870" w:rsidP="00410870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410870">
              <w:rPr>
                <w:sz w:val="22"/>
                <w:szCs w:val="22"/>
              </w:rPr>
              <w:t>V Analýze vplyvov na služby verejnej správy pre občana v časti „Vplyv na procesy služieb vo verejnej správe“, v bode 7.3.2 Komisia navrhuje predkladateľovi odstrániť  uvedený opis povinností vyplývajúcich z návrhu pre orgán verejnej správy.</w:t>
            </w:r>
          </w:p>
          <w:p w14:paraId="62F957FC" w14:textId="77777777" w:rsidR="00410870" w:rsidRPr="00410870" w:rsidRDefault="00410870" w:rsidP="00410870">
            <w:pPr>
              <w:pStyle w:val="norm00e1lny"/>
              <w:spacing w:line="240" w:lineRule="atLeast"/>
              <w:rPr>
                <w:sz w:val="22"/>
                <w:szCs w:val="22"/>
              </w:rPr>
            </w:pPr>
          </w:p>
          <w:p w14:paraId="12B15323" w14:textId="77777777" w:rsidR="00410870" w:rsidRPr="00410870" w:rsidRDefault="00410870" w:rsidP="00D36F8F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D36F8F">
              <w:rPr>
                <w:i/>
                <w:sz w:val="22"/>
                <w:szCs w:val="22"/>
              </w:rPr>
              <w:t>AKCEPTOVANÉ - opis povinností vyplývajúcich z návrhu pre orgán verejnej správy bol odstránený</w:t>
            </w:r>
            <w:r w:rsidRPr="00410870">
              <w:rPr>
                <w:sz w:val="22"/>
                <w:szCs w:val="22"/>
              </w:rPr>
              <w:t>.</w:t>
            </w:r>
          </w:p>
          <w:p w14:paraId="49FEEC92" w14:textId="77777777" w:rsidR="00410870" w:rsidRPr="00B043B4" w:rsidRDefault="00410870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8F6318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47BB8972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A73637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14C2118A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094C39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7F65E19E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62138C5" w14:textId="77777777" w:rsidR="001B23B7" w:rsidRPr="00B043B4" w:rsidRDefault="005556E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38BDC80" w14:textId="77777777" w:rsidR="001B23B7" w:rsidRPr="00B043B4" w:rsidRDefault="005556E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4796CDE7" w14:textId="77777777" w:rsidR="001B23B7" w:rsidRPr="00B043B4" w:rsidRDefault="005556E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28D6E47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6CC414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4F1366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7427A1CA" w14:textId="77777777" w:rsidR="00274130" w:rsidRDefault="005556ED"/>
    <w:sectPr w:rsidR="00274130" w:rsidSect="001E356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FE97D" w14:textId="77777777" w:rsidR="0054101A" w:rsidRDefault="0054101A" w:rsidP="001B23B7">
      <w:pPr>
        <w:spacing w:after="0" w:line="240" w:lineRule="auto"/>
      </w:pPr>
      <w:r>
        <w:separator/>
      </w:r>
    </w:p>
  </w:endnote>
  <w:endnote w:type="continuationSeparator" w:id="0">
    <w:p w14:paraId="781FFA4A" w14:textId="77777777" w:rsidR="0054101A" w:rsidRDefault="0054101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58F23" w14:textId="77777777" w:rsidR="0054101A" w:rsidRDefault="0054101A" w:rsidP="001B23B7">
      <w:pPr>
        <w:spacing w:after="0" w:line="240" w:lineRule="auto"/>
      </w:pPr>
      <w:r>
        <w:separator/>
      </w:r>
    </w:p>
  </w:footnote>
  <w:footnote w:type="continuationSeparator" w:id="0">
    <w:p w14:paraId="4A27D705" w14:textId="77777777" w:rsidR="0054101A" w:rsidRDefault="0054101A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7F036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18172A4D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67BF5"/>
    <w:multiLevelType w:val="hybridMultilevel"/>
    <w:tmpl w:val="DAFA37DE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3346B6A"/>
    <w:multiLevelType w:val="hybridMultilevel"/>
    <w:tmpl w:val="3A0C3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6C0C"/>
    <w:rsid w:val="000208B1"/>
    <w:rsid w:val="0004189E"/>
    <w:rsid w:val="00043706"/>
    <w:rsid w:val="00076A0C"/>
    <w:rsid w:val="00097069"/>
    <w:rsid w:val="000D12D5"/>
    <w:rsid w:val="000F2BE9"/>
    <w:rsid w:val="0010480A"/>
    <w:rsid w:val="00117111"/>
    <w:rsid w:val="001754A1"/>
    <w:rsid w:val="001B23B7"/>
    <w:rsid w:val="001E3562"/>
    <w:rsid w:val="00203EE3"/>
    <w:rsid w:val="00206F2A"/>
    <w:rsid w:val="00211E95"/>
    <w:rsid w:val="0023360B"/>
    <w:rsid w:val="00243652"/>
    <w:rsid w:val="002F7A5A"/>
    <w:rsid w:val="00301857"/>
    <w:rsid w:val="003170BC"/>
    <w:rsid w:val="00317145"/>
    <w:rsid w:val="00342D85"/>
    <w:rsid w:val="00396946"/>
    <w:rsid w:val="003A057B"/>
    <w:rsid w:val="003A5B2B"/>
    <w:rsid w:val="003E38C1"/>
    <w:rsid w:val="00410870"/>
    <w:rsid w:val="00412546"/>
    <w:rsid w:val="00451090"/>
    <w:rsid w:val="004721F5"/>
    <w:rsid w:val="0049476D"/>
    <w:rsid w:val="004A4383"/>
    <w:rsid w:val="004A7B59"/>
    <w:rsid w:val="004C74ED"/>
    <w:rsid w:val="004E2A48"/>
    <w:rsid w:val="005260E4"/>
    <w:rsid w:val="0054101A"/>
    <w:rsid w:val="005556ED"/>
    <w:rsid w:val="00591EC6"/>
    <w:rsid w:val="005F3FFF"/>
    <w:rsid w:val="005F6575"/>
    <w:rsid w:val="006274F4"/>
    <w:rsid w:val="006363BA"/>
    <w:rsid w:val="00673D51"/>
    <w:rsid w:val="00690505"/>
    <w:rsid w:val="00692453"/>
    <w:rsid w:val="00696C30"/>
    <w:rsid w:val="006C0766"/>
    <w:rsid w:val="006D0724"/>
    <w:rsid w:val="006F2CB4"/>
    <w:rsid w:val="006F678E"/>
    <w:rsid w:val="0070708F"/>
    <w:rsid w:val="00720322"/>
    <w:rsid w:val="00741560"/>
    <w:rsid w:val="0075197E"/>
    <w:rsid w:val="00761208"/>
    <w:rsid w:val="007755B3"/>
    <w:rsid w:val="00776955"/>
    <w:rsid w:val="00782698"/>
    <w:rsid w:val="00783257"/>
    <w:rsid w:val="007B40C1"/>
    <w:rsid w:val="007B774F"/>
    <w:rsid w:val="007E3388"/>
    <w:rsid w:val="00831AC2"/>
    <w:rsid w:val="00834320"/>
    <w:rsid w:val="00865E81"/>
    <w:rsid w:val="008801B5"/>
    <w:rsid w:val="008B222D"/>
    <w:rsid w:val="008B409C"/>
    <w:rsid w:val="008C79B7"/>
    <w:rsid w:val="008E66CD"/>
    <w:rsid w:val="009263D5"/>
    <w:rsid w:val="009372AF"/>
    <w:rsid w:val="009431E3"/>
    <w:rsid w:val="00943504"/>
    <w:rsid w:val="009475F5"/>
    <w:rsid w:val="00951B61"/>
    <w:rsid w:val="009717F5"/>
    <w:rsid w:val="00974BE2"/>
    <w:rsid w:val="00976187"/>
    <w:rsid w:val="00990DC3"/>
    <w:rsid w:val="00995E97"/>
    <w:rsid w:val="009C424C"/>
    <w:rsid w:val="009E09F7"/>
    <w:rsid w:val="009F4832"/>
    <w:rsid w:val="00A340BB"/>
    <w:rsid w:val="00A71E2A"/>
    <w:rsid w:val="00A9503A"/>
    <w:rsid w:val="00AB530E"/>
    <w:rsid w:val="00AB739E"/>
    <w:rsid w:val="00AC30D6"/>
    <w:rsid w:val="00AC5DE4"/>
    <w:rsid w:val="00AF7F89"/>
    <w:rsid w:val="00B107F1"/>
    <w:rsid w:val="00B330CC"/>
    <w:rsid w:val="00B533A3"/>
    <w:rsid w:val="00B547F5"/>
    <w:rsid w:val="00B811F2"/>
    <w:rsid w:val="00B84F87"/>
    <w:rsid w:val="00B90989"/>
    <w:rsid w:val="00BA20FB"/>
    <w:rsid w:val="00BA2BF4"/>
    <w:rsid w:val="00BA2D1A"/>
    <w:rsid w:val="00BC398E"/>
    <w:rsid w:val="00BE6BF6"/>
    <w:rsid w:val="00BF000A"/>
    <w:rsid w:val="00BF126E"/>
    <w:rsid w:val="00C5505C"/>
    <w:rsid w:val="00CA3F6B"/>
    <w:rsid w:val="00CE6AAE"/>
    <w:rsid w:val="00CF1A25"/>
    <w:rsid w:val="00D2313B"/>
    <w:rsid w:val="00D245DA"/>
    <w:rsid w:val="00D36F8F"/>
    <w:rsid w:val="00D92A61"/>
    <w:rsid w:val="00D93F1E"/>
    <w:rsid w:val="00D944C7"/>
    <w:rsid w:val="00DA104A"/>
    <w:rsid w:val="00DA7829"/>
    <w:rsid w:val="00DC2B5C"/>
    <w:rsid w:val="00DF357C"/>
    <w:rsid w:val="00DF4977"/>
    <w:rsid w:val="00E07119"/>
    <w:rsid w:val="00E22EC3"/>
    <w:rsid w:val="00E63A17"/>
    <w:rsid w:val="00E65A98"/>
    <w:rsid w:val="00E8236A"/>
    <w:rsid w:val="00EE19E6"/>
    <w:rsid w:val="00EE27D4"/>
    <w:rsid w:val="00F06843"/>
    <w:rsid w:val="00F8466E"/>
    <w:rsid w:val="00F87681"/>
    <w:rsid w:val="00FA6807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25D1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C0766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3F1E"/>
    <w:rPr>
      <w:color w:val="954F72" w:themeColor="followedHyperlink"/>
      <w:u w:val="single"/>
    </w:rPr>
  </w:style>
  <w:style w:type="paragraph" w:customStyle="1" w:styleId="norm00e1lny">
    <w:name w:val="norm_00e1lny"/>
    <w:basedOn w:val="Normlny"/>
    <w:rsid w:val="00410870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99"/>
    <w:qFormat/>
    <w:rsid w:val="00776955"/>
    <w:pPr>
      <w:ind w:left="720"/>
      <w:contextualSpacing/>
    </w:p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99"/>
    <w:qFormat/>
    <w:locked/>
    <w:rsid w:val="0077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valaskova@mhsr.sk" TargetMode="External"/><Relationship Id="rId13" Type="http://schemas.openxmlformats.org/officeDocument/2006/relationships/hyperlink" Target="http://datacube.statistics.s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so.gov.sk/2710-sk/informacny-servi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podnikatelske-prostredie/jednotna-metodika/dokumen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sup.sk/ovv-certifikacia-vinarskych-produktov" TargetMode="External"/><Relationship Id="rId10" Type="http://schemas.openxmlformats.org/officeDocument/2006/relationships/hyperlink" Target="mailto:miloslav.andrasko@mhsr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ka.copikova@mhsr.sk" TargetMode="External"/><Relationship Id="rId14" Type="http://schemas.openxmlformats.org/officeDocument/2006/relationships/hyperlink" Target="https://www.vse.sk/sdoc/doc/elektrina/cenniky/2020/Cennik-MP-2020-male-podniky-VSE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zka_vplyv"/>
    <f:field ref="objsubject" par="" edit="true" text=""/>
    <f:field ref="objcreatedby" par="" text="Franczel, Marek, JUDr."/>
    <f:field ref="objcreatedat" par="" text="28.10.2021 8:52:51"/>
    <f:field ref="objchangedby" par="" text="Administrator, System"/>
    <f:field ref="objmodifiedat" par="" text="28.10.2021 8:52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Andrasko Miloslav</dc:creator>
  <cp:keywords/>
  <dc:description/>
  <cp:lastModifiedBy>Copikova Veronika</cp:lastModifiedBy>
  <cp:revision>5</cp:revision>
  <cp:lastPrinted>2021-10-18T16:56:00Z</cp:lastPrinted>
  <dcterms:created xsi:type="dcterms:W3CDTF">2021-12-30T12:07:00Z</dcterms:created>
  <dcterms:modified xsi:type="dcterms:W3CDTF">2022-01-04T14:05:00Z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Marek Franczel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menia a dopĺňajú niektoré zákony v súvislosti so zlepšovaním podnikateľského prostredia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mesiace jún až december 2021</vt:lpwstr>
  </property>
  <property fmtid="{D5CDD505-2E9C-101B-9397-08002B2CF9AE}" pid="23" name="FSC#SKEDITIONSLOVLEX@103.510:plnynazovpredpis">
    <vt:lpwstr> Zákon, ktorým sa menia a dopĺňajú niektoré zákony v súvislosti so zlepšovaním podnikateľského prostredia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104534/2021-2062-220342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LP/2021/619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28. 10. 2021</vt:lpwstr>
  </property>
  <property fmtid="{D5CDD505-2E9C-101B-9397-08002B2CF9AE}" pid="151" name="FSC#COOSYSTEM@1.1:Container">
    <vt:lpwstr>COO.2145.1000.3.4635907</vt:lpwstr>
  </property>
  <property fmtid="{D5CDD505-2E9C-101B-9397-08002B2CF9AE}" pid="152" name="FSC#FSCFOLIO@1.1001:docpropproject">
    <vt:lpwstr/>
  </property>
</Properties>
</file>