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761B" w:rsidRPr="005C4263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263">
        <w:rPr>
          <w:rFonts w:ascii="Times New Roman" w:hAnsi="Times New Roman"/>
          <w:b/>
          <w:bCs/>
          <w:sz w:val="28"/>
          <w:szCs w:val="28"/>
        </w:rPr>
        <w:t>DOLOŽKA PREDNOSTI</w:t>
      </w:r>
    </w:p>
    <w:p w:rsidR="007F761B" w:rsidRPr="005C4263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263">
        <w:rPr>
          <w:rFonts w:ascii="Times New Roman" w:hAnsi="Times New Roman"/>
          <w:b/>
          <w:bCs/>
          <w:sz w:val="28"/>
          <w:szCs w:val="28"/>
        </w:rPr>
        <w:t>medzinárodnej zmluvy pred zákonmi</w:t>
      </w:r>
    </w:p>
    <w:p w:rsidR="007F761B" w:rsidRPr="005C4263" w:rsidP="007F761B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263">
        <w:rPr>
          <w:rFonts w:ascii="Times New Roman" w:hAnsi="Times New Roman"/>
          <w:b/>
          <w:bCs/>
          <w:sz w:val="28"/>
          <w:szCs w:val="28"/>
        </w:rPr>
        <w:t xml:space="preserve">(čl. 7 ods. 5 </w:t>
      </w:r>
      <w:r w:rsidRPr="005C4263" w:rsidR="00106B38">
        <w:rPr>
          <w:rFonts w:ascii="Times New Roman" w:hAnsi="Times New Roman"/>
          <w:b/>
          <w:bCs/>
          <w:sz w:val="28"/>
          <w:szCs w:val="28"/>
        </w:rPr>
        <w:t>Ústavy Slovenskej republiky</w:t>
      </w:r>
      <w:r w:rsidRPr="005C4263">
        <w:rPr>
          <w:rFonts w:ascii="Times New Roman" w:hAnsi="Times New Roman"/>
          <w:b/>
          <w:bCs/>
          <w:sz w:val="28"/>
          <w:szCs w:val="28"/>
        </w:rPr>
        <w:t>)</w:t>
      </w:r>
    </w:p>
    <w:p w:rsidR="007F761B" w:rsidRPr="005C4263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7F761B" w:rsidRPr="005C4263" w:rsidP="007F761B">
      <w:pPr>
        <w:bidi w:val="0"/>
        <w:jc w:val="both"/>
        <w:rPr>
          <w:rFonts w:ascii="Times New Roman" w:hAnsi="Times New Roman"/>
          <w:b/>
          <w:bCs/>
        </w:rPr>
      </w:pPr>
    </w:p>
    <w:p w:rsidR="000A3E77" w:rsidRPr="005C4263" w:rsidP="000A3E77">
      <w:pPr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 w:rsidRPr="005C4263" w:rsidR="007F761B">
        <w:rPr>
          <w:rFonts w:ascii="Times New Roman" w:hAnsi="Times New Roman"/>
          <w:b/>
          <w:bCs/>
        </w:rPr>
        <w:t xml:space="preserve">Gestor zmluvy: </w:t>
      </w:r>
      <w:r w:rsidRPr="005C4263" w:rsidR="00CC1D44">
        <w:rPr>
          <w:rFonts w:ascii="Times New Roman" w:hAnsi="Times New Roman"/>
          <w:b/>
          <w:bCs/>
        </w:rPr>
        <w:tab/>
      </w:r>
    </w:p>
    <w:p w:rsidR="0025534A" w:rsidRPr="005C4263" w:rsidP="000A3E77">
      <w:pPr>
        <w:bidi w:val="0"/>
        <w:ind w:left="283"/>
        <w:jc w:val="both"/>
        <w:rPr>
          <w:rFonts w:ascii="Times New Roman" w:hAnsi="Times New Roman"/>
        </w:rPr>
      </w:pPr>
      <w:r w:rsidRPr="005C4263" w:rsidR="007F761B">
        <w:rPr>
          <w:rFonts w:ascii="Times New Roman" w:hAnsi="Times New Roman"/>
        </w:rPr>
        <w:t>Minister</w:t>
      </w:r>
      <w:r w:rsidRPr="005C4263" w:rsidR="00B6128F">
        <w:rPr>
          <w:rFonts w:ascii="Times New Roman" w:hAnsi="Times New Roman"/>
        </w:rPr>
        <w:t xml:space="preserve">stvo </w:t>
      </w:r>
      <w:r w:rsidRPr="005C4263" w:rsidR="00315451">
        <w:rPr>
          <w:rFonts w:ascii="Times New Roman" w:hAnsi="Times New Roman"/>
        </w:rPr>
        <w:t>školstva, vedy, výskumu a športu</w:t>
      </w:r>
      <w:r w:rsidRPr="005C4263" w:rsidR="007F761B">
        <w:rPr>
          <w:rFonts w:ascii="Times New Roman" w:hAnsi="Times New Roman"/>
        </w:rPr>
        <w:t xml:space="preserve"> Slovenskej republiky</w:t>
      </w:r>
      <w:r w:rsidRPr="005C4263" w:rsidR="00501122">
        <w:rPr>
          <w:rFonts w:ascii="Times New Roman" w:hAnsi="Times New Roman"/>
        </w:rPr>
        <w:t xml:space="preserve"> (ďalej len „MŠVVaŠ SR)</w:t>
      </w:r>
    </w:p>
    <w:p w:rsidR="0025534A" w:rsidRPr="005C4263" w:rsidP="0025534A">
      <w:pPr>
        <w:bidi w:val="0"/>
        <w:ind w:left="283"/>
        <w:jc w:val="both"/>
        <w:rPr>
          <w:rFonts w:ascii="Times New Roman" w:hAnsi="Times New Roman"/>
          <w:bCs/>
        </w:rPr>
      </w:pPr>
    </w:p>
    <w:p w:rsidR="000A3E77" w:rsidRPr="005C4263" w:rsidP="00CC1D44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5C4263" w:rsidR="007F761B">
        <w:rPr>
          <w:rFonts w:ascii="Times New Roman" w:hAnsi="Times New Roman"/>
          <w:b/>
          <w:bCs/>
        </w:rPr>
        <w:t xml:space="preserve">Názov zmluvy: </w:t>
      </w:r>
    </w:p>
    <w:p w:rsidR="00CD7831" w:rsidRPr="005C4263" w:rsidP="000A3E77">
      <w:pPr>
        <w:bidi w:val="0"/>
        <w:ind w:left="283"/>
        <w:jc w:val="both"/>
        <w:rPr>
          <w:rFonts w:ascii="Times New Roman" w:hAnsi="Times New Roman"/>
          <w:b/>
          <w:bCs/>
        </w:rPr>
      </w:pPr>
      <w:r w:rsidRPr="005C4263" w:rsidR="00501122">
        <w:rPr>
          <w:rFonts w:ascii="Times New Roman" w:hAnsi="Times New Roman"/>
          <w:bCs/>
          <w:i/>
          <w:szCs w:val="28"/>
        </w:rPr>
        <w:t>Globálny </w:t>
      </w:r>
      <w:r w:rsidRPr="005C4263" w:rsidR="007753EF">
        <w:rPr>
          <w:rFonts w:ascii="Times New Roman" w:hAnsi="Times New Roman"/>
          <w:bCs/>
          <w:i/>
          <w:szCs w:val="28"/>
        </w:rPr>
        <w:t>d</w:t>
      </w:r>
      <w:r w:rsidRPr="005C4263" w:rsidR="00501122">
        <w:rPr>
          <w:rFonts w:ascii="Times New Roman" w:hAnsi="Times New Roman"/>
          <w:bCs/>
          <w:i/>
          <w:szCs w:val="28"/>
        </w:rPr>
        <w:t>ohovor UNESCO o uznávaní kvalifikácií týkajúcich sa vysokoškolského vzdelávania</w:t>
      </w:r>
      <w:r w:rsidRPr="005C4263" w:rsidR="00501122">
        <w:rPr>
          <w:rStyle w:val="PlaceholderText"/>
          <w:i/>
          <w:color w:val="auto"/>
        </w:rPr>
        <w:t xml:space="preserve">“ </w:t>
      </w:r>
      <w:r w:rsidRPr="005C4263" w:rsidR="0025534A">
        <w:rPr>
          <w:rFonts w:ascii="Times New Roman" w:hAnsi="Times New Roman"/>
          <w:bCs/>
        </w:rPr>
        <w:t>(ďalej len „</w:t>
      </w:r>
      <w:r w:rsidRPr="005C4263" w:rsidR="00884B2B">
        <w:rPr>
          <w:rFonts w:ascii="Times New Roman" w:hAnsi="Times New Roman"/>
          <w:bCs/>
        </w:rPr>
        <w:t>d</w:t>
      </w:r>
      <w:r w:rsidRPr="005C4263" w:rsidR="000A3E77">
        <w:rPr>
          <w:rFonts w:ascii="Times New Roman" w:hAnsi="Times New Roman"/>
          <w:bCs/>
        </w:rPr>
        <w:t>ohovor</w:t>
      </w:r>
      <w:r w:rsidRPr="005C4263" w:rsidR="0025534A">
        <w:rPr>
          <w:rFonts w:ascii="Times New Roman" w:hAnsi="Times New Roman"/>
          <w:bCs/>
        </w:rPr>
        <w:t>“)</w:t>
      </w:r>
      <w:r w:rsidRPr="005C4263" w:rsidR="00E37F71">
        <w:rPr>
          <w:rFonts w:ascii="Times New Roman" w:hAnsi="Times New Roman"/>
          <w:bCs/>
        </w:rPr>
        <w:t xml:space="preserve"> prijatý v Paríži, 25. novembra 2019</w:t>
      </w:r>
      <w:r w:rsidRPr="005C4263" w:rsidR="000567D0">
        <w:rPr>
          <w:rFonts w:ascii="Times New Roman" w:hAnsi="Times New Roman"/>
          <w:bCs/>
        </w:rPr>
        <w:t>.</w:t>
      </w:r>
    </w:p>
    <w:p w:rsidR="000567D0" w:rsidRPr="005C4263" w:rsidP="000567D0">
      <w:pPr>
        <w:bidi w:val="0"/>
        <w:jc w:val="both"/>
        <w:rPr>
          <w:rFonts w:ascii="Times New Roman" w:hAnsi="Times New Roman"/>
          <w:b/>
          <w:bCs/>
        </w:rPr>
      </w:pPr>
    </w:p>
    <w:p w:rsidR="00FA1971" w:rsidRPr="005C4263" w:rsidP="000567D0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5C4263" w:rsidR="007F761B">
        <w:rPr>
          <w:rFonts w:ascii="Times New Roman" w:hAnsi="Times New Roman"/>
          <w:b/>
          <w:bCs/>
        </w:rPr>
        <w:t xml:space="preserve">Účel a predmet zmluvy a jeho úprava v právnom poriadku Slovenskej republiky: </w:t>
      </w:r>
    </w:p>
    <w:p w:rsidR="00041D02" w:rsidRPr="005C4263" w:rsidP="00041D02">
      <w:pPr>
        <w:bidi w:val="0"/>
        <w:ind w:left="283"/>
        <w:jc w:val="both"/>
        <w:rPr>
          <w:rFonts w:ascii="Times New Roman" w:hAnsi="Times New Roman"/>
        </w:rPr>
      </w:pPr>
      <w:r w:rsidRPr="005C4263" w:rsidR="00143065">
        <w:rPr>
          <w:rFonts w:ascii="Times New Roman" w:hAnsi="Times New Roman"/>
        </w:rPr>
        <w:t>D</w:t>
      </w:r>
      <w:r w:rsidRPr="005C4263">
        <w:rPr>
          <w:rFonts w:ascii="Times New Roman" w:hAnsi="Times New Roman"/>
        </w:rPr>
        <w:t>ohovor má ambíciu zjednodušiť uznávanie vysokoškolských kvalifikácií v globálnom meradle a medzi jednotlivými regiónmi a tým prispieť k zvýšenej mobilite a flexibilite vzdelávacích ciest a zaručeniu práv uchádzačov o vysokoškolské štúdium v inom štáte na spravodlivé a transparentné posúdenie ich predchádzajúcich kvalifikácií. Pozornosť sa venuje aj uznávaniu spoločných cezhraničných študijných programov („joint degrees“) a ďalších netradičných vzdelávacích ciest, za podmienky, že spĺňajú podmienky overovania kvality porovnateľné s klasickým formálnym vzdelávaním.</w:t>
      </w:r>
    </w:p>
    <w:p w:rsidR="00041D02" w:rsidRPr="005C4263" w:rsidP="00041D02">
      <w:pPr>
        <w:bidi w:val="0"/>
        <w:ind w:left="283"/>
        <w:jc w:val="both"/>
        <w:rPr>
          <w:rFonts w:ascii="Times New Roman" w:hAnsi="Times New Roman"/>
        </w:rPr>
      </w:pPr>
    </w:p>
    <w:p w:rsidR="00041D02" w:rsidRPr="005C4263" w:rsidP="00041D02">
      <w:pPr>
        <w:bidi w:val="0"/>
        <w:ind w:left="283"/>
        <w:jc w:val="both"/>
        <w:rPr>
          <w:rFonts w:ascii="Times New Roman" w:hAnsi="Times New Roman"/>
        </w:rPr>
      </w:pPr>
      <w:r w:rsidRPr="005C4263">
        <w:rPr>
          <w:rFonts w:ascii="Times New Roman" w:hAnsi="Times New Roman"/>
        </w:rPr>
        <w:t>Predmetná úprava je v súčasnosti obsiahnutá v zákone č. 422</w:t>
      </w:r>
      <w:r w:rsidRPr="00567F13">
        <w:rPr>
          <w:rFonts w:ascii="Times New Roman" w:hAnsi="Times New Roman"/>
          <w:bCs/>
        </w:rPr>
        <w:t>/</w:t>
      </w:r>
      <w:r w:rsidRPr="005C4263">
        <w:rPr>
          <w:rFonts w:ascii="Times New Roman" w:hAnsi="Times New Roman"/>
          <w:bCs/>
        </w:rPr>
        <w:t>2015 Z. z. o</w:t>
      </w:r>
      <w:r w:rsidRPr="005C4263">
        <w:rPr>
          <w:rFonts w:ascii="Times New Roman" w:hAnsi="Times New Roman"/>
        </w:rPr>
        <w:t xml:space="preserve"> uznávaní dokladov o vzdelaní a o uznávaní odborných kvalifikácií a o zmene a doplnení niektorých zákonov</w:t>
      </w:r>
      <w:r w:rsidRPr="005C4263" w:rsidR="00E37F71">
        <w:rPr>
          <w:rFonts w:ascii="Times New Roman" w:hAnsi="Times New Roman"/>
        </w:rPr>
        <w:t xml:space="preserve"> v znení neskorších predpisov (ďalej len „zákon“)</w:t>
      </w:r>
      <w:r w:rsidRPr="005C4263">
        <w:rPr>
          <w:rFonts w:ascii="Times New Roman" w:hAnsi="Times New Roman"/>
        </w:rPr>
        <w:t>. Právna úprava v súčasnosti už poskytuje rámec uznávania na účely pokračovania vo vysokoškolskom štúdiu pre všetky štáty, základné právo na posúdenie kvalifikácie je preto už v súčasnosti obsiahnuté</w:t>
      </w:r>
      <w:r w:rsidRPr="005C4263" w:rsidR="00E37F71">
        <w:rPr>
          <w:rFonts w:ascii="Times New Roman" w:hAnsi="Times New Roman"/>
        </w:rPr>
        <w:t xml:space="preserve"> v § 33 až 39 zákona</w:t>
      </w:r>
      <w:r w:rsidRPr="005C4263">
        <w:rPr>
          <w:rFonts w:ascii="Times New Roman" w:hAnsi="Times New Roman"/>
        </w:rPr>
        <w:t>, rovnako ako právo na odvolanie proti rozhodnutiu, vyplývajúce zo zákona č. 71/1967 Zb. o správnom konaní (správny poriadok)</w:t>
      </w:r>
      <w:r w:rsidR="00A6499F">
        <w:rPr>
          <w:rFonts w:ascii="Times New Roman" w:hAnsi="Times New Roman"/>
        </w:rPr>
        <w:t xml:space="preserve"> </w:t>
      </w:r>
      <w:r w:rsidRPr="00A6499F" w:rsidR="00A6499F">
        <w:rPr>
          <w:rFonts w:ascii="Times New Roman" w:hAnsi="Times New Roman"/>
        </w:rPr>
        <w:t>v znení neskorších predpisov</w:t>
      </w:r>
      <w:r w:rsidRPr="005C4263">
        <w:rPr>
          <w:rFonts w:ascii="Times New Roman" w:hAnsi="Times New Roman"/>
        </w:rPr>
        <w:t>. Zjednodušené formy uznania (napr. uznanie stupňa vysokoškolského vzdelania bez uznania rovnocennosti študijného odboru) sú v súčasne platnej právnej úprave možné len na základe bilaterálnych zmlúv a</w:t>
      </w:r>
      <w:r w:rsidRPr="005C4263" w:rsidR="00E37F71">
        <w:rPr>
          <w:rFonts w:ascii="Times New Roman" w:hAnsi="Times New Roman"/>
        </w:rPr>
        <w:t xml:space="preserve"> na základe </w:t>
      </w:r>
      <w:r w:rsidRPr="005C4263" w:rsidR="00884B2B">
        <w:rPr>
          <w:rFonts w:ascii="Times New Roman" w:hAnsi="Times New Roman"/>
        </w:rPr>
        <w:t>d</w:t>
      </w:r>
      <w:r w:rsidRPr="005C4263">
        <w:rPr>
          <w:rFonts w:ascii="Times New Roman" w:hAnsi="Times New Roman"/>
        </w:rPr>
        <w:t>ohovoru o uznávaní kvalifikácií týkajúcich sa vysokoškolského vzdelávania v európskom regióne podpísaného v Lisabone, 11. apríla 1997</w:t>
      </w:r>
      <w:r w:rsidRPr="005C4263" w:rsidR="007753EF">
        <w:rPr>
          <w:rFonts w:ascii="Times New Roman" w:hAnsi="Times New Roman"/>
        </w:rPr>
        <w:t xml:space="preserve"> (oznámenie Ministerstva zahraničných vecí Slovenskej republiky č. 14</w:t>
      </w:r>
      <w:r w:rsidR="00A6499F">
        <w:rPr>
          <w:rFonts w:ascii="Times New Roman" w:hAnsi="Times New Roman"/>
        </w:rPr>
        <w:t>5</w:t>
      </w:r>
      <w:r w:rsidRPr="005C4263" w:rsidR="007753EF">
        <w:rPr>
          <w:rFonts w:ascii="Times New Roman" w:hAnsi="Times New Roman"/>
        </w:rPr>
        <w:t>/2000 Z. z.)</w:t>
      </w:r>
      <w:r w:rsidRPr="005C4263">
        <w:rPr>
          <w:rFonts w:ascii="Times New Roman" w:hAnsi="Times New Roman"/>
        </w:rPr>
        <w:t xml:space="preserve"> Ide o jeden z regionálnych dohovorov, z ktorých sa vychádzalo pri tvorbe </w:t>
      </w:r>
      <w:r w:rsidRPr="005C4263" w:rsidR="00884B2B">
        <w:rPr>
          <w:rFonts w:ascii="Times New Roman" w:hAnsi="Times New Roman"/>
        </w:rPr>
        <w:t>d</w:t>
      </w:r>
      <w:r w:rsidRPr="005C4263">
        <w:rPr>
          <w:rFonts w:ascii="Times New Roman" w:hAnsi="Times New Roman"/>
        </w:rPr>
        <w:t>ohovoru. Pristúpením k </w:t>
      </w:r>
      <w:r w:rsidRPr="005C4263" w:rsidR="00884B2B">
        <w:rPr>
          <w:rFonts w:ascii="Times New Roman" w:hAnsi="Times New Roman"/>
        </w:rPr>
        <w:t>d</w:t>
      </w:r>
      <w:r w:rsidRPr="005C4263">
        <w:rPr>
          <w:rFonts w:ascii="Times New Roman" w:hAnsi="Times New Roman"/>
        </w:rPr>
        <w:t xml:space="preserve">ohovoru by sa preto zjednodušené formy uznávania mohli uplatniť aj na mimoeurópske signatárske štáty </w:t>
      </w:r>
      <w:r w:rsidRPr="005C4263" w:rsidR="00884B2B">
        <w:rPr>
          <w:rFonts w:ascii="Times New Roman" w:hAnsi="Times New Roman"/>
        </w:rPr>
        <w:t>d</w:t>
      </w:r>
      <w:r w:rsidRPr="005C4263">
        <w:rPr>
          <w:rFonts w:ascii="Times New Roman" w:hAnsi="Times New Roman"/>
        </w:rPr>
        <w:t>ohovoru, čím by sa posilnila mobilita študentov, výskumníkov a odborníkov z nových krajín.</w:t>
      </w:r>
    </w:p>
    <w:p w:rsidR="00041D02" w:rsidRPr="005C4263" w:rsidP="002C265D">
      <w:pPr>
        <w:bidi w:val="0"/>
        <w:ind w:left="283"/>
        <w:jc w:val="both"/>
        <w:rPr>
          <w:rFonts w:ascii="Times New Roman" w:hAnsi="Times New Roman"/>
        </w:rPr>
      </w:pPr>
    </w:p>
    <w:p w:rsidR="000D28FD" w:rsidRPr="005C4263" w:rsidP="002C265D">
      <w:pPr>
        <w:bidi w:val="0"/>
        <w:ind w:left="283"/>
        <w:jc w:val="both"/>
        <w:rPr>
          <w:rFonts w:ascii="Times New Roman" w:hAnsi="Times New Roman"/>
        </w:rPr>
      </w:pPr>
    </w:p>
    <w:p w:rsidR="00FA1971" w:rsidRPr="005C4263" w:rsidP="009F410E">
      <w:pPr>
        <w:pStyle w:val="BodyText"/>
        <w:numPr>
          <w:ilvl w:val="0"/>
          <w:numId w:val="1"/>
        </w:numPr>
        <w:tabs>
          <w:tab w:val="left" w:pos="759"/>
        </w:tabs>
        <w:autoSpaceDE/>
        <w:autoSpaceDN/>
        <w:bidi w:val="0"/>
        <w:spacing w:line="247" w:lineRule="auto"/>
        <w:jc w:val="both"/>
        <w:rPr>
          <w:rFonts w:ascii="Times New Roman" w:hAnsi="Times New Roman"/>
          <w:color w:val="auto"/>
        </w:rPr>
      </w:pPr>
      <w:r w:rsidRPr="005C4263">
        <w:rPr>
          <w:rFonts w:ascii="Times New Roman" w:hAnsi="Times New Roman"/>
          <w:b/>
          <w:color w:val="auto"/>
        </w:rPr>
        <w:t>Priama úprava práv alebo povinností fyzických osôb alebo právnických osôb</w:t>
      </w:r>
      <w:r w:rsidRPr="005C4263">
        <w:rPr>
          <w:rFonts w:ascii="Times New Roman" w:hAnsi="Times New Roman"/>
          <w:color w:val="auto"/>
        </w:rPr>
        <w:t>:</w:t>
      </w:r>
      <w:r w:rsidRPr="005C4263" w:rsidR="00500613">
        <w:rPr>
          <w:rFonts w:ascii="Times New Roman" w:hAnsi="Times New Roman"/>
          <w:color w:val="auto"/>
        </w:rPr>
        <w:t xml:space="preserve"> </w:t>
      </w:r>
    </w:p>
    <w:p w:rsidR="00574B75" w:rsidRPr="005C4263" w:rsidP="00574B75">
      <w:pPr>
        <w:pStyle w:val="Default"/>
        <w:bidi w:val="0"/>
        <w:ind w:left="283"/>
        <w:jc w:val="both"/>
        <w:rPr>
          <w:rFonts w:ascii="Times New Roman" w:hAnsi="Times New Roman"/>
          <w:color w:val="auto"/>
        </w:rPr>
      </w:pPr>
      <w:r w:rsidRPr="005C4263">
        <w:rPr>
          <w:rFonts w:ascii="Times New Roman" w:hAnsi="Times New Roman"/>
          <w:color w:val="auto"/>
        </w:rPr>
        <w:t xml:space="preserve">Dohovor priamo zakladá práva a povinnosti v čl. </w:t>
      </w:r>
      <w:r w:rsidRPr="005C4263" w:rsidR="0030727F">
        <w:rPr>
          <w:rFonts w:ascii="Times New Roman" w:hAnsi="Times New Roman"/>
          <w:color w:val="auto"/>
        </w:rPr>
        <w:t>III ods. 1 (</w:t>
      </w:r>
      <w:r w:rsidRPr="005C4263" w:rsidR="00041D02">
        <w:rPr>
          <w:rFonts w:ascii="Times New Roman" w:hAnsi="Times New Roman"/>
          <w:color w:val="auto"/>
        </w:rPr>
        <w:t>právo jednotlivca na posúdenie kvalifikácie</w:t>
      </w:r>
      <w:r w:rsidRPr="005C4263" w:rsidR="0030727F">
        <w:rPr>
          <w:rFonts w:ascii="Times New Roman" w:hAnsi="Times New Roman"/>
          <w:color w:val="auto"/>
        </w:rPr>
        <w:t xml:space="preserve">), v čl. III ods. 7 </w:t>
      </w:r>
      <w:r w:rsidRPr="005C4263">
        <w:rPr>
          <w:rFonts w:ascii="Times New Roman" w:hAnsi="Times New Roman"/>
          <w:color w:val="auto"/>
        </w:rPr>
        <w:t>(</w:t>
      </w:r>
      <w:r w:rsidRPr="005C4263" w:rsidR="00041D02">
        <w:rPr>
          <w:rFonts w:ascii="Times New Roman" w:hAnsi="Times New Roman"/>
          <w:color w:val="auto"/>
        </w:rPr>
        <w:t>právo na odvolanie voči rozhodnutiu príslušného orgánu</w:t>
      </w:r>
      <w:r w:rsidRPr="005C4263" w:rsidR="0030727F">
        <w:rPr>
          <w:rFonts w:ascii="Times New Roman" w:hAnsi="Times New Roman"/>
          <w:color w:val="auto"/>
        </w:rPr>
        <w:t>)</w:t>
      </w:r>
      <w:r w:rsidRPr="005C4263" w:rsidR="00041D02">
        <w:rPr>
          <w:rFonts w:ascii="Times New Roman" w:hAnsi="Times New Roman"/>
          <w:color w:val="auto"/>
        </w:rPr>
        <w:t>.</w:t>
      </w:r>
      <w:r w:rsidRPr="005C4263" w:rsidR="0030727F">
        <w:rPr>
          <w:rFonts w:ascii="Times New Roman" w:hAnsi="Times New Roman"/>
          <w:color w:val="auto"/>
        </w:rPr>
        <w:t xml:space="preserve"> </w:t>
      </w:r>
      <w:r w:rsidRPr="005C4263">
        <w:rPr>
          <w:rFonts w:ascii="Times New Roman" w:hAnsi="Times New Roman"/>
          <w:color w:val="auto"/>
        </w:rPr>
        <w:t xml:space="preserve"> </w:t>
      </w:r>
    </w:p>
    <w:p w:rsidR="009F410E" w:rsidP="00574B75">
      <w:pPr>
        <w:pStyle w:val="BodyText"/>
        <w:tabs>
          <w:tab w:val="left" w:pos="759"/>
        </w:tabs>
        <w:autoSpaceDE/>
        <w:autoSpaceDN/>
        <w:bidi w:val="0"/>
        <w:spacing w:line="247" w:lineRule="auto"/>
        <w:ind w:left="283"/>
        <w:jc w:val="both"/>
        <w:rPr>
          <w:rFonts w:ascii="Times New Roman" w:hAnsi="Times New Roman"/>
          <w:b/>
          <w:color w:val="auto"/>
        </w:rPr>
      </w:pPr>
    </w:p>
    <w:p w:rsidR="00D46C54" w:rsidRPr="005C4263" w:rsidP="00574B75">
      <w:pPr>
        <w:pStyle w:val="BodyText"/>
        <w:tabs>
          <w:tab w:val="left" w:pos="759"/>
        </w:tabs>
        <w:autoSpaceDE/>
        <w:autoSpaceDN/>
        <w:bidi w:val="0"/>
        <w:spacing w:line="247" w:lineRule="auto"/>
        <w:ind w:left="283"/>
        <w:jc w:val="both"/>
        <w:rPr>
          <w:rFonts w:ascii="Times New Roman" w:hAnsi="Times New Roman"/>
          <w:b/>
          <w:color w:val="auto"/>
        </w:rPr>
      </w:pPr>
    </w:p>
    <w:p w:rsidR="00670FCE" w:rsidRPr="005C4263" w:rsidP="00670FCE">
      <w:pPr>
        <w:pStyle w:val="Default"/>
        <w:numPr>
          <w:ilvl w:val="0"/>
          <w:numId w:val="1"/>
        </w:numPr>
        <w:bidi w:val="0"/>
        <w:rPr>
          <w:rFonts w:ascii="Times New Roman" w:hAnsi="Times New Roman"/>
          <w:b/>
          <w:color w:val="auto"/>
        </w:rPr>
      </w:pPr>
      <w:r w:rsidRPr="005C4263">
        <w:rPr>
          <w:rFonts w:ascii="Times New Roman" w:hAnsi="Times New Roman"/>
          <w:b/>
          <w:color w:val="auto"/>
        </w:rPr>
        <w:t xml:space="preserve">Úprava predmetu medzinárodnej zmluvy v práve Európskej únie: </w:t>
      </w:r>
    </w:p>
    <w:p w:rsidR="00CC0210" w:rsidP="00574B75">
      <w:pPr>
        <w:pStyle w:val="ListParagraph"/>
        <w:bidi w:val="0"/>
        <w:ind w:left="283"/>
        <w:jc w:val="both"/>
        <w:rPr>
          <w:rFonts w:ascii="Times New Roman" w:hAnsi="Times New Roman"/>
        </w:rPr>
      </w:pPr>
    </w:p>
    <w:p w:rsidR="00505C1E" w:rsidRPr="005C4263" w:rsidP="00574B75">
      <w:pPr>
        <w:pStyle w:val="ListParagraph"/>
        <w:bidi w:val="0"/>
        <w:ind w:left="283"/>
        <w:jc w:val="both"/>
        <w:rPr>
          <w:rFonts w:ascii="Times New Roman" w:hAnsi="Times New Roman"/>
          <w:lang w:eastAsia="en-US"/>
        </w:rPr>
      </w:pP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  <w:r w:rsidRPr="78A00168">
        <w:rPr>
          <w:rFonts w:ascii="Times New Roman" w:hAnsi="Times New Roman"/>
        </w:rPr>
        <w:t>Predmet medzinárodnej zmluvy je upravený v práve Európskej únie:</w:t>
      </w: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  <w:r w:rsidRPr="78A00168"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</w:r>
      <w:r w:rsidRPr="78A00168">
        <w:rPr>
          <w:rFonts w:ascii="Times New Roman" w:hAnsi="Times New Roman"/>
        </w:rPr>
        <w:t xml:space="preserve">v primárnom práve </w:t>
      </w: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</w:p>
    <w:p w:rsidR="00505C1E" w:rsidP="78A00168">
      <w:pPr>
        <w:bidi w:val="0"/>
        <w:ind w:left="283"/>
        <w:jc w:val="both"/>
        <w:rPr>
          <w:rFonts w:ascii="Times New Roman" w:hAnsi="Times New Roman"/>
          <w:lang w:eastAsia="cs-CZ"/>
        </w:rPr>
      </w:pPr>
      <w:r w:rsidRPr="78A00168">
        <w:rPr>
          <w:rFonts w:ascii="Times New Roman" w:hAnsi="Times New Roman"/>
        </w:rPr>
        <w:t>Zmluva o fungovaní Európskej únie čl. 165, 166, (</w:t>
      </w:r>
      <w:r w:rsidRPr="00B61C3B">
        <w:rPr>
          <w:rFonts w:ascii="Times New Roman" w:hAnsi="Times New Roman"/>
          <w:lang w:eastAsia="cs-CZ"/>
        </w:rPr>
        <w:t>Ú. v. ES C 202, 7.6.2016) v platnom znení</w:t>
      </w: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  <w:r w:rsidRPr="78A00168"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78A00168">
        <w:rPr>
          <w:rFonts w:ascii="Times New Roman" w:hAnsi="Times New Roman"/>
        </w:rPr>
        <w:t xml:space="preserve"> v sekundárnom práve</w:t>
      </w: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  <w:r w:rsidRPr="0075585C" w:rsidR="0075585C">
        <w:rPr>
          <w:rFonts w:ascii="Times New Roman" w:hAnsi="Times New Roman"/>
        </w:rPr>
        <w:tab/>
      </w:r>
      <w:r w:rsidRPr="78A00168" w:rsidR="0075585C">
        <w:rPr>
          <w:rFonts w:ascii="Times New Roman" w:hAnsi="Times New Roman"/>
        </w:rPr>
        <w:t>Smernica Európskeho parlamentu a Rady (EÚ) 2016/801 z 11. mája 2016 o podmienkach vstupu a pobytu štátnych príslušníkov tretích krajín na účely výskumu, štúdia, odborného vzdelávania, dobrovoľníckej služby, výmenných programov žiakov alebo vzdelávacích projektov a činnosti aupair (prepracované znenie) (Ú. v. EÚ L 132, 21.5.2016) v platnom znení</w:t>
      </w:r>
    </w:p>
    <w:p w:rsidR="00505C1E" w:rsidP="78A00168">
      <w:pPr>
        <w:bidi w:val="0"/>
        <w:ind w:left="283"/>
        <w:jc w:val="both"/>
        <w:rPr>
          <w:rFonts w:ascii="Times New Roman" w:hAnsi="Times New Roman"/>
        </w:rPr>
      </w:pPr>
    </w:p>
    <w:p w:rsidR="009F410E" w:rsidP="78A00168">
      <w:pPr>
        <w:bidi w:val="0"/>
        <w:ind w:left="283"/>
        <w:jc w:val="both"/>
        <w:rPr>
          <w:rFonts w:ascii="Times New Roman" w:hAnsi="Times New Roman"/>
        </w:rPr>
      </w:pPr>
      <w:r w:rsidRPr="78A00168" w:rsidR="00532713">
        <w:rPr>
          <w:rFonts w:ascii="Times New Roman" w:hAnsi="Times New Roman"/>
        </w:rPr>
        <w:t>Stupeň zlučiteľnosti predmetu medzinárodnej zmluvy s právom Európskej únie:</w:t>
      </w:r>
    </w:p>
    <w:p w:rsidR="00532713" w:rsidP="78A00168">
      <w:pPr>
        <w:bidi w:val="0"/>
        <w:ind w:left="283"/>
        <w:jc w:val="both"/>
        <w:rPr>
          <w:rFonts w:ascii="Times New Roman" w:hAnsi="Times New Roman"/>
        </w:rPr>
      </w:pPr>
      <w:r w:rsidRPr="78A00168">
        <w:rPr>
          <w:rFonts w:ascii="Times New Roman" w:hAnsi="Times New Roman"/>
        </w:rPr>
        <w:t>úplne</w:t>
      </w:r>
    </w:p>
    <w:p w:rsidR="00D46C54" w:rsidRPr="005C4263" w:rsidP="00CE303A">
      <w:pPr>
        <w:bidi w:val="0"/>
        <w:ind w:left="283"/>
        <w:jc w:val="both"/>
        <w:rPr>
          <w:rFonts w:ascii="Times New Roman" w:hAnsi="Times New Roman"/>
        </w:rPr>
      </w:pPr>
    </w:p>
    <w:p w:rsidR="00CC1D44" w:rsidRPr="005C4263" w:rsidP="001A1D7D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</w:rPr>
      </w:pPr>
      <w:r w:rsidRPr="005C4263" w:rsidR="00F67480">
        <w:rPr>
          <w:rFonts w:ascii="Times New Roman" w:hAnsi="Times New Roman"/>
          <w:b/>
        </w:rPr>
        <w:t xml:space="preserve">Kategória zmluvy podľa čl. 7 ods. </w:t>
      </w:r>
      <w:r w:rsidRPr="005C4263" w:rsidR="000567D0">
        <w:rPr>
          <w:rFonts w:ascii="Times New Roman" w:hAnsi="Times New Roman"/>
          <w:b/>
        </w:rPr>
        <w:t>4</w:t>
      </w:r>
      <w:r w:rsidRPr="005C4263" w:rsidR="00F67480">
        <w:rPr>
          <w:rFonts w:ascii="Times New Roman" w:hAnsi="Times New Roman"/>
          <w:b/>
        </w:rPr>
        <w:t xml:space="preserve"> Ústavy Slovenskej republiky (vyžaduje pred ratifikáciou súhlas Národnej rady Slovenskej republiky):</w:t>
      </w:r>
    </w:p>
    <w:p w:rsidR="00FD68F0" w:rsidRPr="005C4263" w:rsidP="00FD68F0">
      <w:pPr>
        <w:bidi w:val="0"/>
        <w:ind w:left="284" w:hanging="284"/>
        <w:jc w:val="both"/>
        <w:rPr>
          <w:rFonts w:ascii="Times New Roman" w:hAnsi="Times New Roman"/>
          <w:lang w:eastAsia="en-US"/>
        </w:rPr>
      </w:pPr>
      <w:r w:rsidRPr="005C4263" w:rsidR="000567D0">
        <w:rPr>
          <w:rStyle w:val="PlaceholderText"/>
          <w:color w:val="auto"/>
        </w:rPr>
        <w:t xml:space="preserve">     </w:t>
      </w:r>
      <w:r w:rsidRPr="005C4263" w:rsidR="00E37F71">
        <w:rPr>
          <w:rStyle w:val="PlaceholderText"/>
          <w:color w:val="auto"/>
        </w:rPr>
        <w:t>D</w:t>
      </w:r>
      <w:r w:rsidRPr="005C4263">
        <w:rPr>
          <w:rStyle w:val="PlaceholderText"/>
          <w:color w:val="auto"/>
        </w:rPr>
        <w:t>ohovor</w:t>
      </w:r>
      <w:r w:rsidRPr="005C4263" w:rsidR="000567D0">
        <w:rPr>
          <w:rStyle w:val="PlaceholderText"/>
          <w:color w:val="auto"/>
        </w:rPr>
        <w:t xml:space="preserve"> je </w:t>
      </w:r>
      <w:r w:rsidRPr="005C4263">
        <w:rPr>
          <w:rFonts w:ascii="Times New Roman" w:hAnsi="Times New Roman"/>
          <w:noProof/>
          <w:lang w:eastAsia="en-US"/>
        </w:rPr>
        <w:t>mnohostrannou</w:t>
      </w:r>
      <w:r w:rsidRPr="005C4263">
        <w:rPr>
          <w:rFonts w:ascii="Times New Roman" w:hAnsi="Times New Roman"/>
          <w:lang w:eastAsia="en-US"/>
        </w:rPr>
        <w:t xml:space="preserve"> medzinárodnou zmluvou</w:t>
      </w:r>
      <w:r w:rsidRPr="005C4263">
        <w:rPr>
          <w:rFonts w:ascii="Times New Roman" w:hAnsi="Times New Roman"/>
          <w:noProof/>
          <w:lang w:eastAsia="en-US"/>
        </w:rPr>
        <w:t xml:space="preserve"> prezidentskej povahy podľa čl. 7 ods. 4 Ústavy Slovenskej republiky</w:t>
      </w:r>
      <w:r w:rsidRPr="005C4263">
        <w:rPr>
          <w:rFonts w:ascii="Times New Roman" w:hAnsi="Times New Roman"/>
          <w:lang w:eastAsia="en-US"/>
        </w:rPr>
        <w:t>, ktorá priamo zakladá práva alebo povinnosti fyzických osôb alebo právnických osôb</w:t>
      </w:r>
      <w:r w:rsidRPr="005C4263">
        <w:rPr>
          <w:rFonts w:ascii="Times New Roman" w:hAnsi="Times New Roman"/>
          <w:noProof/>
          <w:lang w:eastAsia="en-US"/>
        </w:rPr>
        <w:t xml:space="preserve"> a ktorá si vyžaduje pred ratifikáciou súhlas Národnej rady Slovenskej republiky</w:t>
      </w:r>
      <w:r w:rsidRPr="005C4263">
        <w:rPr>
          <w:rFonts w:ascii="Times New Roman" w:hAnsi="Times New Roman"/>
          <w:lang w:eastAsia="en-US"/>
        </w:rPr>
        <w:t>.</w:t>
      </w:r>
      <w:r w:rsidRPr="005C4263" w:rsidR="00BE0C24">
        <w:rPr>
          <w:rFonts w:ascii="Times New Roman" w:hAnsi="Times New Roman"/>
          <w:lang w:eastAsia="en-US"/>
        </w:rPr>
        <w:t xml:space="preserve"> Ide o medzinárodnú zmluvu, na ktorej vykonanie sa vyžaduje zákon, a to konkrétne v ustanoveniach celého oddielu VI.</w:t>
      </w:r>
      <w:r w:rsidRPr="005C4263" w:rsidR="00143065">
        <w:rPr>
          <w:rFonts w:ascii="Times New Roman" w:hAnsi="Times New Roman"/>
          <w:lang w:eastAsia="en-US"/>
        </w:rPr>
        <w:t xml:space="preserve"> </w:t>
      </w:r>
      <w:r w:rsidRPr="005C4263" w:rsidR="00BE0C24">
        <w:rPr>
          <w:rFonts w:ascii="Times New Roman" w:hAnsi="Times New Roman"/>
          <w:lang w:eastAsia="en-US"/>
        </w:rPr>
        <w:t>(Povinnosti zmluvných strán dohovoru)</w:t>
      </w:r>
    </w:p>
    <w:p w:rsidR="000567D0" w:rsidP="000567D0">
      <w:pPr>
        <w:numPr>
          <w:ilvl w:val="12"/>
        </w:numPr>
        <w:bidi w:val="0"/>
        <w:ind w:left="284" w:hanging="284"/>
        <w:jc w:val="both"/>
        <w:rPr>
          <w:rFonts w:ascii="Times New Roman" w:hAnsi="Times New Roman"/>
          <w:b/>
          <w:bCs/>
        </w:rPr>
      </w:pPr>
    </w:p>
    <w:p w:rsidR="00D46C54" w:rsidRPr="005C4263" w:rsidP="000567D0">
      <w:pPr>
        <w:numPr>
          <w:ilvl w:val="12"/>
        </w:numPr>
        <w:bidi w:val="0"/>
        <w:ind w:left="284" w:hanging="284"/>
        <w:jc w:val="both"/>
        <w:rPr>
          <w:rFonts w:ascii="Times New Roman" w:hAnsi="Times New Roman"/>
          <w:b/>
          <w:bCs/>
        </w:rPr>
      </w:pPr>
    </w:p>
    <w:p w:rsidR="00CC1D44" w:rsidRPr="005C4263" w:rsidP="001A1D7D">
      <w:pPr>
        <w:numPr>
          <w:ilvl w:val="0"/>
          <w:numId w:val="1"/>
        </w:numPr>
        <w:bidi w:val="0"/>
        <w:jc w:val="both"/>
        <w:rPr>
          <w:rFonts w:ascii="Times New Roman" w:hAnsi="Times New Roman"/>
          <w:b/>
          <w:bCs/>
        </w:rPr>
      </w:pPr>
      <w:r w:rsidRPr="005C4263" w:rsidR="007F761B">
        <w:rPr>
          <w:rFonts w:ascii="Times New Roman" w:hAnsi="Times New Roman"/>
          <w:b/>
          <w:bCs/>
        </w:rPr>
        <w:t>Kategória zmluvy podľa čl. 7 ods. 5 Ústavy Slovenskej republiky (má prednosť pred zákonmi):</w:t>
      </w:r>
    </w:p>
    <w:p w:rsidR="000A3E77" w:rsidRPr="005C4263" w:rsidP="000A3E77">
      <w:pPr>
        <w:tabs>
          <w:tab w:val="left" w:pos="360"/>
        </w:tabs>
        <w:bidi w:val="0"/>
        <w:ind w:left="283"/>
        <w:jc w:val="both"/>
        <w:rPr>
          <w:rFonts w:ascii="Times New Roman" w:hAnsi="Times New Roman"/>
          <w:b/>
          <w:noProof/>
          <w:lang w:eastAsia="en-US"/>
        </w:rPr>
      </w:pPr>
      <w:r w:rsidRPr="005C4263">
        <w:rPr>
          <w:rFonts w:ascii="Times New Roman" w:hAnsi="Times New Roman"/>
          <w:noProof/>
          <w:lang w:eastAsia="en-US"/>
        </w:rPr>
        <w:t>Dohovor je mnohostrannou</w:t>
      </w:r>
      <w:r w:rsidRPr="005C4263">
        <w:rPr>
          <w:rFonts w:ascii="Times New Roman" w:hAnsi="Times New Roman"/>
          <w:lang w:eastAsia="en-US"/>
        </w:rPr>
        <w:t xml:space="preserve"> medzinárodnou zmluvou</w:t>
      </w:r>
      <w:r w:rsidRPr="005C4263">
        <w:rPr>
          <w:rFonts w:ascii="Times New Roman" w:hAnsi="Times New Roman"/>
          <w:noProof/>
          <w:lang w:eastAsia="en-US"/>
        </w:rPr>
        <w:t xml:space="preserve"> prezidentskej povahy podľa </w:t>
      </w:r>
      <w:r w:rsidRPr="005C4263">
        <w:rPr>
          <w:rFonts w:ascii="Times New Roman" w:hAnsi="Times New Roman"/>
          <w:lang w:eastAsia="en-US"/>
        </w:rPr>
        <w:t xml:space="preserve">čl. 7 ods. 5 Ústavy Slovenskej republiky, </w:t>
      </w:r>
      <w:r w:rsidRPr="005C4263" w:rsidR="00BE0C24">
        <w:rPr>
          <w:rFonts w:ascii="Times New Roman" w:hAnsi="Times New Roman"/>
          <w:lang w:eastAsia="en-US"/>
        </w:rPr>
        <w:t xml:space="preserve">ktorá </w:t>
      </w:r>
      <w:r w:rsidRPr="005C4263">
        <w:rPr>
          <w:rFonts w:ascii="Times New Roman" w:hAnsi="Times New Roman"/>
          <w:lang w:eastAsia="en-US"/>
        </w:rPr>
        <w:t xml:space="preserve"> priamo zakladá práva alebo povinnosti fyzických osôb alebo právnických osôb </w:t>
      </w:r>
      <w:r w:rsidRPr="005C4263" w:rsidR="00041D02">
        <w:rPr>
          <w:rFonts w:ascii="Times New Roman" w:hAnsi="Times New Roman"/>
          <w:lang w:eastAsia="en-US"/>
        </w:rPr>
        <w:t xml:space="preserve">vyplývajúce z vybraných článkov </w:t>
      </w:r>
      <w:r w:rsidRPr="005C4263" w:rsidR="00884B2B">
        <w:rPr>
          <w:rFonts w:ascii="Times New Roman" w:hAnsi="Times New Roman"/>
          <w:lang w:eastAsia="en-US"/>
        </w:rPr>
        <w:t>d</w:t>
      </w:r>
      <w:r w:rsidRPr="005C4263" w:rsidR="00041D02">
        <w:rPr>
          <w:rFonts w:ascii="Times New Roman" w:hAnsi="Times New Roman"/>
          <w:lang w:eastAsia="en-US"/>
        </w:rPr>
        <w:t xml:space="preserve">ohovoru, </w:t>
      </w:r>
      <w:r w:rsidRPr="005C4263">
        <w:rPr>
          <w:rFonts w:ascii="Times New Roman" w:hAnsi="Times New Roman"/>
          <w:lang w:eastAsia="en-US"/>
        </w:rPr>
        <w:t>a ktorá po</w:t>
      </w:r>
      <w:r w:rsidRPr="005C4263" w:rsidR="00DE21B9">
        <w:rPr>
          <w:rFonts w:ascii="Times New Roman" w:hAnsi="Times New Roman"/>
          <w:lang w:eastAsia="en-US"/>
        </w:rPr>
        <w:t> </w:t>
      </w:r>
      <w:r w:rsidRPr="005C4263">
        <w:rPr>
          <w:rFonts w:ascii="Times New Roman" w:hAnsi="Times New Roman"/>
          <w:lang w:eastAsia="en-US"/>
        </w:rPr>
        <w:t>ratifikácii a vyhlásení spôsobom ustanoveným zákonom má prednosť pred zákonmi.</w:t>
      </w:r>
    </w:p>
    <w:p w:rsidR="00500613" w:rsidP="00500613">
      <w:pPr>
        <w:bidi w:val="0"/>
        <w:jc w:val="both"/>
        <w:rPr>
          <w:rFonts w:ascii="Times New Roman" w:hAnsi="Times New Roman"/>
          <w:b/>
          <w:bCs/>
        </w:rPr>
      </w:pPr>
    </w:p>
    <w:p w:rsidR="00D46C54" w:rsidRPr="005C4263" w:rsidP="00500613">
      <w:pPr>
        <w:bidi w:val="0"/>
        <w:jc w:val="both"/>
        <w:rPr>
          <w:rFonts w:ascii="Times New Roman" w:hAnsi="Times New Roman"/>
          <w:b/>
          <w:bCs/>
        </w:rPr>
      </w:pPr>
    </w:p>
    <w:p w:rsidR="00670FCE" w:rsidRPr="005C4263" w:rsidP="00DE333F">
      <w:pPr>
        <w:pStyle w:val="Default"/>
        <w:numPr>
          <w:ilvl w:val="0"/>
          <w:numId w:val="1"/>
        </w:numPr>
        <w:bidi w:val="0"/>
        <w:jc w:val="both"/>
        <w:rPr>
          <w:rFonts w:ascii="Times New Roman" w:hAnsi="Times New Roman"/>
          <w:b/>
          <w:color w:val="auto"/>
        </w:rPr>
      </w:pPr>
      <w:r w:rsidRPr="005C4263">
        <w:rPr>
          <w:rFonts w:ascii="Times New Roman" w:hAnsi="Times New Roman"/>
          <w:b/>
          <w:color w:val="auto"/>
        </w:rPr>
        <w:t xml:space="preserve">Vplyvy prijatia medzinárodnej zmluvy, ktorá má prednosť pred zákonmi, na slovenský právny poriadok (uvedú sa právne predpisy alebo ich jednotlivé ustanovenia, ktorých sa medzinárodná zmluva týka; potreba ich zrušenia alebo zmeny z dôvodu duplicity): </w:t>
      </w:r>
    </w:p>
    <w:p w:rsidR="00C934C2" w:rsidRPr="005C4263" w:rsidP="001F5934">
      <w:pPr>
        <w:pStyle w:val="Default"/>
        <w:bidi w:val="0"/>
        <w:ind w:left="283"/>
        <w:jc w:val="both"/>
        <w:rPr>
          <w:rFonts w:ascii="Times New Roman" w:hAnsi="Times New Roman"/>
          <w:color w:val="auto"/>
        </w:rPr>
      </w:pPr>
      <w:r w:rsidRPr="005C4263" w:rsidR="00041D02">
        <w:rPr>
          <w:rFonts w:ascii="Times New Roman" w:hAnsi="Times New Roman"/>
          <w:bCs/>
          <w:color w:val="auto"/>
        </w:rPr>
        <w:t>Predpokladá sa zmena zákona</w:t>
      </w:r>
      <w:r w:rsidRPr="005C4263" w:rsidR="00E37F71">
        <w:rPr>
          <w:rFonts w:ascii="Times New Roman" w:hAnsi="Times New Roman"/>
          <w:bCs/>
          <w:color w:val="auto"/>
        </w:rPr>
        <w:t>,</w:t>
      </w:r>
      <w:r w:rsidRPr="005C4263" w:rsidR="00041D02">
        <w:rPr>
          <w:rFonts w:ascii="Times New Roman" w:hAnsi="Times New Roman"/>
          <w:color w:val="auto"/>
        </w:rPr>
        <w:t xml:space="preserve"> pričom sa predbežne </w:t>
      </w:r>
      <w:r w:rsidRPr="005C4263" w:rsidR="00E37F71">
        <w:rPr>
          <w:rFonts w:ascii="Times New Roman" w:hAnsi="Times New Roman"/>
          <w:color w:val="auto"/>
        </w:rPr>
        <w:t>predpokladá úprava</w:t>
      </w:r>
      <w:r w:rsidRPr="005C4263" w:rsidR="00041D02">
        <w:rPr>
          <w:rFonts w:ascii="Times New Roman" w:hAnsi="Times New Roman"/>
          <w:color w:val="auto"/>
        </w:rPr>
        <w:t xml:space="preserve"> ustanovení § 33 </w:t>
      </w:r>
      <w:r w:rsidRPr="005C4263" w:rsidR="00E37F71">
        <w:rPr>
          <w:rFonts w:ascii="Times New Roman" w:hAnsi="Times New Roman"/>
          <w:color w:val="auto"/>
        </w:rPr>
        <w:t>až</w:t>
      </w:r>
      <w:r w:rsidRPr="005C4263" w:rsidR="00041D02">
        <w:rPr>
          <w:rFonts w:ascii="Times New Roman" w:hAnsi="Times New Roman"/>
          <w:color w:val="auto"/>
        </w:rPr>
        <w:t xml:space="preserve"> 39 tak, aby reflektovali záväzky vyplývajúce z </w:t>
      </w:r>
      <w:r w:rsidRPr="005C4263" w:rsidR="00884B2B">
        <w:rPr>
          <w:rFonts w:ascii="Times New Roman" w:hAnsi="Times New Roman"/>
          <w:color w:val="auto"/>
        </w:rPr>
        <w:t>d</w:t>
      </w:r>
      <w:r w:rsidRPr="005C4263" w:rsidR="00041D02">
        <w:rPr>
          <w:rFonts w:ascii="Times New Roman" w:hAnsi="Times New Roman"/>
          <w:color w:val="auto"/>
        </w:rPr>
        <w:t>ohovoru. Napriek tomu, že základné právo na posúdenie vysokoškolskej kvalifikácie a kvalifikácie umožňujúcej prístup k vysokoškolskému vzdelaniu je už v súčasnosti v právnej úprave obsiahnuté vo všeobecnosti, je potrebné jeho upresnenie a prípadná konkrétnejšia úprava vo vzťahu k štátom, ktoré k </w:t>
      </w:r>
      <w:r w:rsidRPr="005C4263" w:rsidR="00884B2B">
        <w:rPr>
          <w:rFonts w:ascii="Times New Roman" w:hAnsi="Times New Roman"/>
          <w:color w:val="auto"/>
        </w:rPr>
        <w:t>d</w:t>
      </w:r>
      <w:r w:rsidRPr="005C4263" w:rsidR="00041D02">
        <w:rPr>
          <w:rFonts w:ascii="Times New Roman" w:hAnsi="Times New Roman"/>
          <w:color w:val="auto"/>
        </w:rPr>
        <w:t>ohovoru pristúpia.</w:t>
      </w:r>
      <w:r w:rsidRPr="005C4263" w:rsidR="001F5934">
        <w:rPr>
          <w:rFonts w:ascii="Times New Roman" w:hAnsi="Times New Roman"/>
          <w:color w:val="auto"/>
        </w:rPr>
        <w:t xml:space="preserve"> </w:t>
      </w:r>
      <w:r w:rsidRPr="005C4263">
        <w:rPr>
          <w:rFonts w:ascii="Times New Roman" w:hAnsi="Times New Roman"/>
          <w:bCs/>
          <w:color w:val="auto"/>
        </w:rPr>
        <w:t>Pokiaľ ide o vytvorenie informačné</w:t>
      </w:r>
      <w:r w:rsidRPr="005C4263" w:rsidR="001F5934">
        <w:rPr>
          <w:rFonts w:ascii="Times New Roman" w:hAnsi="Times New Roman"/>
          <w:bCs/>
          <w:color w:val="auto"/>
        </w:rPr>
        <w:t>ho</w:t>
      </w:r>
      <w:r w:rsidRPr="005C4263">
        <w:rPr>
          <w:rFonts w:ascii="Times New Roman" w:hAnsi="Times New Roman"/>
          <w:bCs/>
          <w:color w:val="auto"/>
        </w:rPr>
        <w:t xml:space="preserve"> centr</w:t>
      </w:r>
      <w:r w:rsidRPr="005C4263" w:rsidR="001F5934">
        <w:rPr>
          <w:rFonts w:ascii="Times New Roman" w:hAnsi="Times New Roman"/>
          <w:bCs/>
          <w:color w:val="auto"/>
        </w:rPr>
        <w:t>a</w:t>
      </w:r>
      <w:r w:rsidRPr="005C4263">
        <w:rPr>
          <w:rFonts w:ascii="Times New Roman" w:hAnsi="Times New Roman"/>
          <w:bCs/>
          <w:color w:val="auto"/>
        </w:rPr>
        <w:t xml:space="preserve"> podľa článku XIII. </w:t>
      </w:r>
      <w:r w:rsidRPr="005C4263" w:rsidR="00884B2B">
        <w:rPr>
          <w:rFonts w:ascii="Times New Roman" w:hAnsi="Times New Roman"/>
          <w:bCs/>
          <w:color w:val="auto"/>
        </w:rPr>
        <w:t>d</w:t>
      </w:r>
      <w:r w:rsidRPr="005C4263">
        <w:rPr>
          <w:rFonts w:ascii="Times New Roman" w:hAnsi="Times New Roman"/>
          <w:bCs/>
          <w:color w:val="auto"/>
        </w:rPr>
        <w:t xml:space="preserve">ohovoru, tieto úlohy bude plniť </w:t>
      </w:r>
      <w:r w:rsidRPr="005C4263" w:rsidR="00E37F71">
        <w:rPr>
          <w:rFonts w:ascii="Times New Roman" w:hAnsi="Times New Roman"/>
          <w:bCs/>
          <w:color w:val="auto"/>
        </w:rPr>
        <w:t>MŠVVaŠ SR</w:t>
      </w:r>
      <w:r w:rsidRPr="005C4263">
        <w:rPr>
          <w:rFonts w:ascii="Times New Roman" w:hAnsi="Times New Roman"/>
          <w:bCs/>
          <w:color w:val="auto"/>
        </w:rPr>
        <w:t xml:space="preserve">, ktoré už v súčasnosti je obdobným centrom v európskych sieťach ENIC – NARIC. Jeho úlohy a funkcie by sa mali rozšíriť v súvislosti s </w:t>
      </w:r>
      <w:r w:rsidRPr="005C4263" w:rsidR="00884B2B">
        <w:rPr>
          <w:rFonts w:ascii="Times New Roman" w:hAnsi="Times New Roman"/>
          <w:bCs/>
          <w:color w:val="auto"/>
        </w:rPr>
        <w:t>d</w:t>
      </w:r>
      <w:r w:rsidRPr="005C4263">
        <w:rPr>
          <w:rFonts w:ascii="Times New Roman" w:hAnsi="Times New Roman"/>
          <w:bCs/>
          <w:color w:val="auto"/>
        </w:rPr>
        <w:t>ohovorom, zmena zákona však z tohto hľadiska nie je nutná.</w:t>
      </w:r>
    </w:p>
    <w:p w:rsidR="00041D02" w:rsidRPr="005C4263" w:rsidP="00041D02">
      <w:pPr>
        <w:pStyle w:val="Default"/>
        <w:bidi w:val="0"/>
        <w:ind w:left="283"/>
        <w:jc w:val="both"/>
        <w:rPr>
          <w:rFonts w:ascii="Times New Roman" w:hAnsi="Times New Roman"/>
          <w:bCs/>
          <w:color w:val="auto"/>
          <w:u w:val="single"/>
        </w:rPr>
      </w:pPr>
    </w:p>
    <w:p w:rsidR="00041D02" w:rsidRPr="005C4263" w:rsidP="00041D02">
      <w:pPr>
        <w:pStyle w:val="Default"/>
        <w:bidi w:val="0"/>
        <w:ind w:left="283"/>
        <w:jc w:val="both"/>
        <w:rPr>
          <w:rFonts w:ascii="Times New Roman" w:hAnsi="Times New Roman"/>
          <w:b/>
          <w:color w:val="auto"/>
        </w:rPr>
      </w:pPr>
      <w:r w:rsidRPr="005C4263">
        <w:rPr>
          <w:rFonts w:ascii="Times New Roman" w:hAnsi="Times New Roman"/>
          <w:bCs/>
          <w:color w:val="auto"/>
        </w:rPr>
        <w:t>Čo sa týka práva na odvolanie, nakoľko ide o konanie, ktoré z tohto hľadiska podlieha zákonu č.</w:t>
      </w:r>
      <w:r w:rsidRPr="005C4263">
        <w:rPr>
          <w:rFonts w:ascii="Times New Roman" w:hAnsi="Times New Roman"/>
          <w:color w:val="auto"/>
        </w:rPr>
        <w:t xml:space="preserve"> 71/1967 Zb. o správnom konaní (správny poriadok)</w:t>
      </w:r>
      <w:r w:rsidR="00A6499F">
        <w:rPr>
          <w:rFonts w:ascii="Times New Roman" w:hAnsi="Times New Roman"/>
          <w:color w:val="auto"/>
        </w:rPr>
        <w:t xml:space="preserve"> </w:t>
      </w:r>
      <w:r w:rsidRPr="00A6499F" w:rsidR="00A6499F">
        <w:rPr>
          <w:rFonts w:ascii="Times New Roman" w:hAnsi="Times New Roman"/>
          <w:color w:val="auto"/>
        </w:rPr>
        <w:t>v znení neskorších predpisov</w:t>
      </w:r>
      <w:r w:rsidRPr="005C4263">
        <w:rPr>
          <w:rFonts w:ascii="Times New Roman" w:hAnsi="Times New Roman"/>
          <w:color w:val="auto"/>
        </w:rPr>
        <w:t>, právo na odvolanie proti rozhodnutiu je už obsiahnuté, pričom správny poriadok ďalej špecifikuje jeho náležitosti. Zmena správneho poriadku nie je potrebná.</w:t>
      </w:r>
    </w:p>
    <w:p w:rsidR="00574B75" w:rsidRPr="005C4263" w:rsidP="00041D02">
      <w:pPr>
        <w:pStyle w:val="Default"/>
        <w:bidi w:val="0"/>
        <w:ind w:left="283"/>
        <w:jc w:val="both"/>
        <w:rPr>
          <w:rFonts w:ascii="Times New Roman" w:hAnsi="Times New Roman"/>
          <w:b/>
          <w:color w:val="auto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S Mincho">
    <w:altName w:val="‚l‚r –ľ’©"/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4811"/>
    <w:multiLevelType w:val="hybridMultilevel"/>
    <w:tmpl w:val="11146EFE"/>
    <w:lvl w:ilvl="0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  <w:rtl w:val="0"/>
        <w:cs w:val="0"/>
      </w:rPr>
    </w:lvl>
    <w:lvl w:ilvl="1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1">
    <w:nsid w:val="48B05789"/>
    <w:multiLevelType w:val="hybridMultilevel"/>
    <w:tmpl w:val="1CB6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  <w:rtl w:val="0"/>
        <w:cs w:val="0"/>
      </w:rPr>
    </w:lvl>
  </w:abstractNum>
  <w:abstractNum w:abstractNumId="2">
    <w:nsid w:val="50F63C91"/>
    <w:multiLevelType w:val="hybridMultilevel"/>
    <w:tmpl w:val="AE0C9C60"/>
    <w:lvl w:ilvl="0">
      <w:start w:val="1"/>
      <w:numFmt w:val="decimal"/>
      <w:lvlText w:val="%1."/>
      <w:lvlJc w:val="left"/>
      <w:pPr>
        <w:ind w:left="758" w:hanging="268"/>
      </w:pPr>
      <w:rPr>
        <w:rFonts w:ascii="Garamond" w:eastAsia="Times New Roman" w:hAnsi="Garamond" w:cs="Times New Roman" w:hint="default"/>
        <w:spacing w:val="1"/>
        <w:w w:val="102"/>
        <w:sz w:val="22"/>
        <w:szCs w:val="22"/>
        <w:rtl w:val="0"/>
        <w:cs w:val="0"/>
      </w:rPr>
    </w:lvl>
    <w:lvl w:ilvl="1">
      <w:start w:val="1"/>
      <w:numFmt w:val="bullet"/>
      <w:lvlText w:val="•"/>
      <w:lvlJc w:val="left"/>
      <w:pPr>
        <w:ind w:left="1564" w:hanging="2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8" w:hanging="2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2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2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2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2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2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2" w:hanging="268"/>
      </w:pPr>
      <w:rPr>
        <w:rFonts w:hint="default"/>
      </w:rPr>
    </w:lvl>
  </w:abstractNum>
  <w:abstractNum w:abstractNumId="3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4">
    <w:nsid w:val="707B692E"/>
    <w:multiLevelType w:val="hybridMultilevel"/>
    <w:tmpl w:val="7738309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rtl w:val="0"/>
          <w:cs w:val="0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/>
  <w:rsids>
    <w:rsidRoot w:val="00446A30"/>
    <w:rsid w:val="00001615"/>
    <w:rsid w:val="00016D1B"/>
    <w:rsid w:val="00037FB6"/>
    <w:rsid w:val="00041D02"/>
    <w:rsid w:val="0005203E"/>
    <w:rsid w:val="000567D0"/>
    <w:rsid w:val="000A3E77"/>
    <w:rsid w:val="000B16BB"/>
    <w:rsid w:val="000B76AC"/>
    <w:rsid w:val="000C2939"/>
    <w:rsid w:val="000C53CE"/>
    <w:rsid w:val="000D1071"/>
    <w:rsid w:val="000D28FD"/>
    <w:rsid w:val="000D4D92"/>
    <w:rsid w:val="000E34E2"/>
    <w:rsid w:val="000E63D1"/>
    <w:rsid w:val="000F44BE"/>
    <w:rsid w:val="00106B38"/>
    <w:rsid w:val="001338D4"/>
    <w:rsid w:val="00141473"/>
    <w:rsid w:val="00143065"/>
    <w:rsid w:val="00143B61"/>
    <w:rsid w:val="00156325"/>
    <w:rsid w:val="00163448"/>
    <w:rsid w:val="001A1D7D"/>
    <w:rsid w:val="001B269F"/>
    <w:rsid w:val="001E0589"/>
    <w:rsid w:val="001F5934"/>
    <w:rsid w:val="002226B0"/>
    <w:rsid w:val="002271C4"/>
    <w:rsid w:val="00241ABA"/>
    <w:rsid w:val="0025534A"/>
    <w:rsid w:val="00290398"/>
    <w:rsid w:val="002C1F57"/>
    <w:rsid w:val="002C265D"/>
    <w:rsid w:val="0030727F"/>
    <w:rsid w:val="00315451"/>
    <w:rsid w:val="0034136D"/>
    <w:rsid w:val="003A5A94"/>
    <w:rsid w:val="003D1032"/>
    <w:rsid w:val="003E1FEC"/>
    <w:rsid w:val="003E4C01"/>
    <w:rsid w:val="003F7B72"/>
    <w:rsid w:val="0040221B"/>
    <w:rsid w:val="00407638"/>
    <w:rsid w:val="00446A30"/>
    <w:rsid w:val="004616FF"/>
    <w:rsid w:val="00490DD7"/>
    <w:rsid w:val="004C555A"/>
    <w:rsid w:val="004E006D"/>
    <w:rsid w:val="00500613"/>
    <w:rsid w:val="00501122"/>
    <w:rsid w:val="005039BB"/>
    <w:rsid w:val="005050D7"/>
    <w:rsid w:val="00505C1E"/>
    <w:rsid w:val="0051479A"/>
    <w:rsid w:val="00532713"/>
    <w:rsid w:val="005477EC"/>
    <w:rsid w:val="00555D2C"/>
    <w:rsid w:val="005631FD"/>
    <w:rsid w:val="00564EA9"/>
    <w:rsid w:val="00565B8E"/>
    <w:rsid w:val="00567F13"/>
    <w:rsid w:val="00574B75"/>
    <w:rsid w:val="00591714"/>
    <w:rsid w:val="005940DD"/>
    <w:rsid w:val="005C4263"/>
    <w:rsid w:val="005D073B"/>
    <w:rsid w:val="005D1D8B"/>
    <w:rsid w:val="005D5023"/>
    <w:rsid w:val="00600B94"/>
    <w:rsid w:val="00620C75"/>
    <w:rsid w:val="00622DDD"/>
    <w:rsid w:val="00635F1B"/>
    <w:rsid w:val="00664439"/>
    <w:rsid w:val="00670FCE"/>
    <w:rsid w:val="00695FE8"/>
    <w:rsid w:val="006B3588"/>
    <w:rsid w:val="006B577C"/>
    <w:rsid w:val="006B61A9"/>
    <w:rsid w:val="006D6E89"/>
    <w:rsid w:val="006E4D0B"/>
    <w:rsid w:val="00724850"/>
    <w:rsid w:val="00732620"/>
    <w:rsid w:val="00753688"/>
    <w:rsid w:val="0075585C"/>
    <w:rsid w:val="00766702"/>
    <w:rsid w:val="007720D8"/>
    <w:rsid w:val="007753EF"/>
    <w:rsid w:val="007C1BED"/>
    <w:rsid w:val="007C581D"/>
    <w:rsid w:val="007F761B"/>
    <w:rsid w:val="0084234E"/>
    <w:rsid w:val="00874467"/>
    <w:rsid w:val="008774F1"/>
    <w:rsid w:val="00884B2B"/>
    <w:rsid w:val="008864B1"/>
    <w:rsid w:val="008A0FAF"/>
    <w:rsid w:val="008C6B1C"/>
    <w:rsid w:val="008E35F0"/>
    <w:rsid w:val="009104B0"/>
    <w:rsid w:val="00911762"/>
    <w:rsid w:val="009135F6"/>
    <w:rsid w:val="00923578"/>
    <w:rsid w:val="00941E00"/>
    <w:rsid w:val="009463D8"/>
    <w:rsid w:val="009A666D"/>
    <w:rsid w:val="009B0720"/>
    <w:rsid w:val="009C3788"/>
    <w:rsid w:val="009E2C40"/>
    <w:rsid w:val="009F410E"/>
    <w:rsid w:val="00A1314F"/>
    <w:rsid w:val="00A3394C"/>
    <w:rsid w:val="00A64488"/>
    <w:rsid w:val="00A6499F"/>
    <w:rsid w:val="00A815D5"/>
    <w:rsid w:val="00A815E8"/>
    <w:rsid w:val="00A86FDA"/>
    <w:rsid w:val="00AC0948"/>
    <w:rsid w:val="00AF73B2"/>
    <w:rsid w:val="00B23AE6"/>
    <w:rsid w:val="00B37E97"/>
    <w:rsid w:val="00B45D14"/>
    <w:rsid w:val="00B6128F"/>
    <w:rsid w:val="00B61C3B"/>
    <w:rsid w:val="00B67B4D"/>
    <w:rsid w:val="00B70FC2"/>
    <w:rsid w:val="00BB152E"/>
    <w:rsid w:val="00BB275F"/>
    <w:rsid w:val="00BD13F2"/>
    <w:rsid w:val="00BE0C24"/>
    <w:rsid w:val="00BF5C33"/>
    <w:rsid w:val="00C03488"/>
    <w:rsid w:val="00C121BC"/>
    <w:rsid w:val="00C122C2"/>
    <w:rsid w:val="00C15719"/>
    <w:rsid w:val="00C3538B"/>
    <w:rsid w:val="00C453CE"/>
    <w:rsid w:val="00C47AA0"/>
    <w:rsid w:val="00C934C2"/>
    <w:rsid w:val="00C95B28"/>
    <w:rsid w:val="00CA5AEB"/>
    <w:rsid w:val="00CC0210"/>
    <w:rsid w:val="00CC1D44"/>
    <w:rsid w:val="00CD65D9"/>
    <w:rsid w:val="00CD6D67"/>
    <w:rsid w:val="00CD7831"/>
    <w:rsid w:val="00CE0CBA"/>
    <w:rsid w:val="00CE303A"/>
    <w:rsid w:val="00CF010A"/>
    <w:rsid w:val="00D0334A"/>
    <w:rsid w:val="00D033DB"/>
    <w:rsid w:val="00D21D09"/>
    <w:rsid w:val="00D32937"/>
    <w:rsid w:val="00D46C54"/>
    <w:rsid w:val="00D75174"/>
    <w:rsid w:val="00D81E16"/>
    <w:rsid w:val="00DC0633"/>
    <w:rsid w:val="00DD57F8"/>
    <w:rsid w:val="00DE21B9"/>
    <w:rsid w:val="00DE333F"/>
    <w:rsid w:val="00E23B85"/>
    <w:rsid w:val="00E37F71"/>
    <w:rsid w:val="00E51352"/>
    <w:rsid w:val="00E76D29"/>
    <w:rsid w:val="00F10668"/>
    <w:rsid w:val="00F41D99"/>
    <w:rsid w:val="00F45634"/>
    <w:rsid w:val="00F67480"/>
    <w:rsid w:val="00F76616"/>
    <w:rsid w:val="00FA1971"/>
    <w:rsid w:val="00FD68F0"/>
    <w:rsid w:val="78A00168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1B"/>
    <w:pPr>
      <w:framePr w:wrap="auto"/>
      <w:widowControl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F761B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E0589"/>
    <w:pPr>
      <w:widowControl w:val="0"/>
      <w:overflowPunct/>
      <w:adjustRightInd/>
      <w:jc w:val="left"/>
      <w:textAlignment w:val="auto"/>
    </w:pPr>
    <w:rPr>
      <w:color w:val="000000"/>
      <w:lang w:eastAsia="cs-CZ"/>
    </w:rPr>
  </w:style>
  <w:style w:type="character" w:customStyle="1" w:styleId="ZkladntextChar">
    <w:name w:val="Základní text Char"/>
    <w:basedOn w:val="DefaultParagraphFont"/>
    <w:link w:val="BodyText"/>
    <w:uiPriority w:val="99"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4E006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unhideWhenUsed/>
    <w:rsid w:val="000B16B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FA1971"/>
    <w:pPr>
      <w:ind w:left="708"/>
      <w:jc w:val="left"/>
    </w:pPr>
  </w:style>
  <w:style w:type="character" w:styleId="PlaceholderText">
    <w:name w:val="Placeholder Text"/>
    <w:basedOn w:val="DefaultParagraphFont"/>
    <w:uiPriority w:val="99"/>
    <w:semiHidden/>
    <w:rsid w:val="000567D0"/>
    <w:rPr>
      <w:rFonts w:ascii="Times New Roman" w:hAnsi="Times New Roman" w:cs="Times New Roman"/>
      <w:color w:val="808080"/>
      <w:rtl w:val="0"/>
      <w:cs w:val="0"/>
    </w:rPr>
  </w:style>
  <w:style w:type="paragraph" w:customStyle="1" w:styleId="Default">
    <w:name w:val="Default"/>
    <w:rsid w:val="00670FC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rsid w:val="0005203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eChar"/>
    <w:uiPriority w:val="99"/>
    <w:rsid w:val="0005203E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locked/>
    <w:rsid w:val="0005203E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edmtkomenteChar"/>
    <w:uiPriority w:val="99"/>
    <w:rsid w:val="0005203E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locked/>
    <w:rsid w:val="0005203E"/>
    <w:rPr>
      <w:b/>
      <w:bCs/>
    </w:rPr>
  </w:style>
  <w:style w:type="paragraph" w:styleId="Revision">
    <w:name w:val="Revision"/>
    <w:hidden/>
    <w:uiPriority w:val="99"/>
    <w:semiHidden/>
    <w:rsid w:val="0076670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WKX3UHSAJ2R6-2-1096323</_dlc_DocId>
    <_dlc_DocIdUrl xmlns="e60a29af-d413-48d4-bd90-fe9d2a897e4b">
      <Url>https://ovdmasv601/sites/DMS/_layouts/15/DocIdRedir.aspx?ID=WKX3UHSAJ2R6-2-1096323</Url>
      <Description>WKX3UHSAJ2R6-2-1096323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16623-18BB-47B5-A62F-301D085E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F2090-37F0-458F-9D1A-31B74B7C3F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E7B6CE-BD5D-44DE-A15B-7300EE968F5A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977778F7-7936-4485-BB37-10FCD1AB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817</Words>
  <Characters>4826</Characters>
  <Application>Microsoft Office Word</Application>
  <DocSecurity>0</DocSecurity>
  <Lines>0</Lines>
  <Paragraphs>0</Paragraphs>
  <ScaleCrop>false</ScaleCrop>
  <Company>MV SR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PREDNOSTI</dc:title>
  <dc:creator>ostrovsk</dc:creator>
  <cp:lastModifiedBy>Emília Malacká</cp:lastModifiedBy>
  <cp:revision>2</cp:revision>
  <cp:lastPrinted>2015-10-05T14:08:00Z</cp:lastPrinted>
  <dcterms:created xsi:type="dcterms:W3CDTF">2021-12-09T14:26:00Z</dcterms:created>
  <dcterms:modified xsi:type="dcterms:W3CDTF">2021-12-09T14:26:00Z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8ccd2584-9917-458f-87d0-fe1274f2bc75</vt:lpwstr>
  </property>
</Properties>
</file>