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5A11" w:rsidRPr="0031728F" w:rsidP="00135A11">
      <w:pPr>
        <w:bidi w:val="0"/>
        <w:spacing w:after="0" w:line="240" w:lineRule="auto"/>
        <w:jc w:val="center"/>
        <w:rPr>
          <w:rFonts w:ascii="Times New Roman" w:hAnsi="Times New Roman"/>
          <w:b/>
          <w:bCs/>
          <w:color w:val="000000" w:themeColor="tx1" w:themeShade="FF"/>
          <w:sz w:val="24"/>
          <w:szCs w:val="24"/>
        </w:rPr>
      </w:pPr>
      <w:r w:rsidRPr="0031728F">
        <w:rPr>
          <w:rFonts w:ascii="Times New Roman" w:hAnsi="Times New Roman"/>
          <w:b/>
          <w:bCs/>
          <w:caps/>
          <w:color w:val="000000" w:themeColor="tx1" w:themeShade="FF"/>
          <w:sz w:val="24"/>
          <w:szCs w:val="24"/>
        </w:rPr>
        <w:t xml:space="preserve">Dôvodová správa </w:t>
      </w:r>
    </w:p>
    <w:p w:rsidR="00135A11" w:rsidRPr="0031728F" w:rsidP="00135A11">
      <w:pPr>
        <w:bidi w:val="0"/>
        <w:spacing w:after="0" w:line="240" w:lineRule="auto"/>
        <w:rPr>
          <w:rFonts w:ascii="Times New Roman" w:hAnsi="Times New Roman"/>
          <w:b/>
          <w:bCs/>
          <w:color w:val="000000" w:themeColor="tx1" w:themeShade="FF"/>
          <w:sz w:val="24"/>
          <w:szCs w:val="24"/>
        </w:rPr>
      </w:pPr>
    </w:p>
    <w:p w:rsidR="00135A11" w:rsidRPr="0031728F" w:rsidP="00135A11">
      <w:pPr>
        <w:bidi w:val="0"/>
        <w:spacing w:after="0" w:line="240" w:lineRule="auto"/>
        <w:rPr>
          <w:rFonts w:ascii="Times New Roman" w:hAnsi="Times New Roman"/>
          <w:b/>
          <w:bCs/>
          <w:color w:val="000000" w:themeColor="tx1" w:themeShade="FF"/>
          <w:sz w:val="24"/>
          <w:szCs w:val="24"/>
        </w:rPr>
      </w:pPr>
    </w:p>
    <w:p w:rsidR="00135A11" w:rsidRPr="0031728F" w:rsidP="00135A11">
      <w:pPr>
        <w:bidi w:val="0"/>
        <w:spacing w:after="0" w:line="240" w:lineRule="auto"/>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A. Všeobecná časť</w:t>
      </w:r>
    </w:p>
    <w:p w:rsidR="00135A11" w:rsidRPr="0031728F" w:rsidP="00135A11">
      <w:pPr>
        <w:bidi w:val="0"/>
        <w:spacing w:after="0" w:line="240" w:lineRule="auto"/>
        <w:rPr>
          <w:rFonts w:ascii="Times New Roman" w:hAnsi="Times New Roman"/>
          <w:b/>
          <w:bCs/>
          <w:color w:val="000000" w:themeColor="tx1" w:themeShade="FF"/>
          <w:sz w:val="24"/>
          <w:szCs w:val="24"/>
        </w:rPr>
      </w:pPr>
    </w:p>
    <w:p w:rsidR="00135A11" w:rsidRPr="00281CAB" w:rsidP="00281CAB">
      <w:pPr>
        <w:bidi w:val="0"/>
        <w:spacing w:after="0" w:line="240" w:lineRule="auto"/>
        <w:ind w:firstLine="708"/>
        <w:jc w:val="both"/>
        <w:rPr>
          <w:rFonts w:ascii="Times New Roman" w:hAnsi="Times New Roman"/>
          <w:sz w:val="24"/>
          <w:szCs w:val="24"/>
        </w:rPr>
      </w:pPr>
      <w:r w:rsidRPr="00281CAB">
        <w:rPr>
          <w:rFonts w:ascii="Times New Roman" w:hAnsi="Times New Roman"/>
          <w:color w:val="000000" w:themeColor="tx1" w:themeShade="FF"/>
          <w:sz w:val="24"/>
          <w:szCs w:val="24"/>
        </w:rPr>
        <w:t>Návrh</w:t>
      </w:r>
      <w:r w:rsidRPr="00281CAB" w:rsidR="00281CAB">
        <w:rPr>
          <w:rFonts w:ascii="Times New Roman" w:hAnsi="Times New Roman"/>
          <w:color w:val="000000"/>
          <w:sz w:val="24"/>
          <w:szCs w:val="24"/>
        </w:rPr>
        <w:t xml:space="preserve"> zákona, </w:t>
      </w:r>
      <w:r w:rsidRPr="00281CAB" w:rsidR="00281CAB">
        <w:rPr>
          <w:rFonts w:ascii="Times New Roman" w:hAnsi="Times New Roman"/>
          <w:color w:val="000000"/>
          <w:sz w:val="24"/>
          <w:szCs w:val="24"/>
          <w:lang w:eastAsia="cs-CZ"/>
        </w:rPr>
        <w:t xml:space="preserve">ktorým </w:t>
      </w:r>
      <w:r w:rsidRPr="00281CAB" w:rsidR="00281CAB">
        <w:rPr>
          <w:rStyle w:val="PlaceholderText"/>
          <w:rFonts w:ascii="Times New Roman" w:hAnsi="Times New Roman"/>
          <w:color w:val="000000"/>
          <w:sz w:val="24"/>
          <w:szCs w:val="24"/>
        </w:rPr>
        <w:t xml:space="preserve">sa mení a dopĺňa zákon č. 249/2011  Z. z. o riadení bezpečnosti pozemných komunikácií a o zmene a doplnení niektorých zákonov </w:t>
      </w:r>
      <w:r w:rsidRPr="00281CAB" w:rsidR="00281CAB">
        <w:rPr>
          <w:rFonts w:ascii="Times New Roman" w:hAnsi="Times New Roman"/>
          <w:bCs/>
          <w:sz w:val="24"/>
          <w:szCs w:val="24"/>
        </w:rPr>
        <w:t xml:space="preserve">v znení zákona </w:t>
      </w:r>
      <w:r w:rsidR="00CE4F1F">
        <w:rPr>
          <w:rFonts w:ascii="Times New Roman" w:hAnsi="Times New Roman"/>
          <w:bCs/>
          <w:sz w:val="24"/>
          <w:szCs w:val="24"/>
        </w:rPr>
        <w:br/>
      </w:r>
      <w:r w:rsidRPr="00281CAB" w:rsidR="00281CAB">
        <w:rPr>
          <w:rFonts w:ascii="Times New Roman" w:hAnsi="Times New Roman"/>
          <w:bCs/>
          <w:sz w:val="24"/>
          <w:szCs w:val="24"/>
        </w:rPr>
        <w:t>č. 177/2018</w:t>
      </w:r>
      <w:r w:rsidRPr="00281CAB" w:rsidR="00281CAB">
        <w:rPr>
          <w:rFonts w:ascii="Times New Roman" w:hAnsi="Times New Roman"/>
          <w:sz w:val="24"/>
          <w:szCs w:val="24"/>
        </w:rPr>
        <w:t xml:space="preserve"> Z. z. </w:t>
      </w:r>
      <w:r w:rsidRPr="00281CAB" w:rsidR="00281CAB">
        <w:rPr>
          <w:rStyle w:val="PlaceholderText"/>
          <w:rFonts w:ascii="Times New Roman" w:hAnsi="Times New Roman"/>
          <w:color w:val="000000"/>
          <w:sz w:val="24"/>
          <w:szCs w:val="24"/>
        </w:rPr>
        <w:t xml:space="preserve">a ktorým sa menia a dopĺňajú niektoré zákony </w:t>
      </w:r>
      <w:r w:rsidRPr="00281CAB" w:rsidR="00281CAB">
        <w:rPr>
          <w:rFonts w:ascii="Times New Roman" w:hAnsi="Times New Roman"/>
          <w:color w:val="000000"/>
          <w:sz w:val="24"/>
          <w:szCs w:val="24"/>
        </w:rPr>
        <w:t>sa predkladá na základe u</w:t>
      </w:r>
      <w:r w:rsidRPr="00281CAB" w:rsidR="00281CAB">
        <w:rPr>
          <w:rFonts w:ascii="Times New Roman" w:hAnsi="Times New Roman"/>
          <w:sz w:val="24"/>
          <w:szCs w:val="24"/>
        </w:rPr>
        <w:t>znesenia vlády Slovenskej republiky č. 468/2020  zo dňa 15. júla 2020.</w:t>
      </w:r>
    </w:p>
    <w:p w:rsidR="00281CAB" w:rsidRPr="00281CAB" w:rsidP="00281CAB">
      <w:pPr>
        <w:bidi w:val="0"/>
        <w:spacing w:after="0"/>
        <w:ind w:firstLine="708"/>
        <w:jc w:val="both"/>
      </w:pP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Účelom návrhu zákona je čiastočná transpozícia Smernice Európskeho parlamentu a Rady (EÚ) 2019/1936 z 23. októbra 2019, ktorou sa mení smernica 2008/96/ES o riadení bezpečnosti cestnej infraštruktúry (ďalej len „smernica“), ktorá je výsledkom novelizácie doposiaľ účinnej Smernice Európskeho parlamentu a Rady 2008/96/ES z  19. novembra 2008 o riadení bezpečnosti cestnej infraštruktúry za účelom zvýšenia bezpečnosti pozemných komunikácií v rámci TEN-T koridorov ako aj na iných hlavných cestných ťahoch, vo fáze ich projektovania, výstavby a užívania a zabezpečenia ochrany chodcov a zraniteľných účastníkov cestnej premávky. Komplexná transpozícia sa zabezpečí vydaním príslušných vykonávacích predpisov.</w:t>
      </w: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Návrhom zákona dochádza k čiastočnej transpozícii novoprijatej smernice, k jej premietnutiu do právneho poriadku SR, a k zabezpečeniu systematického a odborného posúdenia pozemných komunikácií vo fáze ich projektovania, výstavby a užívania. Transpozíciou rovnako dochádza k zavedeniu niekoľko stupňového bezpečnostného hodnotenia úsekov, ktoré zlepší orientáciu v aktuálnom stave bezpečnosti ciest a zabezpečí efektívnu prioritizáciu prijímania a realizácie nápravných opatrení, počnúc úsekmi pozemných komunikácií vyhodnotenými ako najviac rizikové.</w:t>
      </w: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Všetky nové povinnosti, ktoré sa zákonom zavedú do právneho poriadku SR a budú mať vplyv na výkon činnosti osôb podľa tohto zákona (napr. činnosť bezpečnostného audítora) budú náležite pretavené do systému vzdelávania, ktorý vedú a realizujú vzdelávacie inštitúcie zapísané v zozname vzdelávacích inštitúcií, ktoré vedie </w:t>
      </w:r>
      <w:r w:rsidRPr="0031728F">
        <w:rPr>
          <w:rFonts w:ascii="Times New Roman" w:hAnsi="Times New Roman"/>
          <w:color w:val="000000" w:themeColor="tx1" w:themeShade="FF"/>
          <w:kern w:val="36"/>
          <w:sz w:val="24"/>
          <w:szCs w:val="24"/>
          <w:lang w:eastAsia="sk-SK"/>
        </w:rPr>
        <w:t>Ministerstvo dopravy a výstavby Slovenskej republiky (ďalej len „ministerstvo“)</w:t>
      </w:r>
      <w:r w:rsidRPr="0031728F">
        <w:rPr>
          <w:rFonts w:ascii="Times New Roman" w:hAnsi="Times New Roman"/>
          <w:color w:val="000000" w:themeColor="tx1" w:themeShade="FF"/>
          <w:sz w:val="24"/>
          <w:szCs w:val="24"/>
        </w:rPr>
        <w:t xml:space="preserve"> tak, aby bola zabezpečená možnosť výkonu týchto činností oprávnenými osobami v súlade so zákonom a inými všeobecne záväznými právnymi predpismi.  </w:t>
      </w: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p>
    <w:p w:rsidR="00135A11" w:rsidRPr="0031728F" w:rsidP="00135A11">
      <w:pPr>
        <w:bidi w:val="0"/>
        <w:spacing w:after="0" w:line="240" w:lineRule="auto"/>
        <w:ind w:firstLine="708"/>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Návrh zákona má vplyvy na rozpočet verejnej správy a  na podnikateľské prostredie. Návrh zákona nemá sociálne vplyvy, ani vplyvy na životné prostredie, ani vplyvy na informatizáciu spoločnosti, ani vplyvy na služby verejnej správy pre občana, ani vplyvy na manželstvo, rodičovstvo a rodinu.</w:t>
      </w:r>
    </w:p>
    <w:p w:rsidR="00135A11" w:rsidRPr="0031728F" w:rsidP="00135A11">
      <w:pPr>
        <w:bidi w:val="0"/>
        <w:spacing w:after="0" w:line="240" w:lineRule="auto"/>
        <w:jc w:val="both"/>
        <w:rPr>
          <w:rFonts w:ascii="Times New Roman" w:hAnsi="Times New Roman"/>
          <w:color w:val="000000" w:themeColor="tx1" w:themeShade="FF"/>
          <w:sz w:val="24"/>
          <w:szCs w:val="24"/>
        </w:rPr>
      </w:pPr>
    </w:p>
    <w:p w:rsidR="00135A11" w:rsidRPr="0031728F" w:rsidP="00135A11">
      <w:pPr>
        <w:pStyle w:val="BodyTextIndent2"/>
        <w:bidi w:val="0"/>
        <w:spacing w:after="0" w:line="240" w:lineRule="auto"/>
        <w:ind w:left="0" w:firstLine="708"/>
        <w:jc w:val="both"/>
        <w:rPr>
          <w:rFonts w:ascii="Times New Roman" w:hAnsi="Times New Roman" w:cs="Times New Roman"/>
          <w:color w:val="000000" w:themeColor="tx1" w:themeShade="FF"/>
          <w:sz w:val="24"/>
          <w:szCs w:val="24"/>
        </w:rPr>
      </w:pPr>
      <w:r w:rsidRPr="0031728F">
        <w:rPr>
          <w:rFonts w:ascii="Times New Roman" w:hAnsi="Times New Roman" w:cs="Times New Roman"/>
          <w:color w:val="000000" w:themeColor="tx1" w:themeShade="FF"/>
          <w:sz w:val="24"/>
          <w:szCs w:val="24"/>
        </w:rPr>
        <w:t>Návrh zákona je v súlade s Ústavou SR, ústavnými zákonmi SR a nálezmi Ústavného súdu SR, platným právnym poriadkom SR, medzinárodnými zmluvami a inými medzinárodnými dokumentmi, ktorými je Slovenská republika viazaná, ako aj s právom Európskej únie.</w:t>
      </w:r>
    </w:p>
    <w:p w:rsidR="00135A11" w:rsidRPr="0031728F" w:rsidP="00135A11">
      <w:pPr>
        <w:bidi w:val="0"/>
        <w:spacing w:after="0" w:line="240" w:lineRule="auto"/>
        <w:jc w:val="both"/>
        <w:rPr>
          <w:rFonts w:ascii="Times New Roman" w:hAnsi="Times New Roman"/>
          <w:color w:val="000000" w:themeColor="tx1" w:themeShade="FF"/>
          <w:sz w:val="24"/>
          <w:szCs w:val="24"/>
        </w:rPr>
      </w:pPr>
    </w:p>
    <w:p w:rsidR="00135A11" w:rsidRPr="0031728F" w:rsidP="00135A11">
      <w:pPr>
        <w:tabs>
          <w:tab w:val="left" w:pos="360"/>
        </w:tabs>
        <w:bidi w:val="0"/>
        <w:spacing w:after="0" w:line="240" w:lineRule="auto"/>
        <w:ind w:firstLine="709"/>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Dátum účinnosti sa navrhuje s prihliadnutím na dĺžku legislatívneho procesu a potrebnú legisvakanciu dňa 1. apríla 2022, resp. 1. januára 2023.</w:t>
      </w:r>
    </w:p>
    <w:p w:rsidR="00135A11"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8D6174" w:rsidP="007D5748">
      <w:pPr>
        <w:bidi w:val="0"/>
        <w:spacing w:after="0" w:line="240" w:lineRule="auto"/>
        <w:jc w:val="center"/>
        <w:rPr>
          <w:rFonts w:ascii="Times New Roman" w:hAnsi="Times New Roman"/>
          <w:b/>
          <w:bCs/>
          <w:color w:val="000000" w:themeColor="tx1" w:themeShade="FF"/>
          <w:sz w:val="24"/>
          <w:szCs w:val="24"/>
          <w:lang w:eastAsia="sk-SK"/>
        </w:rPr>
      </w:pPr>
    </w:p>
    <w:p w:rsidR="00281CAB"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B50DE9" w:rsidRPr="0031728F" w:rsidP="00B50DE9">
      <w:pPr>
        <w:bidi w:val="0"/>
        <w:jc w:val="center"/>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Doložka vybraných vplyvov</w:t>
      </w:r>
    </w:p>
    <w:p w:rsidR="00B50DE9" w:rsidRPr="0031728F" w:rsidP="00B50DE9">
      <w:pPr>
        <w:pStyle w:val="ListParagraph"/>
        <w:bidi w:val="0"/>
        <w:ind w:left="426"/>
        <w:rPr>
          <w:rFonts w:ascii="Times New Roman" w:hAnsi="Times New Roman"/>
          <w:b/>
          <w:color w:val="000000" w:themeColor="tx1" w:themeShade="FF"/>
          <w:sz w:val="24"/>
          <w:szCs w:val="24"/>
        </w:rPr>
      </w:pPr>
    </w:p>
    <w:tbl>
      <w:tblPr>
        <w:tblStyle w:val="TableGrid"/>
        <w:tblW w:w="9322" w:type="dxa"/>
        <w:tblLayout w:type="fixed"/>
        <w:tblLook w:val="04A0"/>
      </w:tblPr>
      <w:tblGrid>
        <w:gridCol w:w="3812"/>
        <w:gridCol w:w="400"/>
        <w:gridCol w:w="141"/>
        <w:gridCol w:w="564"/>
        <w:gridCol w:w="717"/>
        <w:gridCol w:w="569"/>
        <w:gridCol w:w="1133"/>
        <w:gridCol w:w="284"/>
        <w:gridCol w:w="263"/>
        <w:gridCol w:w="1439"/>
      </w:tblGrid>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Základné údaje</w:t>
            </w: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2221D3">
            <w:pPr>
              <w:pStyle w:val="ListParagraph"/>
              <w:bidi w:val="0"/>
              <w:spacing w:after="0" w:line="240" w:lineRule="auto"/>
              <w:ind w:left="142"/>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Názov materiálu</w:t>
            </w:r>
          </w:p>
        </w:tc>
      </w:tr>
      <w:tr>
        <w:tblPrEx>
          <w:tblW w:w="9322" w:type="dxa"/>
          <w:tblLayout w:type="fixed"/>
          <w:tblLook w:val="04A0"/>
        </w:tblPrEx>
        <w:tc>
          <w:tcPr>
            <w:tcW w:w="9322" w:type="dxa"/>
            <w:gridSpan w:val="10"/>
            <w:tcBorders>
              <w:top w:val="single" w:sz="4" w:space="0" w:color="FFFFFF"/>
              <w:left w:val="single" w:sz="4" w:space="0" w:color="auto"/>
              <w:bottom w:val="single" w:sz="4" w:space="0" w:color="auto"/>
              <w:right w:val="single" w:sz="4" w:space="0" w:color="auto"/>
            </w:tcBorders>
            <w:textDirection w:val="lrTb"/>
            <w:vAlign w:val="top"/>
          </w:tcPr>
          <w:p w:rsidR="00B50DE9" w:rsidRPr="0031728F" w:rsidP="002221D3">
            <w:pPr>
              <w:pStyle w:val="titulok"/>
              <w:bidi w:val="0"/>
              <w:spacing w:before="0" w:beforeAutospacing="0" w:after="0" w:afterAutospacing="0"/>
              <w:jc w:val="both"/>
              <w:rPr>
                <w:rFonts w:ascii="Times New Roman" w:hAnsi="Times New Roman" w:cs="Times New Roman"/>
                <w:b w:val="0"/>
                <w:color w:val="000000" w:themeColor="tx1" w:themeShade="FF"/>
              </w:rPr>
            </w:pPr>
            <w:r w:rsidRPr="0031728F">
              <w:rPr>
                <w:rFonts w:ascii="Times New Roman" w:hAnsi="Times New Roman" w:cs="Times New Roman"/>
                <w:b w:val="0"/>
                <w:color w:val="000000" w:themeColor="tx1" w:themeShade="FF"/>
              </w:rPr>
              <w:t xml:space="preserve">Návrh zákona, </w:t>
            </w:r>
            <w:r w:rsidRPr="0031728F">
              <w:rPr>
                <w:rFonts w:ascii="Times New Roman" w:hAnsi="Times New Roman" w:cs="Times New Roman"/>
                <w:b w:val="0"/>
                <w:color w:val="000000" w:themeColor="tx1" w:themeShade="FF"/>
                <w:lang w:eastAsia="cs-CZ"/>
              </w:rPr>
              <w:t xml:space="preserve">ktorým </w:t>
            </w:r>
            <w:r w:rsidRPr="0031728F">
              <w:rPr>
                <w:rStyle w:val="PlaceholderText"/>
                <w:rFonts w:ascii="Times New Roman" w:hAnsi="Times New Roman"/>
                <w:b w:val="0"/>
                <w:color w:val="000000" w:themeColor="tx1" w:themeShade="FF"/>
              </w:rPr>
              <w:t xml:space="preserve">sa mení a dopĺňa zákon č. 249/2011  Z. z. o riadení bezpečnosti pozemných komunikácií a o zmene a doplnení niektorých zákonov v znení zákona č. 177/2018 Z. z. </w:t>
            </w:r>
            <w:r w:rsidRPr="0031728F">
              <w:rPr>
                <w:rFonts w:ascii="Times New Roman" w:hAnsi="Times New Roman" w:cs="Times New Roman"/>
                <w:b w:val="0"/>
                <w:color w:val="000000" w:themeColor="tx1" w:themeShade="FF"/>
              </w:rPr>
              <w:t>a ktorým sa menia a dopĺňajú niektoré zákony.</w:t>
            </w:r>
          </w:p>
          <w:p w:rsidR="00B50DE9" w:rsidRPr="0031728F" w:rsidP="002221D3">
            <w:pPr>
              <w:pStyle w:val="titulok"/>
              <w:bidi w:val="0"/>
              <w:spacing w:before="0" w:beforeAutospacing="0" w:after="0" w:afterAutospacing="0"/>
              <w:jc w:val="both"/>
              <w:rPr>
                <w:rFonts w:ascii="Times New Roman" w:hAnsi="Times New Roman" w:cs="Times New Roman"/>
                <w:b w:val="0"/>
                <w:color w:val="000000" w:themeColor="tx1" w:themeShade="FF"/>
              </w:rPr>
            </w:pP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2221D3">
            <w:pPr>
              <w:pStyle w:val="ListParagraph"/>
              <w:bidi w:val="0"/>
              <w:spacing w:after="0" w:line="240" w:lineRule="auto"/>
              <w:ind w:left="142"/>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Predkladateľ (a spolupredkladateľ)</w:t>
            </w:r>
          </w:p>
        </w:tc>
      </w:tr>
      <w:tr>
        <w:tblPrEx>
          <w:tblW w:w="9322" w:type="dxa"/>
          <w:tblLayout w:type="fixed"/>
          <w:tblLook w:val="04A0"/>
        </w:tblPrEx>
        <w:tc>
          <w:tcPr>
            <w:tcW w:w="9322"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Ministerstvo dopravy a výstavby Slovenskej republiky</w:t>
            </w:r>
          </w:p>
          <w:p w:rsidR="00B50DE9" w:rsidRPr="0031728F" w:rsidP="002221D3">
            <w:pPr>
              <w:bidi w:val="0"/>
              <w:spacing w:after="0" w:line="240" w:lineRule="auto"/>
              <w:rPr>
                <w:rFonts w:ascii="Times New Roman" w:hAnsi="Times New Roman"/>
                <w:color w:val="000000" w:themeColor="tx1" w:themeShade="FF"/>
                <w:sz w:val="24"/>
                <w:szCs w:val="24"/>
              </w:rPr>
            </w:pPr>
          </w:p>
        </w:tc>
      </w:tr>
      <w:tr>
        <w:tblPrEx>
          <w:tblW w:w="9322"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50DE9" w:rsidRPr="0031728F" w:rsidP="002221D3">
            <w:pPr>
              <w:pStyle w:val="ListParagraph"/>
              <w:bidi w:val="0"/>
              <w:spacing w:after="0" w:line="240" w:lineRule="auto"/>
              <w:ind w:left="142"/>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4405"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Materiál nelegislatívnej povahy</w:t>
            </w:r>
          </w:p>
        </w:tc>
      </w:tr>
      <w:tr>
        <w:tblPrEx>
          <w:tblW w:w="9322"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4405"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ind w:left="175" w:hanging="175"/>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Materiál legislatívnej povahy</w:t>
            </w:r>
          </w:p>
        </w:tc>
      </w:tr>
      <w:tr>
        <w:tblPrEx>
          <w:tblW w:w="9322"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4405"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Transpozícia práva EÚ</w:t>
            </w: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V prípade transpozície uveďte zoznam transponovaných predpisov:</w:t>
            </w:r>
          </w:p>
          <w:p w:rsidR="00B50DE9" w:rsidRPr="0031728F" w:rsidP="002221D3">
            <w:pPr>
              <w:bidi w:val="0"/>
              <w:spacing w:after="0" w:line="240" w:lineRule="auto"/>
              <w:rPr>
                <w:rFonts w:ascii="Times New Roman" w:hAnsi="Times New Roman"/>
                <w:color w:val="000000" w:themeColor="tx1" w:themeShade="FF"/>
                <w:sz w:val="24"/>
                <w:szCs w:val="24"/>
              </w:rPr>
            </w:pPr>
          </w:p>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Smernica Európskeho parlamentu a Rady (EÚ) 2019/1936 z 23. októbra 2019, ktorou sa mení smernica 2008/96/ES o riadení bezpečnosti cestnej infraštruktúry.</w:t>
            </w:r>
          </w:p>
        </w:tc>
      </w:tr>
      <w:tr>
        <w:tblPrEx>
          <w:tblW w:w="9322"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B50DE9" w:rsidRPr="0031728F" w:rsidP="002221D3">
            <w:pPr>
              <w:pStyle w:val="ListParagraph"/>
              <w:bidi w:val="0"/>
              <w:spacing w:after="0" w:line="240" w:lineRule="auto"/>
              <w:ind w:left="142"/>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Termín začiatku a ukončenia PPK</w:t>
            </w:r>
          </w:p>
        </w:tc>
        <w:tc>
          <w:tcPr>
            <w:tcW w:w="3688" w:type="dxa"/>
            <w:gridSpan w:val="5"/>
            <w:tcBorders>
              <w:top w:val="single" w:sz="4" w:space="0" w:color="000000"/>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10. máj – 14. máj 2021</w:t>
            </w:r>
          </w:p>
        </w:tc>
      </w:tr>
      <w:tr>
        <w:tblPrEx>
          <w:tblW w:w="9322"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2221D3">
            <w:pPr>
              <w:pStyle w:val="ListParagraph"/>
              <w:bidi w:val="0"/>
              <w:spacing w:after="0" w:line="240" w:lineRule="auto"/>
              <w:ind w:left="142"/>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Predpokladaný termín predloženia na MPK*</w:t>
            </w:r>
          </w:p>
        </w:tc>
        <w:tc>
          <w:tcPr>
            <w:tcW w:w="3688" w:type="dxa"/>
            <w:gridSpan w:val="5"/>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highlight w:val="yellow"/>
              </w:rPr>
            </w:pPr>
            <w:r w:rsidRPr="0031728F">
              <w:rPr>
                <w:rFonts w:ascii="Times New Roman" w:hAnsi="Times New Roman"/>
                <w:color w:val="000000" w:themeColor="tx1" w:themeShade="FF"/>
                <w:sz w:val="24"/>
                <w:szCs w:val="24"/>
              </w:rPr>
              <w:t>Máj 2021</w:t>
            </w:r>
          </w:p>
        </w:tc>
      </w:tr>
      <w:tr>
        <w:tblPrEx>
          <w:tblW w:w="9322"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2221D3">
            <w:pPr>
              <w:pStyle w:val="ListParagraph"/>
              <w:bidi w:val="0"/>
              <w:spacing w:after="0" w:line="240" w:lineRule="auto"/>
              <w:ind w:left="142"/>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Predpokladaný termín predloženia na Rokovanie vlády SR*</w:t>
            </w:r>
          </w:p>
        </w:tc>
        <w:tc>
          <w:tcPr>
            <w:tcW w:w="3688" w:type="dxa"/>
            <w:gridSpan w:val="5"/>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Január 2022</w:t>
            </w:r>
          </w:p>
        </w:tc>
      </w:tr>
      <w:tr>
        <w:tblPrEx>
          <w:tblW w:w="9322" w:type="dxa"/>
          <w:tblLayout w:type="fixed"/>
          <w:tblLook w:val="04A0"/>
        </w:tblPrEx>
        <w:tc>
          <w:tcPr>
            <w:tcW w:w="9322" w:type="dxa"/>
            <w:gridSpan w:val="10"/>
            <w:tcBorders>
              <w:top w:val="single" w:sz="4" w:space="0" w:color="auto"/>
              <w:left w:val="nil"/>
              <w:bottom w:val="single" w:sz="4" w:space="0" w:color="auto"/>
              <w:right w:val="nil"/>
            </w:tcBorders>
            <w:shd w:val="clear" w:color="auto" w:fill="FFFFFF"/>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Definovanie problému</w:t>
            </w:r>
          </w:p>
        </w:tc>
      </w:tr>
      <w:tr>
        <w:tblPrEx>
          <w:tblW w:w="9322" w:type="dxa"/>
          <w:tblLayout w:type="fixed"/>
          <w:tblLook w:val="04A0"/>
        </w:tblPrEx>
        <w:trPr>
          <w:trHeight w:val="495"/>
        </w:trPr>
        <w:tc>
          <w:tcPr>
            <w:tcW w:w="9322"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Potreba zvýšenia bezpečnosti pozemných komunikácií v rámci TEN-T koridorov ako aj na iných hlavných cestných ťahoch, vo fáze ich projektovania, výstavby a užívania a zabezpečenia ochrany chodcov a zraniteľných účastníkov cestnej premávky.</w:t>
            </w:r>
          </w:p>
        </w:tc>
      </w:tr>
      <w:tr>
        <w:tblPrEx>
          <w:tblW w:w="9322" w:type="dxa"/>
          <w:tblLayout w:type="fixed"/>
          <w:tblLook w:val="04A0"/>
        </w:tblPrEx>
        <w:tc>
          <w:tcPr>
            <w:tcW w:w="9322"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Ciele a výsledný stav</w:t>
            </w:r>
          </w:p>
        </w:tc>
      </w:tr>
      <w:tr>
        <w:tblPrEx>
          <w:tblW w:w="9322" w:type="dxa"/>
          <w:tblLayout w:type="fixed"/>
          <w:tblLook w:val="04A0"/>
        </w:tblPrEx>
        <w:trPr>
          <w:trHeight w:val="304"/>
        </w:trPr>
        <w:tc>
          <w:tcPr>
            <w:tcW w:w="932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Transpozícia Smernice Európskeho parlamentu a Rady (EÚ) 2019/1936 z 23. októbra 2019, ktorou sa mení smernica 2008/96/ES o riadení bezpečnosti cestnej infraštruktúry.</w:t>
            </w:r>
          </w:p>
        </w:tc>
      </w:tr>
      <w:tr>
        <w:tblPrEx>
          <w:tblW w:w="9322" w:type="dxa"/>
          <w:tblLayout w:type="fixed"/>
          <w:tblLook w:val="04A0"/>
        </w:tblPrEx>
        <w:tc>
          <w:tcPr>
            <w:tcW w:w="9322"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Dotknuté subjekty</w:t>
            </w:r>
          </w:p>
        </w:tc>
      </w:tr>
      <w:tr>
        <w:tblPrEx>
          <w:tblW w:w="9322" w:type="dxa"/>
          <w:tblLayout w:type="fixed"/>
          <w:tblLook w:val="04A0"/>
        </w:tblPrEx>
        <w:tc>
          <w:tcPr>
            <w:tcW w:w="932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Správcovia pozemných komunikácií na úrovni TEN-T koridorov a hlavných cestných ťahov s medzinárodným významom, Národná diaľničná spoločnosť, a. s., Slovenská správa ciest.</w:t>
            </w:r>
          </w:p>
          <w:p w:rsidR="00B50DE9" w:rsidRPr="0031728F" w:rsidP="002221D3">
            <w:pPr>
              <w:bidi w:val="0"/>
              <w:spacing w:after="0" w:line="240" w:lineRule="auto"/>
              <w:rPr>
                <w:rFonts w:ascii="Times New Roman" w:hAnsi="Times New Roman"/>
                <w:i/>
                <w:color w:val="000000" w:themeColor="tx1" w:themeShade="FF"/>
                <w:sz w:val="24"/>
                <w:szCs w:val="24"/>
              </w:rPr>
            </w:pPr>
          </w:p>
        </w:tc>
      </w:tr>
      <w:tr>
        <w:tblPrEx>
          <w:tblW w:w="9322" w:type="dxa"/>
          <w:tblLayout w:type="fixed"/>
          <w:tblLook w:val="04A0"/>
        </w:tblPrEx>
        <w:tc>
          <w:tcPr>
            <w:tcW w:w="9322"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Alternatívne riešenia</w:t>
            </w:r>
          </w:p>
        </w:tc>
      </w:tr>
      <w:tr>
        <w:tblPrEx>
          <w:tblW w:w="9322" w:type="dxa"/>
          <w:tblLayout w:type="fixed"/>
          <w:tblLook w:val="04A0"/>
        </w:tblPrEx>
        <w:trPr>
          <w:trHeight w:val="709"/>
        </w:trPr>
        <w:tc>
          <w:tcPr>
            <w:tcW w:w="932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i/>
                <w:color w:val="000000" w:themeColor="tx1" w:themeShade="FF"/>
                <w:sz w:val="24"/>
                <w:szCs w:val="24"/>
              </w:rPr>
            </w:pPr>
            <w:r w:rsidRPr="0031728F">
              <w:rPr>
                <w:rFonts w:ascii="Times New Roman" w:hAnsi="Times New Roman"/>
                <w:color w:val="000000" w:themeColor="tx1" w:themeShade="FF"/>
                <w:sz w:val="24"/>
                <w:szCs w:val="24"/>
              </w:rPr>
              <w:t xml:space="preserve">Nulový variant. Opomenutie novelizácie zákona č. 249/2011 Z. z. by predstavovalo prekážku </w:t>
              <w:br/>
              <w:t>pre transpozíciu smernice.</w:t>
            </w: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Vykonávacie predpisy</w:t>
            </w:r>
          </w:p>
        </w:tc>
      </w:tr>
      <w:tr>
        <w:tblPrEx>
          <w:tblW w:w="9322"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r w:rsidRPr="0031728F">
              <w:rPr>
                <w:rFonts w:ascii="Times New Roman" w:hAnsi="Times New Roman"/>
                <w:color w:val="000000" w:themeColor="tx1" w:themeShade="FF"/>
                <w:sz w:val="24"/>
                <w:szCs w:val="24"/>
              </w:rPr>
              <w:t xml:space="preserve">  Áno</w:t>
            </w:r>
          </w:p>
        </w:tc>
        <w:tc>
          <w:tcPr>
            <w:tcW w:w="1702" w:type="dxa"/>
            <w:gridSpan w:val="2"/>
            <w:tcBorders>
              <w:top w:val="single" w:sz="4" w:space="0" w:color="FFFFFF"/>
              <w:left w:val="nil"/>
              <w:bottom w:val="nil"/>
              <w:right w:val="single" w:sz="4" w:space="0" w:color="auto"/>
            </w:tcBorders>
            <w:shd w:val="clear" w:color="auto" w:fill="FFFFFF"/>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r w:rsidRPr="0031728F">
              <w:rPr>
                <w:rFonts w:ascii="Times New Roman" w:hAnsi="Times New Roman"/>
                <w:color w:val="000000" w:themeColor="tx1" w:themeShade="FF"/>
                <w:sz w:val="24"/>
                <w:szCs w:val="24"/>
              </w:rPr>
              <w:t xml:space="preserve">  Nie</w:t>
            </w:r>
          </w:p>
        </w:tc>
      </w:tr>
      <w:tr>
        <w:tblPrEx>
          <w:tblW w:w="9322" w:type="dxa"/>
          <w:tblLayout w:type="fixed"/>
          <w:tblLook w:val="04A0"/>
        </w:tblPrEx>
        <w:tc>
          <w:tcPr>
            <w:tcW w:w="932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50DE9" w:rsidRPr="0031728F" w:rsidP="00943211">
            <w:pPr>
              <w:bidi w:val="0"/>
              <w:spacing w:after="0" w:line="240" w:lineRule="auto"/>
              <w:jc w:val="both"/>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Ak áno, uveďte ktoré oblasti budú nimi upravené, resp. ktorých vykonávacích predpisov sa zmena dotkne:</w:t>
            </w:r>
          </w:p>
          <w:p w:rsidR="00B50DE9" w:rsidRPr="0031728F" w:rsidP="00943211">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Vyhláška Ministerstva dopravy, výstavby a regionálneho rozvoja Slovenskej republiky č. 135/2012 Z. z. , ktorou sa ustanovujú podrobnosti o odbornej príprave, o odbornej skúške a o výkone činnosti audítora bezpečnosti pozemnej komunikácie, o zápise do zoznamu audítorov bezpečnosti pozemných komunikácií a o zápise do zoznamu vzdelávacích inštitúcií akreditovaných v odbore riadenia bezpečnosti pozemných komunikácií</w:t>
            </w:r>
          </w:p>
          <w:p w:rsidR="00B50DE9" w:rsidRPr="0031728F" w:rsidP="00943211">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Vyhláška Ministerstva dopravy, výstavby a regionálneho rozvoja Slovenskej republiky č. 251/2011 Z. z., ktorou sa ustanovujú podrobnosti riadenia bezpečnosti pozemných komunikácií</w:t>
            </w:r>
          </w:p>
          <w:p w:rsidR="00B50DE9" w:rsidRPr="0031728F" w:rsidP="00943211">
            <w:pPr>
              <w:bidi w:val="0"/>
              <w:spacing w:after="0" w:line="240" w:lineRule="auto"/>
              <w:jc w:val="both"/>
              <w:rPr>
                <w:rFonts w:ascii="Times New Roman" w:hAnsi="Times New Roman"/>
                <w:color w:val="000000" w:themeColor="tx1" w:themeShade="FF"/>
                <w:sz w:val="24"/>
                <w:szCs w:val="24"/>
              </w:rPr>
            </w:pP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943211">
            <w:pPr>
              <w:pStyle w:val="ListParagraph"/>
              <w:numPr>
                <w:numId w:val="11"/>
              </w:numPr>
              <w:bidi w:val="0"/>
              <w:spacing w:after="0" w:line="240" w:lineRule="auto"/>
              <w:ind w:left="426"/>
              <w:jc w:val="both"/>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 xml:space="preserve">Transpozícia práva EÚ </w:t>
            </w:r>
          </w:p>
        </w:tc>
      </w:tr>
      <w:tr>
        <w:tblPrEx>
          <w:tblW w:w="9322" w:type="dxa"/>
          <w:tblLayout w:type="fixed"/>
          <w:tblLook w:val="04A0"/>
        </w:tblPrEx>
        <w:trPr>
          <w:trHeight w:val="157"/>
        </w:trPr>
        <w:tc>
          <w:tcPr>
            <w:tcW w:w="9322" w:type="dxa"/>
            <w:gridSpan w:val="10"/>
            <w:tcBorders>
              <w:top w:val="nil"/>
              <w:left w:val="single" w:sz="4" w:space="0" w:color="000000"/>
              <w:bottom w:val="nil"/>
              <w:right w:val="single" w:sz="4" w:space="0" w:color="auto"/>
            </w:tcBorders>
            <w:shd w:val="clear" w:color="auto" w:fill="FFFFFF"/>
            <w:textDirection w:val="lrTb"/>
            <w:vAlign w:val="top"/>
          </w:tcPr>
          <w:p w:rsidR="00B50DE9" w:rsidRPr="0031728F" w:rsidP="00943211">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Transpozícia Smernice Európskeho parlamentu a Rady (EÚ) 2019/1936 z 23. októbra 2019, ktorou sa mení smernica 2008/96/ES o riadení bezpečnosti cestnej infraštruktúry. Transpozíciou smernice nedochádza k úprave nad rámec minimálnych požiadaviek EÚ. </w:t>
            </w:r>
          </w:p>
        </w:tc>
      </w:tr>
      <w:tr>
        <w:tblPrEx>
          <w:tblW w:w="9322" w:type="dxa"/>
          <w:tblLayout w:type="fixed"/>
          <w:tblLook w:val="04A0"/>
        </w:tblPrEx>
        <w:trPr>
          <w:trHeight w:val="248"/>
        </w:trPr>
        <w:tc>
          <w:tcPr>
            <w:tcW w:w="9322"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p>
        </w:tc>
      </w:tr>
      <w:tr>
        <w:tblPrEx>
          <w:tblW w:w="9322" w:type="dxa"/>
          <w:tblLayout w:type="fixed"/>
          <w:tblLook w:val="04A0"/>
        </w:tblPrEx>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Preskúmanie účelnosti**</w:t>
            </w:r>
          </w:p>
        </w:tc>
      </w:tr>
      <w:tr>
        <w:tblPrEx>
          <w:tblW w:w="9322" w:type="dxa"/>
          <w:tblLayout w:type="fixed"/>
          <w:tblLook w:val="04A0"/>
        </w:tblPrEx>
        <w:tc>
          <w:tcPr>
            <w:tcW w:w="9322"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p>
        </w:tc>
      </w:tr>
      <w:tr>
        <w:tblPrEx>
          <w:tblW w:w="9322" w:type="dxa"/>
          <w:tblLayout w:type="fixed"/>
          <w:tblLook w:val="04A0"/>
        </w:tblPrEx>
        <w:trPr>
          <w:trHeight w:val="715"/>
        </w:trPr>
        <w:tc>
          <w:tcPr>
            <w:tcW w:w="9322" w:type="dxa"/>
            <w:gridSpan w:val="10"/>
            <w:tcBorders>
              <w:top w:val="single" w:sz="4" w:space="0" w:color="auto"/>
              <w:left w:val="nil"/>
              <w:bottom w:val="nil"/>
              <w:right w:val="nil"/>
            </w:tcBorders>
            <w:shd w:val="clear" w:color="auto" w:fill="FFFFFF"/>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p>
          <w:p w:rsidR="00B50DE9" w:rsidRPr="0031728F" w:rsidP="002221D3">
            <w:pPr>
              <w:bidi w:val="0"/>
              <w:spacing w:after="0" w:line="240" w:lineRule="auto"/>
              <w:ind w:left="142" w:hanging="142"/>
              <w:rPr>
                <w:rFonts w:ascii="Times New Roman" w:hAnsi="Times New Roman"/>
                <w:color w:val="000000" w:themeColor="tx1" w:themeShade="FF"/>
                <w:sz w:val="24"/>
                <w:szCs w:val="24"/>
              </w:rPr>
            </w:pPr>
          </w:p>
          <w:p w:rsidR="00B50DE9" w:rsidRPr="0031728F" w:rsidP="002221D3">
            <w:pPr>
              <w:bidi w:val="0"/>
              <w:spacing w:after="0" w:line="240" w:lineRule="auto"/>
              <w:ind w:left="142" w:hanging="142"/>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 vyplniť iba v prípade, ak materiál nie je zahrnutý do Plánu práce vlády Slovenskej republiky alebo Plánu        legislatívnych úloh vlády Slovenskej republiky. </w:t>
            </w:r>
          </w:p>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nepovinné</w:t>
            </w:r>
          </w:p>
        </w:tc>
      </w:tr>
      <w:tr>
        <w:tblPrEx>
          <w:tblW w:w="9322" w:type="dxa"/>
          <w:tblLayout w:type="fixed"/>
          <w:tblLook w:val="04A0"/>
        </w:tblPrEx>
        <w:tc>
          <w:tcPr>
            <w:tcW w:w="9322" w:type="dxa"/>
            <w:gridSpan w:val="10"/>
            <w:tcBorders>
              <w:top w:val="nil"/>
              <w:left w:val="nil"/>
              <w:bottom w:val="single" w:sz="4" w:space="0" w:color="auto"/>
              <w:right w:val="nil"/>
            </w:tcBorders>
            <w:shd w:val="clear" w:color="auto" w:fill="FFFFFF"/>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p>
        </w:tc>
      </w:tr>
      <w:tr>
        <w:tblPrEx>
          <w:tblW w:w="9322" w:type="dxa"/>
          <w:tblLayout w:type="fixed"/>
          <w:tblLook w:val="04A0"/>
        </w:tblPrEx>
        <w:trPr>
          <w:trHeight w:val="577"/>
        </w:trPr>
        <w:tc>
          <w:tcPr>
            <w:tcW w:w="932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Vplyvy navrhovaného materiálu</w:t>
            </w:r>
          </w:p>
        </w:tc>
      </w:tr>
      <w:tr>
        <w:tblPrEx>
          <w:tblW w:w="9322"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left="-107" w:right="-108"/>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3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r>
        <w:tblPrEx>
          <w:tblW w:w="9322"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Áno</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left="-107" w:right="-108"/>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34"/>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Čiastočne</w:t>
            </w:r>
          </w:p>
        </w:tc>
      </w:tr>
      <w:tr>
        <w:tblPrEx>
          <w:tblW w:w="9322"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right="-10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5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r>
        <w:tblPrEx>
          <w:tblW w:w="9322"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right="-108"/>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Pozitívne</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54"/>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Negatívne</w:t>
            </w:r>
          </w:p>
        </w:tc>
      </w:tr>
      <w:tr>
        <w:tblPrEx>
          <w:tblW w:w="9322"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right="-10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5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r>
        <w:tblPrEx>
          <w:tblW w:w="9322"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right="-10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5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r>
        <w:tblPrEx>
          <w:tblW w:w="9322"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ind w:right="-10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9"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439" w:type="dxa"/>
            <w:tcBorders>
              <w:top w:val="single" w:sz="4" w:space="0" w:color="auto"/>
              <w:left w:val="nil"/>
              <w:bottom w:val="single" w:sz="4" w:space="0" w:color="auto"/>
              <w:right w:val="single" w:sz="4" w:space="0" w:color="auto"/>
            </w:tcBorders>
            <w:textDirection w:val="lrTb"/>
            <w:vAlign w:val="top"/>
          </w:tcPr>
          <w:p w:rsidR="00B50DE9" w:rsidRPr="0031728F" w:rsidP="002221D3">
            <w:pPr>
              <w:bidi w:val="0"/>
              <w:spacing w:after="0" w:line="240" w:lineRule="auto"/>
              <w:ind w:left="5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bl>
    <w:tbl>
      <w:tblPr>
        <w:tblStyle w:val="TableNormal"/>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34"/>
        <w:gridCol w:w="525"/>
        <w:gridCol w:w="1193"/>
        <w:gridCol w:w="91"/>
        <w:gridCol w:w="566"/>
        <w:gridCol w:w="1044"/>
        <w:gridCol w:w="89"/>
        <w:gridCol w:w="547"/>
        <w:gridCol w:w="1444"/>
        <w:gridCol w:w="15"/>
      </w:tblGrid>
      <w:tr>
        <w:tblPrEx>
          <w:tblW w:w="9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5" w:type="dxa"/>
        </w:trPr>
        <w:tc>
          <w:tcPr>
            <w:tcW w:w="3794" w:type="dxa"/>
            <w:tcBorders>
              <w:top w:val="single" w:sz="4" w:space="0" w:color="auto"/>
              <w:left w:val="single" w:sz="4" w:space="0" w:color="auto"/>
              <w:bottom w:val="nil"/>
              <w:right w:val="single" w:sz="4" w:space="0" w:color="auto"/>
            </w:tcBorders>
            <w:shd w:val="clear" w:color="auto" w:fill="E2E2E2"/>
            <w:textDirection w:val="lrTb"/>
            <w:vAlign w:val="top"/>
          </w:tcPr>
          <w:p w:rsidR="00B50DE9" w:rsidRPr="0031728F" w:rsidP="002221D3">
            <w:pPr>
              <w:bidi w:val="0"/>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Vplyvy na služby verejnej správy pre občana, z toho</w:t>
            </w:r>
          </w:p>
        </w:tc>
        <w:tc>
          <w:tcPr>
            <w:tcW w:w="559" w:type="dxa"/>
            <w:gridSpan w:val="2"/>
            <w:tcBorders>
              <w:top w:val="single" w:sz="4" w:space="0" w:color="auto"/>
              <w:left w:val="single" w:sz="4" w:space="0" w:color="auto"/>
              <w:bottom w:val="nil"/>
              <w:right w:val="nil"/>
            </w:tcBorders>
            <w:textDirection w:val="lrTb"/>
            <w:vAlign w:val="top"/>
          </w:tcPr>
          <w:p w:rsidR="00B50DE9" w:rsidRPr="0031728F" w:rsidP="002221D3">
            <w:pPr>
              <w:bidi w:val="0"/>
              <w:jc w:val="center"/>
              <w:rPr>
                <w:rFonts w:ascii="Times New Roman" w:eastAsia="MS Mincho" w:hAnsi="Times New Roman"/>
                <w:b/>
                <w:color w:val="000000" w:themeColor="tx1" w:themeShade="FF"/>
                <w:sz w:val="24"/>
                <w:szCs w:val="24"/>
                <w:highlight w:val="yellow"/>
              </w:rPr>
            </w:pPr>
          </w:p>
        </w:tc>
        <w:tc>
          <w:tcPr>
            <w:tcW w:w="1284" w:type="dxa"/>
            <w:gridSpan w:val="2"/>
            <w:tcBorders>
              <w:top w:val="single" w:sz="4" w:space="0" w:color="auto"/>
              <w:left w:val="nil"/>
              <w:bottom w:val="nil"/>
              <w:right w:val="nil"/>
            </w:tcBorders>
            <w:textDirection w:val="lrTb"/>
            <w:vAlign w:val="top"/>
          </w:tcPr>
          <w:p w:rsidR="00B50DE9" w:rsidRPr="0031728F" w:rsidP="002221D3">
            <w:pPr>
              <w:bidi w:val="0"/>
              <w:ind w:right="-108"/>
              <w:rPr>
                <w:rFonts w:ascii="Times New Roman" w:hAnsi="Times New Roman"/>
                <w:b/>
                <w:color w:val="000000" w:themeColor="tx1" w:themeShade="FF"/>
                <w:sz w:val="24"/>
                <w:szCs w:val="24"/>
                <w:highlight w:val="yellow"/>
              </w:rPr>
            </w:pPr>
          </w:p>
        </w:tc>
        <w:tc>
          <w:tcPr>
            <w:tcW w:w="566" w:type="dxa"/>
            <w:tcBorders>
              <w:top w:val="single" w:sz="4" w:space="0" w:color="auto"/>
              <w:left w:val="nil"/>
              <w:bottom w:val="nil"/>
              <w:right w:val="nil"/>
            </w:tcBorders>
            <w:textDirection w:val="lrTb"/>
            <w:vAlign w:val="top"/>
          </w:tcPr>
          <w:p w:rsidR="00B50DE9" w:rsidRPr="0031728F" w:rsidP="002221D3">
            <w:pPr>
              <w:bidi w:val="0"/>
              <w:jc w:val="center"/>
              <w:rPr>
                <w:rFonts w:ascii="Times New Roman" w:eastAsia="MS Mincho" w:hAnsi="Times New Roman"/>
                <w:b/>
                <w:color w:val="000000" w:themeColor="tx1" w:themeShade="FF"/>
                <w:sz w:val="24"/>
                <w:szCs w:val="24"/>
                <w:highlight w:val="yellow"/>
              </w:rPr>
            </w:pPr>
          </w:p>
        </w:tc>
        <w:tc>
          <w:tcPr>
            <w:tcW w:w="1133" w:type="dxa"/>
            <w:gridSpan w:val="2"/>
            <w:tcBorders>
              <w:top w:val="single" w:sz="4" w:space="0" w:color="auto"/>
              <w:left w:val="nil"/>
              <w:bottom w:val="nil"/>
              <w:right w:val="nil"/>
            </w:tcBorders>
            <w:textDirection w:val="lrTb"/>
            <w:vAlign w:val="top"/>
          </w:tcPr>
          <w:p w:rsidR="00B50DE9" w:rsidRPr="0031728F" w:rsidP="002221D3">
            <w:pPr>
              <w:bidi w:val="0"/>
              <w:rPr>
                <w:rFonts w:ascii="Times New Roman" w:hAnsi="Times New Roman"/>
                <w:b/>
                <w:color w:val="000000" w:themeColor="tx1" w:themeShade="FF"/>
                <w:sz w:val="24"/>
                <w:szCs w:val="24"/>
                <w:highlight w:val="yellow"/>
              </w:rPr>
            </w:pPr>
          </w:p>
        </w:tc>
        <w:tc>
          <w:tcPr>
            <w:tcW w:w="547" w:type="dxa"/>
            <w:tcBorders>
              <w:top w:val="single" w:sz="4" w:space="0" w:color="auto"/>
              <w:left w:val="nil"/>
              <w:bottom w:val="nil"/>
              <w:right w:val="nil"/>
            </w:tcBorders>
            <w:textDirection w:val="lrTb"/>
            <w:vAlign w:val="top"/>
          </w:tcPr>
          <w:p w:rsidR="00B50DE9" w:rsidRPr="0031728F" w:rsidP="002221D3">
            <w:pPr>
              <w:bidi w:val="0"/>
              <w:jc w:val="center"/>
              <w:rPr>
                <w:rFonts w:ascii="Times New Roman" w:eastAsia="MS Mincho" w:hAnsi="Times New Roman"/>
                <w:b/>
                <w:color w:val="000000" w:themeColor="tx1" w:themeShade="FF"/>
                <w:sz w:val="24"/>
                <w:szCs w:val="24"/>
                <w:highlight w:val="yellow"/>
              </w:rPr>
            </w:pPr>
          </w:p>
        </w:tc>
        <w:tc>
          <w:tcPr>
            <w:tcW w:w="1444" w:type="dxa"/>
            <w:tcBorders>
              <w:top w:val="single" w:sz="4" w:space="0" w:color="auto"/>
              <w:left w:val="nil"/>
              <w:bottom w:val="nil"/>
              <w:right w:val="single" w:sz="4" w:space="0" w:color="auto"/>
            </w:tcBorders>
            <w:textDirection w:val="lrTb"/>
            <w:vAlign w:val="top"/>
          </w:tcPr>
          <w:p w:rsidR="00B50DE9" w:rsidRPr="0031728F" w:rsidP="002221D3">
            <w:pPr>
              <w:bidi w:val="0"/>
              <w:ind w:left="54"/>
              <w:rPr>
                <w:rFonts w:ascii="Times New Roman" w:hAnsi="Times New Roman"/>
                <w:b/>
                <w:color w:val="000000" w:themeColor="tx1" w:themeShade="FF"/>
                <w:sz w:val="24"/>
                <w:szCs w:val="24"/>
                <w:highlight w:val="yellow"/>
              </w:rPr>
            </w:pPr>
          </w:p>
        </w:tc>
      </w:tr>
      <w:tr>
        <w:tblPrEx>
          <w:tblW w:w="9342" w:type="dxa"/>
          <w:tblInd w:w="-5" w:type="dxa"/>
          <w:tblLayout w:type="fixed"/>
          <w:tblLook w:val="04A0"/>
        </w:tblPrEx>
        <w:trPr>
          <w:gridAfter w:val="1"/>
          <w:wAfter w:w="15" w:type="dxa"/>
        </w:trPr>
        <w:tc>
          <w:tcPr>
            <w:tcW w:w="3794" w:type="dxa"/>
            <w:tcBorders>
              <w:top w:val="nil"/>
              <w:left w:val="single" w:sz="4" w:space="0" w:color="auto"/>
              <w:bottom w:val="nil"/>
              <w:right w:val="single" w:sz="4" w:space="0" w:color="auto"/>
            </w:tcBorders>
            <w:shd w:val="clear" w:color="auto" w:fill="E2E2E2"/>
            <w:textDirection w:val="lrTb"/>
            <w:vAlign w:val="top"/>
          </w:tcPr>
          <w:p w:rsidR="00B50DE9" w:rsidRPr="0031728F" w:rsidP="002221D3">
            <w:pPr>
              <w:bidi w:val="0"/>
              <w:ind w:left="196" w:hanging="19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 xml:space="preserve">    vplyvy služieb verejnej správy na občana</w:t>
            </w:r>
          </w:p>
        </w:tc>
        <w:tc>
          <w:tcPr>
            <w:tcW w:w="559" w:type="dxa"/>
            <w:gridSpan w:val="2"/>
            <w:tcBorders>
              <w:top w:val="nil"/>
              <w:left w:val="single" w:sz="4" w:space="0" w:color="auto"/>
              <w:bottom w:val="nil"/>
              <w:right w:val="nil"/>
            </w:tcBorders>
            <w:textDirection w:val="lrTb"/>
            <w:vAlign w:val="top"/>
          </w:tcPr>
          <w:p w:rsidR="00B50DE9" w:rsidRPr="0031728F" w:rsidP="002221D3">
            <w:pPr>
              <w:bidi w:val="0"/>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284" w:type="dxa"/>
            <w:gridSpan w:val="2"/>
            <w:tcBorders>
              <w:top w:val="nil"/>
              <w:left w:val="nil"/>
              <w:bottom w:val="nil"/>
              <w:right w:val="nil"/>
            </w:tcBorders>
            <w:textDirection w:val="lrTb"/>
            <w:vAlign w:val="top"/>
          </w:tcPr>
          <w:p w:rsidR="00B50DE9" w:rsidRPr="0031728F" w:rsidP="002221D3">
            <w:pPr>
              <w:bidi w:val="0"/>
              <w:ind w:right="-10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6" w:type="dxa"/>
            <w:tcBorders>
              <w:top w:val="nil"/>
              <w:left w:val="nil"/>
              <w:bottom w:val="nil"/>
              <w:right w:val="nil"/>
            </w:tcBorders>
            <w:textDirection w:val="lrTb"/>
            <w:vAlign w:val="top"/>
          </w:tcPr>
          <w:p w:rsidR="00B50DE9" w:rsidRPr="0031728F" w:rsidP="002221D3">
            <w:pPr>
              <w:bidi w:val="0"/>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gridSpan w:val="2"/>
            <w:tcBorders>
              <w:top w:val="nil"/>
              <w:left w:val="nil"/>
              <w:bottom w:val="nil"/>
              <w:right w:val="nil"/>
            </w:tcBorders>
            <w:textDirection w:val="lrTb"/>
            <w:vAlign w:val="top"/>
          </w:tcPr>
          <w:p w:rsidR="00B50DE9" w:rsidRPr="0031728F" w:rsidP="002221D3">
            <w:pPr>
              <w:bidi w:val="0"/>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tcBorders>
              <w:top w:val="nil"/>
              <w:left w:val="nil"/>
              <w:bottom w:val="nil"/>
              <w:right w:val="nil"/>
            </w:tcBorders>
            <w:textDirection w:val="lrTb"/>
            <w:vAlign w:val="top"/>
          </w:tcPr>
          <w:p w:rsidR="00B50DE9" w:rsidRPr="0031728F" w:rsidP="002221D3">
            <w:pPr>
              <w:bidi w:val="0"/>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444" w:type="dxa"/>
            <w:tcBorders>
              <w:top w:val="nil"/>
              <w:left w:val="nil"/>
              <w:bottom w:val="nil"/>
              <w:right w:val="single" w:sz="4" w:space="0" w:color="auto"/>
            </w:tcBorders>
            <w:textDirection w:val="lrTb"/>
            <w:vAlign w:val="top"/>
          </w:tcPr>
          <w:p w:rsidR="00B50DE9" w:rsidRPr="0031728F" w:rsidP="002221D3">
            <w:pPr>
              <w:bidi w:val="0"/>
              <w:ind w:left="5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r>
        <w:tblPrEx>
          <w:tblW w:w="9342" w:type="dxa"/>
          <w:tblInd w:w="-5" w:type="dxa"/>
          <w:tblLayout w:type="fixed"/>
          <w:tblLook w:val="04A0"/>
        </w:tblPrEx>
        <w:trPr>
          <w:gridAfter w:val="1"/>
          <w:wAfter w:w="15" w:type="dxa"/>
        </w:trPr>
        <w:tc>
          <w:tcPr>
            <w:tcW w:w="3794" w:type="dxa"/>
            <w:tcBorders>
              <w:top w:val="nil"/>
              <w:left w:val="single" w:sz="4" w:space="0" w:color="auto"/>
              <w:bottom w:val="single" w:sz="4" w:space="0" w:color="auto"/>
              <w:right w:val="single" w:sz="4" w:space="0" w:color="auto"/>
            </w:tcBorders>
            <w:shd w:val="clear" w:color="auto" w:fill="E2E2E2"/>
            <w:textDirection w:val="lrTb"/>
            <w:vAlign w:val="top"/>
          </w:tcPr>
          <w:p w:rsidR="00B50DE9" w:rsidRPr="0031728F" w:rsidP="002221D3">
            <w:pPr>
              <w:bidi w:val="0"/>
              <w:ind w:left="168" w:hanging="16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 xml:space="preserve">    vplyvy na procesy služieb vo verejnej správe</w:t>
            </w:r>
          </w:p>
        </w:tc>
        <w:tc>
          <w:tcPr>
            <w:tcW w:w="559" w:type="dxa"/>
            <w:gridSpan w:val="2"/>
            <w:tcBorders>
              <w:top w:val="nil"/>
              <w:left w:val="single" w:sz="4" w:space="0" w:color="auto"/>
              <w:bottom w:val="single" w:sz="4" w:space="0" w:color="auto"/>
              <w:right w:val="nil"/>
            </w:tcBorders>
            <w:textDirection w:val="lrTb"/>
            <w:vAlign w:val="top"/>
          </w:tcPr>
          <w:p w:rsidR="00B50DE9" w:rsidRPr="0031728F" w:rsidP="002221D3">
            <w:pPr>
              <w:bidi w:val="0"/>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284" w:type="dxa"/>
            <w:gridSpan w:val="2"/>
            <w:tcBorders>
              <w:top w:val="nil"/>
              <w:left w:val="nil"/>
              <w:bottom w:val="single" w:sz="4" w:space="0" w:color="auto"/>
              <w:right w:val="nil"/>
            </w:tcBorders>
            <w:textDirection w:val="lrTb"/>
            <w:vAlign w:val="top"/>
          </w:tcPr>
          <w:p w:rsidR="00B50DE9" w:rsidRPr="0031728F" w:rsidP="002221D3">
            <w:pPr>
              <w:bidi w:val="0"/>
              <w:ind w:right="-108"/>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Pozitívne</w:t>
            </w:r>
          </w:p>
        </w:tc>
        <w:tc>
          <w:tcPr>
            <w:tcW w:w="566" w:type="dxa"/>
            <w:tcBorders>
              <w:top w:val="nil"/>
              <w:left w:val="nil"/>
              <w:bottom w:val="single" w:sz="4" w:space="0" w:color="auto"/>
              <w:right w:val="nil"/>
            </w:tcBorders>
            <w:textDirection w:val="lrTb"/>
            <w:vAlign w:val="top"/>
          </w:tcPr>
          <w:p w:rsidR="00B50DE9" w:rsidRPr="0031728F" w:rsidP="002221D3">
            <w:pPr>
              <w:bidi w:val="0"/>
              <w:jc w:val="center"/>
              <w:rPr>
                <w:rFonts w:ascii="Times New Roman" w:hAnsi="Times New Roman"/>
                <w:b/>
                <w:color w:val="000000" w:themeColor="tx1" w:themeShade="FF"/>
                <w:sz w:val="24"/>
                <w:szCs w:val="24"/>
              </w:rPr>
            </w:pPr>
            <w:r w:rsidRPr="0031728F">
              <w:rPr>
                <w:rFonts w:ascii="Segoe UI Symbol" w:eastAsia="MS Gothic" w:hAnsi="Segoe UI Symbol" w:cs="Segoe UI Symbol" w:hint="default"/>
                <w:b/>
                <w:color w:val="000000" w:themeColor="tx1" w:themeShade="FF"/>
                <w:sz w:val="24"/>
                <w:szCs w:val="24"/>
              </w:rPr>
              <w:t>☒</w:t>
            </w:r>
          </w:p>
        </w:tc>
        <w:tc>
          <w:tcPr>
            <w:tcW w:w="1133" w:type="dxa"/>
            <w:gridSpan w:val="2"/>
            <w:tcBorders>
              <w:top w:val="nil"/>
              <w:left w:val="nil"/>
              <w:bottom w:val="single" w:sz="4" w:space="0" w:color="auto"/>
              <w:right w:val="nil"/>
            </w:tcBorders>
            <w:textDirection w:val="lrTb"/>
            <w:vAlign w:val="top"/>
          </w:tcPr>
          <w:p w:rsidR="00B50DE9" w:rsidRPr="0031728F" w:rsidP="002221D3">
            <w:pPr>
              <w:bidi w:val="0"/>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Žiadne</w:t>
            </w:r>
          </w:p>
        </w:tc>
        <w:tc>
          <w:tcPr>
            <w:tcW w:w="547" w:type="dxa"/>
            <w:tcBorders>
              <w:top w:val="nil"/>
              <w:left w:val="nil"/>
              <w:bottom w:val="single" w:sz="4" w:space="0" w:color="auto"/>
              <w:right w:val="nil"/>
            </w:tcBorders>
            <w:textDirection w:val="lrTb"/>
            <w:vAlign w:val="top"/>
          </w:tcPr>
          <w:p w:rsidR="00B50DE9" w:rsidRPr="0031728F" w:rsidP="002221D3">
            <w:pPr>
              <w:bidi w:val="0"/>
              <w:jc w:val="center"/>
              <w:rPr>
                <w:rFonts w:ascii="Times New Roman" w:hAnsi="Times New Roman"/>
                <w:b/>
                <w:color w:val="000000" w:themeColor="tx1" w:themeShade="FF"/>
                <w:sz w:val="24"/>
                <w:szCs w:val="24"/>
              </w:rPr>
            </w:pPr>
            <w:r w:rsidRPr="0031728F">
              <w:rPr>
                <w:rFonts w:ascii="Segoe UI Symbol" w:eastAsia="MS Mincho" w:hAnsi="Segoe UI Symbol" w:cs="Segoe UI Symbol" w:hint="default"/>
                <w:b/>
                <w:color w:val="000000" w:themeColor="tx1" w:themeShade="FF"/>
                <w:sz w:val="24"/>
                <w:szCs w:val="24"/>
              </w:rPr>
              <w:t>☐</w:t>
            </w:r>
          </w:p>
        </w:tc>
        <w:tc>
          <w:tcPr>
            <w:tcW w:w="1444" w:type="dxa"/>
            <w:tcBorders>
              <w:top w:val="nil"/>
              <w:left w:val="nil"/>
              <w:bottom w:val="single" w:sz="4" w:space="0" w:color="auto"/>
              <w:right w:val="single" w:sz="4" w:space="0" w:color="auto"/>
            </w:tcBorders>
            <w:textDirection w:val="lrTb"/>
            <w:vAlign w:val="top"/>
          </w:tcPr>
          <w:p w:rsidR="00B50DE9" w:rsidRPr="0031728F" w:rsidP="002221D3">
            <w:pPr>
              <w:bidi w:val="0"/>
              <w:ind w:left="54"/>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Negatívne</w:t>
            </w:r>
          </w:p>
        </w:tc>
      </w:tr>
      <w:tr>
        <w:tblPrEx>
          <w:tblW w:w="9342" w:type="dxa"/>
          <w:jc w:val="center"/>
          <w:tblInd w:w="-5"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Layout w:type="fixed"/>
          <w:tblCellMar>
            <w:left w:w="0" w:type="dxa"/>
            <w:right w:w="0" w:type="dxa"/>
          </w:tblCellMar>
          <w:tblLook w:val="04A0"/>
        </w:tblPrEx>
        <w:trPr>
          <w:trHeight w:val="270"/>
          <w:jc w:val="center"/>
        </w:trPr>
        <w:tc>
          <w:tcPr>
            <w:tcW w:w="3828" w:type="dxa"/>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B50DE9" w:rsidRPr="0031728F" w:rsidP="002221D3">
            <w:pPr>
              <w:bidi w:val="0"/>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 Vplyv</w:t>
            </w:r>
            <w:r w:rsidR="00787722">
              <w:rPr>
                <w:rFonts w:ascii="Times New Roman" w:hAnsi="Times New Roman"/>
                <w:b/>
                <w:bCs/>
                <w:color w:val="000000" w:themeColor="tx1" w:themeShade="FF"/>
                <w:sz w:val="24"/>
                <w:szCs w:val="24"/>
              </w:rPr>
              <w:t>y na manželstvo, rodičovstvo a </w:t>
            </w:r>
            <w:r w:rsidRPr="0031728F">
              <w:rPr>
                <w:rFonts w:ascii="Times New Roman" w:hAnsi="Times New Roman"/>
                <w:b/>
                <w:bCs/>
                <w:color w:val="000000" w:themeColor="tx1" w:themeShade="FF"/>
                <w:sz w:val="24"/>
                <w:szCs w:val="24"/>
              </w:rPr>
              <w:t>rodinu</w:t>
            </w:r>
          </w:p>
        </w:tc>
        <w:tc>
          <w:tcPr>
            <w:tcW w:w="1718" w:type="dxa"/>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B50DE9" w:rsidRPr="0031728F" w:rsidP="002221D3">
            <w:pPr>
              <w:bidi w:val="0"/>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   </w:t>
            </w:r>
            <w:r w:rsidRPr="0031728F">
              <w:rPr>
                <w:rFonts w:ascii="Times New Roman" w:hAnsi="Times New Roman"/>
                <w:b/>
                <w:color w:val="000000" w:themeColor="tx1" w:themeShade="FF"/>
                <w:sz w:val="24"/>
                <w:szCs w:val="24"/>
              </w:rPr>
              <w:sym w:font="Times New Roman" w:char="F02A"/>
            </w:r>
            <w:r w:rsidRPr="0031728F">
              <w:rPr>
                <w:rFonts w:ascii="Times New Roman" w:hAnsi="Times New Roman"/>
                <w:b/>
                <w:color w:val="000000" w:themeColor="tx1" w:themeShade="FF"/>
                <w:sz w:val="24"/>
                <w:szCs w:val="24"/>
              </w:rPr>
              <w:sym w:font="Times New Roman" w:char="0020"/>
            </w:r>
            <w:r w:rsidRPr="0031728F">
              <w:rPr>
                <w:rFonts w:ascii="Times New Roman" w:hAnsi="Times New Roman"/>
                <w:color w:val="000000" w:themeColor="tx1" w:themeShade="FF"/>
                <w:sz w:val="24"/>
                <w:szCs w:val="24"/>
              </w:rPr>
              <w:t>   </w:t>
            </w:r>
            <w:r w:rsidRPr="0031728F">
              <w:rPr>
                <w:rFonts w:ascii="Times New Roman" w:hAnsi="Times New Roman"/>
                <w:b/>
                <w:color w:val="000000" w:themeColor="tx1" w:themeShade="FF"/>
                <w:sz w:val="24"/>
                <w:szCs w:val="24"/>
              </w:rPr>
              <w:t xml:space="preserve">  Pozitívne</w:t>
            </w:r>
          </w:p>
        </w:tc>
        <w:tc>
          <w:tcPr>
            <w:tcW w:w="1701" w:type="dxa"/>
            <w:gridSpan w:val="3"/>
            <w:tcBorders>
              <w:top w:val="outset" w:sz="6" w:space="0" w:color="000000"/>
              <w:left w:val="outset" w:sz="6" w:space="0" w:color="000000"/>
              <w:bottom w:val="outset" w:sz="6" w:space="0" w:color="000000"/>
              <w:right w:val="outset" w:sz="6" w:space="0" w:color="000000"/>
            </w:tcBorders>
            <w:textDirection w:val="lrTb"/>
            <w:vAlign w:val="center"/>
            <w:hideMark/>
          </w:tcPr>
          <w:p w:rsidR="00B50DE9" w:rsidRPr="0031728F" w:rsidP="002221D3">
            <w:pPr>
              <w:bidi w:val="0"/>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    </w:t>
            </w:r>
            <w:r w:rsidRPr="0031728F">
              <w:rPr>
                <w:rFonts w:ascii="Segoe UI Symbol" w:eastAsia="MS Gothic" w:hAnsi="Segoe UI Symbol" w:cs="Segoe UI Symbol" w:hint="default"/>
                <w:b/>
                <w:color w:val="000000" w:themeColor="tx1" w:themeShade="FF"/>
                <w:sz w:val="24"/>
                <w:szCs w:val="24"/>
              </w:rPr>
              <w:t>☒</w:t>
            </w:r>
            <w:r w:rsidRPr="0031728F">
              <w:rPr>
                <w:rFonts w:ascii="Times New Roman" w:hAnsi="Times New Roman"/>
                <w:color w:val="000000" w:themeColor="tx1" w:themeShade="FF"/>
                <w:sz w:val="24"/>
                <w:szCs w:val="24"/>
              </w:rPr>
              <w:t xml:space="preserve">     </w:t>
            </w:r>
            <w:r w:rsidRPr="0031728F">
              <w:rPr>
                <w:rFonts w:ascii="Times New Roman" w:hAnsi="Times New Roman"/>
                <w:b/>
                <w:color w:val="000000" w:themeColor="tx1" w:themeShade="FF"/>
                <w:sz w:val="24"/>
                <w:szCs w:val="24"/>
              </w:rPr>
              <w:t>Žiadne</w:t>
            </w:r>
          </w:p>
        </w:tc>
        <w:tc>
          <w:tcPr>
            <w:tcW w:w="2095" w:type="dxa"/>
            <w:gridSpan w:val="4"/>
            <w:tcBorders>
              <w:top w:val="outset" w:sz="6" w:space="0" w:color="000000"/>
              <w:left w:val="outset" w:sz="6" w:space="0" w:color="000000"/>
              <w:bottom w:val="outset" w:sz="6" w:space="0" w:color="000000"/>
              <w:right w:val="outset" w:sz="6" w:space="0" w:color="000000"/>
            </w:tcBorders>
            <w:textDirection w:val="lrTb"/>
            <w:vAlign w:val="center"/>
            <w:hideMark/>
          </w:tcPr>
          <w:p w:rsidR="00B50DE9" w:rsidRPr="0031728F" w:rsidP="002221D3">
            <w:pPr>
              <w:bidi w:val="0"/>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   </w:t>
            </w:r>
            <w:r w:rsidRPr="0031728F">
              <w:rPr>
                <w:rFonts w:ascii="Times New Roman" w:hAnsi="Times New Roman"/>
                <w:b/>
                <w:color w:val="000000" w:themeColor="tx1" w:themeShade="FF"/>
                <w:sz w:val="24"/>
                <w:szCs w:val="24"/>
              </w:rPr>
              <w:sym w:font="Times New Roman" w:char="F02A"/>
            </w:r>
            <w:r w:rsidRPr="0031728F">
              <w:rPr>
                <w:rFonts w:ascii="Times New Roman" w:hAnsi="Times New Roman"/>
                <w:b/>
                <w:color w:val="000000" w:themeColor="tx1" w:themeShade="FF"/>
                <w:sz w:val="24"/>
                <w:szCs w:val="24"/>
              </w:rPr>
              <w:sym w:font="Times New Roman" w:char="0020"/>
            </w:r>
            <w:r w:rsidRPr="0031728F">
              <w:rPr>
                <w:rFonts w:ascii="Times New Roman" w:hAnsi="Times New Roman"/>
                <w:color w:val="000000" w:themeColor="tx1" w:themeShade="FF"/>
                <w:sz w:val="24"/>
                <w:szCs w:val="24"/>
              </w:rPr>
              <w:t xml:space="preserve">       </w:t>
            </w:r>
            <w:r w:rsidRPr="0031728F">
              <w:rPr>
                <w:rFonts w:ascii="Times New Roman" w:hAnsi="Times New Roman"/>
                <w:b/>
                <w:color w:val="000000" w:themeColor="tx1" w:themeShade="FF"/>
                <w:sz w:val="24"/>
                <w:szCs w:val="24"/>
              </w:rPr>
              <w:t>Negatívne</w:t>
            </w:r>
          </w:p>
        </w:tc>
      </w:tr>
    </w:tbl>
    <w:p w:rsidR="00B50DE9" w:rsidRPr="0031728F" w:rsidP="00B50DE9">
      <w:pPr>
        <w:bidi w:val="0"/>
        <w:ind w:right="141"/>
        <w:rPr>
          <w:rFonts w:ascii="Times New Roman" w:hAnsi="Times New Roman"/>
          <w:b/>
          <w:color w:val="000000" w:themeColor="tx1" w:themeShade="FF"/>
          <w:sz w:val="24"/>
          <w:szCs w:val="24"/>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Predkladaný návrh zákona predpokladá negatívny vplyv na rozpočet verejnej správy v roku 2024, a to z dôvodu nákladov podriadených organizácií Ministerstva dopravy a výstavby SR – Slovenskej správy ciest a Národnej diaľničnej spoločnosti, a. s., na zabezpečenie odborného posúdenia a klasifikácie bezpečnosti cestnej siete podľa zákona č. 249/2011 Z. z. o riadení bezpečnosti pozemných komunikácií a o zmene a doplnení niektorých zákonov (ďalej len „zákon o riadení bezpečnosti“), na zabezpečenie odborného posúdenia cielenej prehliadky podľa zákona o riadení bezpečnosti a na vykonanie z nich vyplývajúcich nápravných opatrení na základe odporúčaní a návrhov uvedených vo výsledných správach o predmetných posúdeniach a nákladov na posilnenie administratívnych kapacít a materiálovo-technického vybavenia. Výška tohto vplyvu závisí od počtu vykonaných bezpečnostných posúdení a cielených prehliadok. Pre vyčíslenie finančného dopadu bol použitý prepočet dĺžky nehodových lokalít vyhodnotených v roku 2019 (zdroj SSC, publikovaný 11/2020) a finančných nákladov na zabezpečenie bezpečnostných inšpekcií v prepočte na 1 km vykonávaných dotknutými organizáciami v predchádzajúcich rokoch. Nehodové lokality predstavovali 117,85 km z cestnej siete ciest I. triedy. Finančné náklady na 1 km realizácie inšpekcie/cielenej prehliadky sú stanovené na základe priemernej hodnoty doteraz vykonaných inšpekcií, t. j. vo výške cca 3000 € bez DPH. Suma bola stanovená odborným odhadom na základe vyššie uvedeného modelového prepočtu úsekov ciest I. triedy. Pre úseky ciest v správe SSC sa v roku 2024 uvažuje so sumou 353 550,-EUR bez DPH. Pre úseky v správe NDS , a.s. bol použitý pomerný prepočet dĺžky, na základe ktorého sa v roku 2024 uvažuje so sumou 120 000,- EUR bez DPH. Finančné nároky na zabezpečenie bezpečnostných posúdení a cielených prehliadok budú nárokované pri návrhu rozpočtu na dané rozpočtové obdobie. Financovanie v roku 2024 je rozpočtovo zabezpečené v rámci rozpočtu SSC a MDV SR. V prípade novely cestného zákona vo vzťahu k finančným požiadavkám uvádzame, že finančné nároky na implementáciu systému merania hmotností a rozmerov vozidiel a jazdných súprav na princípe objektívnej zodpovednosti sa predpokladajú v súvislosti s úpravou a nastavením príslušného systému Slovenskej správy ciest týkajúceho sa nevyhnutného porovnávania kontrolných záznamov s databázou vydaných povolení a spracovania záznamov o porušení povinnosti na úseku nadmernej a nadrozmernej dopravy, a to na úrovni 150 000 eur v roku 2023 a 150 000 eur v roku 2024 a rovnako tiež v súvislosti s potrebnou úpravou Modulu správnych deliktov Jednotného informačného systému v cestnej doprave, ktorého správcom je MDV SR,</w:t>
            </w:r>
            <w:r w:rsidRPr="0031728F">
              <w:rPr>
                <w:rFonts w:ascii="Times New Roman" w:hAnsi="Times New Roman"/>
                <w:b/>
                <w:color w:val="000000" w:themeColor="tx1" w:themeShade="FF"/>
                <w:sz w:val="24"/>
                <w:szCs w:val="24"/>
              </w:rPr>
              <w:t xml:space="preserve"> </w:t>
            </w:r>
            <w:r w:rsidRPr="0031728F">
              <w:rPr>
                <w:rFonts w:ascii="Times New Roman" w:hAnsi="Times New Roman"/>
                <w:color w:val="000000" w:themeColor="tx1" w:themeShade="FF"/>
                <w:sz w:val="24"/>
                <w:szCs w:val="24"/>
              </w:rPr>
              <w:t>a to na úrovni 100 000 eur v roku 2023 a 100 000 eur v roku 2024. Tieto náklady sú kryté v rámci rozpočtu verejnej správy na roky 2022-2024.</w:t>
            </w:r>
          </w:p>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Pokiaľ ide o samotnú úpravu systému sankcionovania nadmernej a nadrozmernej dopravy, kedy dochádza k prechodu od výberu dodatočného výberu zvýšeného správneho poplatku na sankciu vo forme pokuty a súvisiacu úpravu zákona č. 145/1995 Z. z., nie je identifikovaný žiadny vplyv na rozpočet verejnej správy. Treba zdôrazniť, že z hľadiska finančných dopadov v súvislosti so zmenou systému sankcionovania sa jednak zásadným spôsobom nezmení početnosť vykonaných kontrol merania hmotností a rozmerov vozidiel a jazdných súprav, t. j. oproti súčasnej frekvencii vykonaných kontrol vykonávaných správcami pozemných komunikácií (Národná diaľničná spoločnosť, a. s. a Slovenská správa ciest) nedôjde k navýšeniu alebo k úbytku počtu takýchto kontrol a zároveň nedôjde ani k zmene objemu výberu finančných prostriedkov zo sankcionovania takejto nepovolenej dopravy, pretože dôjde k približne rovnakému výberu finančných prostriedkov pre rozpočet verejnej správy tak, ako doteraz s tým, že z hľadiska kvalifikácie týchto peňažných sankcií nepôjde o dodatočne zvýšený správny poplatok, ale o pokutu vyberanú na rovnakej úrovni z hľadiska výšky sankcie. </w:t>
            </w:r>
          </w:p>
          <w:p w:rsidR="00B50DE9" w:rsidRPr="0031728F" w:rsidP="002221D3">
            <w:pPr>
              <w:bidi w:val="0"/>
              <w:spacing w:after="0" w:line="240" w:lineRule="auto"/>
              <w:jc w:val="both"/>
              <w:rPr>
                <w:rFonts w:ascii="Times New Roman" w:hAnsi="Times New Roman"/>
                <w:color w:val="000000" w:themeColor="tx1" w:themeShade="FF"/>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Ministerstvo dopravy a výstavby Slovenskej republiky, Sekcia cestnej dopravy a pozemných komunikácii –  </w:t>
            </w:r>
          </w:p>
          <w:p w:rsidR="00B50DE9" w:rsidRPr="0031728F" w:rsidP="002221D3">
            <w:pPr>
              <w:bidi w:val="0"/>
              <w:spacing w:after="0" w:line="240" w:lineRule="auto"/>
              <w:jc w:val="both"/>
              <w:rPr>
                <w:rFonts w:ascii="Times New Roman" w:hAnsi="Times New Roman"/>
                <w:color w:val="000000" w:themeColor="tx1" w:themeShade="FF"/>
                <w:sz w:val="24"/>
                <w:szCs w:val="24"/>
              </w:rPr>
            </w:pPr>
            <w:hyperlink r:id="rId5" w:history="1">
              <w:r w:rsidRPr="0031728F">
                <w:rPr>
                  <w:rStyle w:val="Hyperlink"/>
                  <w:rFonts w:ascii="Times New Roman" w:hAnsi="Times New Roman"/>
                  <w:color w:val="000000" w:themeColor="tx1"/>
                  <w:sz w:val="24"/>
                  <w:szCs w:val="24"/>
                </w:rPr>
                <w:t>scdpk@mindop.sk</w:t>
              </w:r>
            </w:hyperlink>
            <w:r w:rsidRPr="0031728F">
              <w:rPr>
                <w:rFonts w:ascii="Times New Roman" w:hAnsi="Times New Roman"/>
                <w:color w:val="000000" w:themeColor="tx1" w:themeShade="FF"/>
                <w:sz w:val="24"/>
                <w:szCs w:val="24"/>
              </w:rPr>
              <w:t xml:space="preserve">,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Pri spracovaní doložky vybraných vplyvov predkladateľ vychádzal z dostupných podkladov, najmä </w:t>
              <w:br/>
              <w:t>k predpokladaným odborným bezpečnostným posúdeniam.</w:t>
            </w:r>
          </w:p>
          <w:p w:rsidR="00B50DE9" w:rsidRPr="0031728F" w:rsidP="002221D3">
            <w:pPr>
              <w:bidi w:val="0"/>
              <w:spacing w:after="0" w:line="240" w:lineRule="auto"/>
              <w:rPr>
                <w:rFonts w:ascii="Times New Roman" w:hAnsi="Times New Roman"/>
                <w:b/>
                <w:color w:val="000000" w:themeColor="tx1" w:themeShade="FF"/>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50DE9" w:rsidRPr="0031728F" w:rsidP="00B50DE9">
            <w:pPr>
              <w:pStyle w:val="ListParagraph"/>
              <w:numPr>
                <w:numId w:val="11"/>
              </w:numPr>
              <w:bidi w:val="0"/>
              <w:spacing w:after="0" w:line="240" w:lineRule="auto"/>
              <w:ind w:left="426"/>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Stanovisko Komisie pre posudzovanie vybraných vplyvov z PPK</w:t>
            </w:r>
          </w:p>
        </w:tc>
      </w:tr>
      <w:tr>
        <w:tblPrEx>
          <w:tblW w:w="9176" w:type="dxa"/>
          <w:tblLayout w:type="fixed"/>
          <w:tblLook w:val="04A0"/>
        </w:tblPrEx>
        <w:trPr>
          <w:trHeight w:val="58"/>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Nesúhlasné stanovisko Stálej pracovnej komisie legislatívnej rady vlády Slovenskej republiky na posudzovanie vybraných vplyvov.</w:t>
            </w:r>
          </w:p>
          <w:p w:rsidR="00B50DE9" w:rsidRPr="0031728F" w:rsidP="002221D3">
            <w:pPr>
              <w:bidi w:val="0"/>
              <w:spacing w:after="0" w:line="240" w:lineRule="auto"/>
              <w:jc w:val="both"/>
              <w:rPr>
                <w:rFonts w:ascii="Times New Roman" w:hAnsi="Times New Roman"/>
                <w:color w:val="000000" w:themeColor="tx1" w:themeShade="FF"/>
                <w:sz w:val="24"/>
                <w:szCs w:val="24"/>
              </w:rPr>
            </w:pPr>
          </w:p>
          <w:p w:rsidR="00B50DE9" w:rsidRPr="0031728F" w:rsidP="002221D3">
            <w:pPr>
              <w:bidi w:val="0"/>
              <w:spacing w:after="0" w:line="240" w:lineRule="auto"/>
              <w:jc w:val="both"/>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Vyhodnotenie pripomienok:</w:t>
            </w:r>
          </w:p>
          <w:p w:rsidR="00B50DE9" w:rsidRPr="0031728F" w:rsidP="002221D3">
            <w:pPr>
              <w:bidi w:val="0"/>
              <w:spacing w:after="0" w:line="240" w:lineRule="auto"/>
              <w:jc w:val="both"/>
              <w:rPr>
                <w:rFonts w:ascii="Times New Roman" w:hAnsi="Times New Roman"/>
                <w:b/>
                <w:color w:val="000000" w:themeColor="tx1" w:themeShade="FF"/>
                <w:sz w:val="24"/>
                <w:szCs w:val="24"/>
              </w:rPr>
            </w:pPr>
          </w:p>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1. K doložke vybraných vplyvov: </w:t>
            </w:r>
            <w:r w:rsidRPr="0031728F">
              <w:rPr>
                <w:rFonts w:ascii="Times New Roman" w:hAnsi="Times New Roman"/>
                <w:i/>
                <w:color w:val="000000" w:themeColor="tx1" w:themeShade="FF"/>
                <w:sz w:val="24"/>
                <w:szCs w:val="24"/>
              </w:rPr>
              <w:t>„Komisia odporúča predkladateľovi dať do súladu bod 1. Základné údaje, kde sa uvádza, že ide o transpozíciu a bod 7.Transpozícia, kde je uvedené, že k žiadnej transpozícií nedochádza“</w:t>
            </w:r>
            <w:r w:rsidRPr="0031728F">
              <w:rPr>
                <w:rFonts w:ascii="Times New Roman" w:hAnsi="Times New Roman"/>
                <w:color w:val="000000" w:themeColor="tx1" w:themeShade="FF"/>
                <w:sz w:val="24"/>
                <w:szCs w:val="24"/>
              </w:rPr>
              <w:t xml:space="preserve">. – </w:t>
            </w:r>
            <w:r w:rsidRPr="0031728F">
              <w:rPr>
                <w:rFonts w:ascii="Times New Roman" w:hAnsi="Times New Roman"/>
                <w:b/>
                <w:color w:val="000000" w:themeColor="tx1" w:themeShade="FF"/>
                <w:sz w:val="24"/>
                <w:szCs w:val="24"/>
              </w:rPr>
              <w:t>pripomienka bola akceptovaná a zapracovaná.</w:t>
            </w:r>
            <w:r w:rsidRPr="0031728F">
              <w:rPr>
                <w:rFonts w:ascii="Times New Roman" w:hAnsi="Times New Roman"/>
                <w:color w:val="000000" w:themeColor="tx1" w:themeShade="FF"/>
                <w:sz w:val="24"/>
                <w:szCs w:val="24"/>
              </w:rPr>
              <w:t> </w:t>
            </w:r>
            <w:r w:rsidRPr="0031728F">
              <w:rPr>
                <w:rFonts w:ascii="Times New Roman" w:hAnsi="Times New Roman"/>
                <w:b/>
                <w:color w:val="000000" w:themeColor="tx1" w:themeShade="FF"/>
                <w:sz w:val="24"/>
                <w:szCs w:val="24"/>
              </w:rPr>
              <w:t>Bod 1. a 7. boli dané do súladu.</w:t>
            </w:r>
          </w:p>
          <w:p w:rsidR="00B50DE9" w:rsidRPr="0031728F" w:rsidP="002221D3">
            <w:pPr>
              <w:bidi w:val="0"/>
              <w:spacing w:after="0" w:line="240" w:lineRule="auto"/>
              <w:jc w:val="both"/>
              <w:rPr>
                <w:rFonts w:ascii="Times New Roman" w:hAnsi="Times New Roman"/>
                <w:color w:val="000000" w:themeColor="tx1" w:themeShade="FF"/>
                <w:sz w:val="24"/>
                <w:szCs w:val="24"/>
              </w:rPr>
            </w:pPr>
          </w:p>
          <w:p w:rsidR="00B50DE9" w:rsidRPr="0031728F" w:rsidP="002221D3">
            <w:pPr>
              <w:bidi w:val="0"/>
              <w:spacing w:after="0" w:line="240" w:lineRule="auto"/>
              <w:jc w:val="both"/>
              <w:rPr>
                <w:rFonts w:ascii="Times New Roman" w:hAnsi="Times New Roman"/>
                <w:i/>
                <w:color w:val="000000" w:themeColor="tx1" w:themeShade="FF"/>
                <w:sz w:val="24"/>
                <w:szCs w:val="24"/>
              </w:rPr>
            </w:pPr>
            <w:r w:rsidRPr="0031728F">
              <w:rPr>
                <w:rFonts w:ascii="Times New Roman" w:hAnsi="Times New Roman"/>
                <w:color w:val="000000" w:themeColor="tx1" w:themeShade="FF"/>
                <w:sz w:val="24"/>
                <w:szCs w:val="24"/>
              </w:rPr>
              <w:t xml:space="preserve">2. K vplyvom na podnikateľské prostredie: </w:t>
            </w:r>
            <w:r w:rsidRPr="0031728F">
              <w:rPr>
                <w:rFonts w:ascii="Times New Roman" w:hAnsi="Times New Roman"/>
                <w:i/>
                <w:color w:val="000000" w:themeColor="tx1" w:themeShade="FF"/>
                <w:sz w:val="24"/>
                <w:szCs w:val="24"/>
              </w:rPr>
              <w:t xml:space="preserve">„Komisia žiada vyznačiť aj vplyvy na podnikateľské subjekty a dopracovať analýzu vplyvov na podnikateľské prostredie so zreteľom na nové povinnosti bezpečnostného auditora, prevádzkovateľa vozidla, (správcu komunikácie). </w:t>
            </w:r>
          </w:p>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i/>
                <w:color w:val="000000" w:themeColor="tx1" w:themeShade="FF"/>
                <w:sz w:val="24"/>
                <w:szCs w:val="24"/>
              </w:rPr>
              <w:t xml:space="preserve">Súčasne sa predloženým návrhom upravujú správne delikty a novelizuje sa aj zákon č. 145/1995 Z. z. o správnych poplatkoch. Uvedené však nie je zohľadnené v doložke a analýze vplyvov, čo Komisia žiada taktiež doplniť.“ </w:t>
            </w:r>
            <w:r w:rsidRPr="0031728F">
              <w:rPr>
                <w:rFonts w:ascii="Times New Roman" w:hAnsi="Times New Roman"/>
                <w:color w:val="000000" w:themeColor="tx1" w:themeShade="FF"/>
                <w:sz w:val="24"/>
                <w:szCs w:val="24"/>
              </w:rPr>
              <w:t xml:space="preserve">– </w:t>
            </w:r>
            <w:r w:rsidRPr="0031728F">
              <w:rPr>
                <w:rFonts w:ascii="Times New Roman" w:hAnsi="Times New Roman"/>
                <w:b/>
                <w:color w:val="000000" w:themeColor="tx1" w:themeShade="FF"/>
                <w:sz w:val="24"/>
                <w:szCs w:val="24"/>
              </w:rPr>
              <w:t xml:space="preserve">pripomienka bola čiastočne akceptovaná. Vplyvy na podnikateľské prostredie sú vyznačené v dokumente </w:t>
            </w:r>
            <w:r w:rsidRPr="0031728F">
              <w:rPr>
                <w:rFonts w:ascii="Times New Roman" w:hAnsi="Times New Roman"/>
                <w:b/>
                <w:i/>
                <w:color w:val="000000" w:themeColor="tx1" w:themeShade="FF"/>
                <w:sz w:val="24"/>
                <w:szCs w:val="24"/>
              </w:rPr>
              <w:t>„Analýza vplyvov na podnikateľské prostredie“</w:t>
            </w:r>
            <w:r w:rsidRPr="0031728F">
              <w:rPr>
                <w:rFonts w:ascii="Times New Roman" w:hAnsi="Times New Roman"/>
                <w:b/>
                <w:color w:val="000000" w:themeColor="tx1" w:themeShade="FF"/>
                <w:sz w:val="24"/>
                <w:szCs w:val="24"/>
              </w:rPr>
              <w:t>.</w:t>
            </w:r>
            <w:r w:rsidRPr="0031728F">
              <w:rPr>
                <w:rFonts w:ascii="Times New Roman" w:hAnsi="Times New Roman"/>
                <w:color w:val="000000" w:themeColor="tx1" w:themeShade="FF"/>
                <w:sz w:val="24"/>
                <w:szCs w:val="24"/>
              </w:rPr>
              <w:t xml:space="preserve"> V súvislosti s navrhovanou úpravou správnych deliktov a úpravou zákona č. 145/1995 Z. z. MDV SR neidentifikovalo žiadny vplyv na podnikateľské prostredie. Treba zdôrazniť, že navrhovaná výška pokút za nepovolenú nadmernú a nadrozmernú dopravu zodpovedá súčasnej hladine nastavenia výberu dodatočných správnych poplatkov (ktoré sa návrhom zákona zrušujú) za nepovolené dopravy z hľadiska ich výšky, čiže pre dopravcov sa prechodom na systém výberu pokút sankcionovanie nepovolenej dopravy zásadným spôsobom nemení, a to ani z hľadiska prípadných finančných nákladov.</w:t>
            </w:r>
          </w:p>
          <w:p w:rsidR="00B50DE9" w:rsidRPr="0031728F" w:rsidP="002221D3">
            <w:pPr>
              <w:bidi w:val="0"/>
              <w:spacing w:after="0" w:line="240" w:lineRule="auto"/>
              <w:jc w:val="both"/>
              <w:rPr>
                <w:rFonts w:ascii="Times New Roman" w:hAnsi="Times New Roman"/>
                <w:color w:val="000000" w:themeColor="tx1" w:themeShade="FF"/>
                <w:sz w:val="24"/>
                <w:szCs w:val="24"/>
              </w:rPr>
            </w:pPr>
          </w:p>
          <w:p w:rsidR="00B50DE9" w:rsidRPr="0031728F" w:rsidP="002221D3">
            <w:pPr>
              <w:bidi w:val="0"/>
              <w:spacing w:after="0" w:line="240" w:lineRule="auto"/>
              <w:jc w:val="both"/>
              <w:rPr>
                <w:rFonts w:ascii="Times New Roman" w:hAnsi="Times New Roman"/>
                <w:i/>
                <w:color w:val="000000" w:themeColor="tx1" w:themeShade="FF"/>
                <w:sz w:val="24"/>
                <w:szCs w:val="24"/>
              </w:rPr>
            </w:pPr>
            <w:r w:rsidRPr="0031728F">
              <w:rPr>
                <w:rFonts w:ascii="Times New Roman" w:hAnsi="Times New Roman"/>
                <w:color w:val="000000" w:themeColor="tx1" w:themeShade="FF"/>
                <w:sz w:val="24"/>
                <w:szCs w:val="24"/>
              </w:rPr>
              <w:t xml:space="preserve">3. K vplyvom na rozpočet verejnej správy: </w:t>
            </w:r>
            <w:r w:rsidRPr="0031728F">
              <w:rPr>
                <w:rFonts w:ascii="Times New Roman" w:hAnsi="Times New Roman"/>
                <w:i/>
                <w:color w:val="000000" w:themeColor="tx1" w:themeShade="FF"/>
                <w:sz w:val="24"/>
                <w:szCs w:val="24"/>
              </w:rPr>
              <w:t>„Podľa doložky vybraných vplyvov má predložený návrh negatívne vplyvy, ktoré nie sú rozpočtovo zabezpečené. V bode 10. Poznámky je uvedené, že finančné prostriedky budú nárokované pri návrhu rozpočtu na dané rozpočtové obdobie. V analýze vplyvov na rozpočet verejnej správy sú v tab. č. 1 vyčíslené v roku 2024 výdavky v sume 588 000 eur, čo je uvedené v riadku „Rozpočtové prostriedky – MDV SR (NDS, a. s., SSC)“, ostatné riadky nie sú vyplnené. Uvedené žiada Komisia doplniť.</w:t>
            </w:r>
          </w:p>
          <w:p w:rsidR="00B50DE9" w:rsidRPr="0031728F" w:rsidP="002221D3">
            <w:pPr>
              <w:bidi w:val="0"/>
              <w:spacing w:after="0" w:line="240" w:lineRule="auto"/>
              <w:jc w:val="both"/>
              <w:rPr>
                <w:rFonts w:ascii="Times New Roman" w:hAnsi="Times New Roman"/>
                <w:b/>
                <w:color w:val="000000" w:themeColor="tx1" w:themeShade="FF"/>
                <w:sz w:val="24"/>
                <w:szCs w:val="24"/>
              </w:rPr>
            </w:pPr>
            <w:r w:rsidRPr="0031728F">
              <w:rPr>
                <w:rFonts w:ascii="Times New Roman" w:hAnsi="Times New Roman"/>
                <w:i/>
                <w:color w:val="000000" w:themeColor="tx1" w:themeShade="FF"/>
                <w:sz w:val="24"/>
                <w:szCs w:val="24"/>
              </w:rPr>
              <w:t>Komisia žiada, aby všetky výdavky vyplývajúce z návrhu novely boli zabezpečené v rámci schválených limitov kapitoly MDV SR, z návrhu nevyplýval rozpočtovo nekrytý vplyv a v nadväznosti na to bola upravená doložka a analýza vplyvov na rozpočet verejnej správy.“</w:t>
            </w:r>
            <w:r w:rsidRPr="0031728F">
              <w:rPr>
                <w:rFonts w:ascii="Times New Roman" w:hAnsi="Times New Roman"/>
                <w:color w:val="000000" w:themeColor="tx1" w:themeShade="FF"/>
                <w:sz w:val="24"/>
                <w:szCs w:val="24"/>
              </w:rPr>
              <w:t xml:space="preserve"> – </w:t>
            </w:r>
            <w:r w:rsidRPr="0031728F">
              <w:rPr>
                <w:rFonts w:ascii="Times New Roman" w:hAnsi="Times New Roman"/>
                <w:b/>
                <w:color w:val="000000" w:themeColor="tx1" w:themeShade="FF"/>
                <w:sz w:val="24"/>
                <w:szCs w:val="24"/>
              </w:rPr>
              <w:t xml:space="preserve">pripomienka bola akceptovaná. Doložka a analýza vplyvov na rozpočet verejnej správy boli upravené. </w:t>
            </w:r>
          </w:p>
          <w:p w:rsidR="00B50DE9" w:rsidRPr="0031728F" w:rsidP="002221D3">
            <w:pPr>
              <w:bidi w:val="0"/>
              <w:spacing w:after="0" w:line="240" w:lineRule="auto"/>
              <w:jc w:val="both"/>
              <w:rPr>
                <w:rFonts w:ascii="Times New Roman" w:hAnsi="Times New Roman"/>
                <w:b/>
                <w:color w:val="000000" w:themeColor="tx1" w:themeShade="FF"/>
                <w:sz w:val="24"/>
                <w:szCs w:val="24"/>
              </w:rPr>
            </w:pPr>
          </w:p>
          <w:p w:rsidR="00B50DE9" w:rsidRPr="0031728F" w:rsidP="002221D3">
            <w:pPr>
              <w:bidi w:val="0"/>
              <w:spacing w:after="0" w:line="240" w:lineRule="auto"/>
              <w:jc w:val="both"/>
              <w:rPr>
                <w:rFonts w:ascii="Times New Roman" w:hAnsi="Times New Roman"/>
                <w:b/>
                <w:color w:val="000000" w:themeColor="tx1" w:themeShade="FF"/>
                <w:sz w:val="24"/>
                <w:szCs w:val="24"/>
              </w:rPr>
            </w:pPr>
          </w:p>
        </w:tc>
      </w:tr>
    </w:tbl>
    <w:p w:rsidR="00135A11"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135A11"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135A11"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135A11"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B50DE9" w:rsidRPr="0031728F" w:rsidP="007D5748">
      <w:pPr>
        <w:bidi w:val="0"/>
        <w:spacing w:after="0" w:line="240" w:lineRule="auto"/>
        <w:jc w:val="center"/>
        <w:rPr>
          <w:rFonts w:ascii="Times New Roman" w:hAnsi="Times New Roman"/>
          <w:b/>
          <w:bCs/>
          <w:color w:val="000000" w:themeColor="tx1" w:themeShade="FF"/>
          <w:sz w:val="24"/>
          <w:szCs w:val="24"/>
          <w:lang w:eastAsia="sk-SK"/>
        </w:rPr>
      </w:pPr>
    </w:p>
    <w:p w:rsidR="00135A11" w:rsidP="008D6174">
      <w:pPr>
        <w:bidi w:val="0"/>
        <w:spacing w:after="0" w:line="240" w:lineRule="auto"/>
        <w:rPr>
          <w:rFonts w:ascii="Times New Roman" w:hAnsi="Times New Roman"/>
          <w:b/>
          <w:bCs/>
          <w:color w:val="000000" w:themeColor="tx1" w:themeShade="FF"/>
          <w:sz w:val="24"/>
          <w:szCs w:val="24"/>
          <w:lang w:eastAsia="sk-SK"/>
        </w:rPr>
      </w:pPr>
    </w:p>
    <w:p w:rsidR="00787722" w:rsidP="008D6174">
      <w:pPr>
        <w:bidi w:val="0"/>
        <w:spacing w:after="0" w:line="240" w:lineRule="auto"/>
        <w:rPr>
          <w:rFonts w:ascii="Times New Roman" w:hAnsi="Times New Roman"/>
          <w:b/>
          <w:bCs/>
          <w:color w:val="000000" w:themeColor="tx1" w:themeShade="FF"/>
          <w:sz w:val="24"/>
          <w:szCs w:val="24"/>
          <w:lang w:eastAsia="sk-SK"/>
        </w:rPr>
      </w:pPr>
    </w:p>
    <w:p w:rsidR="00787722" w:rsidRPr="0031728F" w:rsidP="008D6174">
      <w:pPr>
        <w:bidi w:val="0"/>
        <w:spacing w:after="0" w:line="240" w:lineRule="auto"/>
        <w:rPr>
          <w:rFonts w:ascii="Times New Roman" w:hAnsi="Times New Roman"/>
          <w:b/>
          <w:bCs/>
          <w:color w:val="000000" w:themeColor="tx1" w:themeShade="FF"/>
          <w:sz w:val="24"/>
          <w:szCs w:val="24"/>
          <w:lang w:eastAsia="sk-SK"/>
        </w:rPr>
      </w:pPr>
    </w:p>
    <w:p w:rsidR="008D6174" w:rsidRPr="0031728F" w:rsidP="008D6174">
      <w:pPr>
        <w:bidi w:val="0"/>
        <w:spacing w:after="0" w:line="240" w:lineRule="auto"/>
        <w:rPr>
          <w:rFonts w:ascii="Times New Roman" w:hAnsi="Times New Roman"/>
          <w:b/>
          <w:bCs/>
          <w:color w:val="000000" w:themeColor="tx1" w:themeShade="FF"/>
          <w:sz w:val="24"/>
          <w:szCs w:val="24"/>
          <w:lang w:eastAsia="sk-SK"/>
        </w:rPr>
      </w:pPr>
    </w:p>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Analýza vplyvov na rozpočet verejnej správy,</w:t>
      </w:r>
    </w:p>
    <w:p w:rsidR="00E963A3" w:rsidRPr="0031728F" w:rsidP="00CE4F1F">
      <w:pPr>
        <w:bidi w:val="0"/>
        <w:spacing w:after="0" w:line="240" w:lineRule="auto"/>
        <w:jc w:val="center"/>
        <w:rPr>
          <w:rFonts w:ascii="Times New Roman" w:hAnsi="Times New Roman"/>
          <w:b/>
          <w:bCs/>
          <w:color w:val="000000" w:themeColor="tx1" w:themeShade="FF"/>
          <w:sz w:val="24"/>
          <w:szCs w:val="24"/>
          <w:lang w:eastAsia="sk-SK"/>
        </w:rPr>
      </w:pPr>
      <w:r w:rsidRPr="0031728F" w:rsidR="007D5748">
        <w:rPr>
          <w:rFonts w:ascii="Times New Roman" w:hAnsi="Times New Roman"/>
          <w:b/>
          <w:bCs/>
          <w:color w:val="000000" w:themeColor="tx1" w:themeShade="FF"/>
          <w:sz w:val="24"/>
          <w:szCs w:val="24"/>
          <w:lang w:eastAsia="sk-SK"/>
        </w:rPr>
        <w:t>na zamestnanosť vo verejn</w:t>
      </w:r>
      <w:r w:rsidR="00CE4F1F">
        <w:rPr>
          <w:rFonts w:ascii="Times New Roman" w:hAnsi="Times New Roman"/>
          <w:b/>
          <w:bCs/>
          <w:color w:val="000000" w:themeColor="tx1" w:themeShade="FF"/>
          <w:sz w:val="24"/>
          <w:szCs w:val="24"/>
          <w:lang w:eastAsia="sk-SK"/>
        </w:rPr>
        <w:t>ej správe a financovanie návrhu</w:t>
      </w:r>
    </w:p>
    <w:p w:rsidR="00E963A3" w:rsidRPr="0031728F" w:rsidP="00212894">
      <w:pPr>
        <w:bidi w:val="0"/>
        <w:spacing w:after="0" w:line="240" w:lineRule="auto"/>
        <w:rPr>
          <w:rFonts w:ascii="Times New Roman" w:hAnsi="Times New Roman"/>
          <w:b/>
          <w:bCs/>
          <w:color w:val="000000" w:themeColor="tx1" w:themeShade="FF"/>
          <w:sz w:val="24"/>
          <w:szCs w:val="24"/>
          <w:lang w:eastAsia="sk-SK"/>
        </w:rPr>
      </w:pPr>
    </w:p>
    <w:p w:rsidR="00E963A3" w:rsidRPr="0031728F" w:rsidP="00212894">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2.1 Zhrnutie vplyvov na rozpočet verejnej správy v návrhu</w:t>
      </w:r>
    </w:p>
    <w:p w:rsidR="00E963A3" w:rsidRPr="0031728F" w:rsidP="007D5748">
      <w:pPr>
        <w:bidi w:val="0"/>
        <w:spacing w:after="0" w:line="240" w:lineRule="auto"/>
        <w:jc w:val="right"/>
        <w:rPr>
          <w:rFonts w:ascii="Times New Roman" w:hAnsi="Times New Roman"/>
          <w:color w:val="000000" w:themeColor="tx1" w:themeShade="FF"/>
          <w:sz w:val="24"/>
          <w:szCs w:val="24"/>
          <w:lang w:eastAsia="sk-SK"/>
        </w:rPr>
      </w:pPr>
    </w:p>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Tabuľka č. 1 </w:t>
      </w:r>
    </w:p>
    <w:tbl>
      <w:tblPr>
        <w:tblStyle w:val="TableNormal"/>
        <w:tblW w:w="9949" w:type="dxa"/>
      </w:tblPr>
      <w:tblGrid>
        <w:gridCol w:w="123"/>
        <w:gridCol w:w="4547"/>
        <w:gridCol w:w="132"/>
        <w:gridCol w:w="1144"/>
        <w:gridCol w:w="132"/>
        <w:gridCol w:w="1143"/>
        <w:gridCol w:w="137"/>
        <w:gridCol w:w="1183"/>
        <w:gridCol w:w="132"/>
        <w:gridCol w:w="1144"/>
        <w:gridCol w:w="132"/>
      </w:tblGrid>
      <w:tr>
        <w:tblPrEx>
          <w:tblW w:w="9949" w:type="dxa"/>
        </w:tblPrEx>
        <w:trPr>
          <w:gridAfter w:val="1"/>
          <w:wAfter w:w="132" w:type="dxa"/>
          <w:trHeight w:val="194"/>
        </w:trPr>
        <w:tc>
          <w:tcPr>
            <w:tcW w:w="4670" w:type="dxa"/>
            <w:gridSpan w:val="2"/>
            <w:vMerge w:val="restart"/>
            <w:tcBorders>
              <w:top w:val="none" w:sz="0" w:space="0" w:color="auto"/>
              <w:left w:val="none" w:sz="0" w:space="0" w:color="auto"/>
              <w:bottom w:val="none" w:sz="0" w:space="0" w:color="auto"/>
              <w:right w:val="none" w:sz="0" w:space="0" w:color="auto"/>
            </w:tcBorders>
            <w:textDirection w:val="lrTb"/>
            <w:vAlign w:val="top"/>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bookmarkStart w:id="0" w:name="OLE_LINK1"/>
            <w:r w:rsidRPr="0031728F">
              <w:rPr>
                <w:rFonts w:ascii="Times New Roman" w:hAnsi="Times New Roman"/>
                <w:b/>
                <w:bCs/>
                <w:color w:val="000000" w:themeColor="tx1" w:themeShade="FF"/>
                <w:sz w:val="24"/>
                <w:szCs w:val="24"/>
                <w:lang w:eastAsia="sk-SK"/>
              </w:rPr>
              <w:t>Vplyvy na rozpočet verejnej správy</w:t>
            </w:r>
          </w:p>
        </w:tc>
        <w:tc>
          <w:tcPr>
            <w:tcW w:w="5147" w:type="dxa"/>
            <w:gridSpan w:val="8"/>
            <w:tcBorders>
              <w:top w:val="none" w:sz="0" w:space="0" w:color="auto"/>
              <w:left w:val="none" w:sz="0" w:space="0" w:color="auto"/>
              <w:bottom w:val="none" w:sz="0" w:space="0" w:color="auto"/>
              <w:right w:val="none" w:sz="0" w:space="0" w:color="auto"/>
            </w:tcBorders>
            <w:textDirection w:val="lrTb"/>
            <w:vAlign w:val="top"/>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Vplyv na rozpočet verejnej správy (v eurách)</w:t>
            </w:r>
          </w:p>
        </w:tc>
      </w:tr>
      <w:tr>
        <w:tblPrEx>
          <w:tblW w:w="9949" w:type="dxa"/>
        </w:tblPrEx>
        <w:trPr>
          <w:gridAfter w:val="1"/>
          <w:wAfter w:w="132" w:type="dxa"/>
          <w:trHeight w:val="70"/>
        </w:trPr>
        <w:tc>
          <w:tcPr>
            <w:tcW w:w="4670" w:type="dxa"/>
            <w:gridSpan w:val="2"/>
            <w:vMerge/>
            <w:tcBorders>
              <w:top w:val="none" w:sz="0" w:space="0" w:color="auto"/>
              <w:left w:val="none" w:sz="0" w:space="0" w:color="auto"/>
              <w:bottom w:val="none" w:sz="0" w:space="0" w:color="auto"/>
              <w:right w:val="none" w:sz="0" w:space="0" w:color="auto"/>
            </w:tcBorders>
            <w:textDirection w:val="lrTb"/>
            <w:vAlign w:val="top"/>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p>
        </w:tc>
        <w:tc>
          <w:tcPr>
            <w:tcW w:w="1276"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C210F2">
            <w:pPr>
              <w:bidi w:val="0"/>
              <w:spacing w:after="0" w:line="240" w:lineRule="auto"/>
              <w:jc w:val="center"/>
              <w:rPr>
                <w:rFonts w:ascii="Times New Roman" w:hAnsi="Times New Roman"/>
                <w:b/>
                <w:b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2021</w:t>
            </w:r>
          </w:p>
        </w:tc>
        <w:tc>
          <w:tcPr>
            <w:tcW w:w="1275"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C210F2">
            <w:pPr>
              <w:bidi w:val="0"/>
              <w:spacing w:after="0" w:line="240" w:lineRule="auto"/>
              <w:jc w:val="center"/>
              <w:rPr>
                <w:rFonts w:ascii="Times New Roman" w:hAnsi="Times New Roman"/>
                <w:b/>
                <w:bCs/>
                <w:color w:val="000000" w:themeColor="tx1" w:themeShade="FF"/>
                <w:sz w:val="24"/>
                <w:szCs w:val="24"/>
                <w:lang w:eastAsia="sk-SK"/>
              </w:rPr>
            </w:pPr>
            <w:r w:rsidRPr="0031728F" w:rsidR="00410EFF">
              <w:rPr>
                <w:rFonts w:ascii="Times New Roman" w:hAnsi="Times New Roman"/>
                <w:b/>
                <w:bCs/>
                <w:color w:val="000000" w:themeColor="tx1" w:themeShade="FF"/>
                <w:sz w:val="24"/>
                <w:szCs w:val="24"/>
                <w:lang w:eastAsia="sk-SK"/>
              </w:rPr>
              <w:t>20</w:t>
            </w:r>
            <w:r w:rsidRPr="0031728F" w:rsidR="00EF62AE">
              <w:rPr>
                <w:rFonts w:ascii="Times New Roman" w:hAnsi="Times New Roman"/>
                <w:b/>
                <w:bCs/>
                <w:color w:val="000000" w:themeColor="tx1" w:themeShade="FF"/>
                <w:sz w:val="24"/>
                <w:szCs w:val="24"/>
                <w:lang w:eastAsia="sk-SK"/>
              </w:rPr>
              <w:t>22</w:t>
            </w:r>
          </w:p>
        </w:tc>
        <w:tc>
          <w:tcPr>
            <w:tcW w:w="1320"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C210F2">
            <w:pPr>
              <w:bidi w:val="0"/>
              <w:spacing w:after="0" w:line="240" w:lineRule="auto"/>
              <w:jc w:val="center"/>
              <w:rPr>
                <w:rFonts w:ascii="Times New Roman" w:hAnsi="Times New Roman"/>
                <w:b/>
                <w:bCs/>
                <w:color w:val="000000" w:themeColor="tx1" w:themeShade="FF"/>
                <w:sz w:val="24"/>
                <w:szCs w:val="24"/>
                <w:lang w:eastAsia="sk-SK"/>
              </w:rPr>
            </w:pPr>
            <w:r w:rsidRPr="0031728F" w:rsidR="00410EFF">
              <w:rPr>
                <w:rFonts w:ascii="Times New Roman" w:hAnsi="Times New Roman"/>
                <w:b/>
                <w:bCs/>
                <w:color w:val="000000" w:themeColor="tx1" w:themeShade="FF"/>
                <w:sz w:val="24"/>
                <w:szCs w:val="24"/>
                <w:lang w:eastAsia="sk-SK"/>
              </w:rPr>
              <w:t>20</w:t>
            </w:r>
            <w:r w:rsidRPr="0031728F" w:rsidR="00EF62AE">
              <w:rPr>
                <w:rFonts w:ascii="Times New Roman" w:hAnsi="Times New Roman"/>
                <w:b/>
                <w:bCs/>
                <w:color w:val="000000" w:themeColor="tx1" w:themeShade="FF"/>
                <w:sz w:val="24"/>
                <w:szCs w:val="24"/>
                <w:lang w:eastAsia="sk-SK"/>
              </w:rPr>
              <w:t>23</w:t>
            </w:r>
          </w:p>
        </w:tc>
        <w:tc>
          <w:tcPr>
            <w:tcW w:w="1276"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C210F2">
            <w:pPr>
              <w:bidi w:val="0"/>
              <w:spacing w:after="0" w:line="240" w:lineRule="auto"/>
              <w:jc w:val="center"/>
              <w:rPr>
                <w:rFonts w:ascii="Times New Roman" w:hAnsi="Times New Roman"/>
                <w:b/>
                <w:bCs/>
                <w:color w:val="000000" w:themeColor="tx1" w:themeShade="FF"/>
                <w:sz w:val="24"/>
                <w:szCs w:val="24"/>
                <w:lang w:eastAsia="sk-SK"/>
              </w:rPr>
            </w:pPr>
            <w:r w:rsidRPr="0031728F" w:rsidR="00410EFF">
              <w:rPr>
                <w:rFonts w:ascii="Times New Roman" w:hAnsi="Times New Roman"/>
                <w:b/>
                <w:bCs/>
                <w:color w:val="000000" w:themeColor="tx1" w:themeShade="FF"/>
                <w:sz w:val="24"/>
                <w:szCs w:val="24"/>
                <w:lang w:eastAsia="sk-SK"/>
              </w:rPr>
              <w:t>20</w:t>
            </w:r>
            <w:r w:rsidRPr="0031728F" w:rsidR="00E50785">
              <w:rPr>
                <w:rFonts w:ascii="Times New Roman" w:hAnsi="Times New Roman"/>
                <w:b/>
                <w:bCs/>
                <w:color w:val="000000" w:themeColor="tx1" w:themeShade="FF"/>
                <w:sz w:val="24"/>
                <w:szCs w:val="24"/>
                <w:lang w:eastAsia="sk-SK"/>
              </w:rPr>
              <w:t>2</w:t>
            </w:r>
            <w:r w:rsidRPr="0031728F" w:rsidR="00EF62AE">
              <w:rPr>
                <w:rFonts w:ascii="Times New Roman" w:hAnsi="Times New Roman"/>
                <w:b/>
                <w:bCs/>
                <w:color w:val="000000" w:themeColor="tx1" w:themeShade="FF"/>
                <w:sz w:val="24"/>
                <w:szCs w:val="24"/>
                <w:lang w:eastAsia="sk-SK"/>
              </w:rPr>
              <w:t>4</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Príjmy verejnej správy celkom</w:t>
            </w:r>
          </w:p>
        </w:tc>
        <w:tc>
          <w:tcPr>
            <w:tcW w:w="1276"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656C86">
            <w:pPr>
              <w:bidi w:val="0"/>
              <w:spacing w:after="0" w:line="240" w:lineRule="auto"/>
              <w:jc w:val="right"/>
              <w:rPr>
                <w:rFonts w:ascii="Times New Roman" w:hAnsi="Times New Roman"/>
                <w:b/>
                <w:b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A6778A">
            <w:pPr>
              <w:bidi w:val="0"/>
              <w:spacing w:after="0" w:line="240" w:lineRule="auto"/>
              <w:jc w:val="right"/>
              <w:rPr>
                <w:rFonts w:ascii="Times New Roman" w:hAnsi="Times New Roman"/>
                <w:b/>
                <w:b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972364">
            <w:pPr>
              <w:bidi w:val="0"/>
              <w:spacing w:after="0" w:line="240" w:lineRule="auto"/>
              <w:jc w:val="right"/>
              <w:rPr>
                <w:rFonts w:ascii="Times New Roman" w:hAnsi="Times New Roman"/>
                <w:b/>
                <w:b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textDirection w:val="lrTb"/>
            <w:vAlign w:val="top"/>
          </w:tcPr>
          <w:p w:rsidR="007D5748" w:rsidRPr="0031728F" w:rsidP="00F969E7">
            <w:pPr>
              <w:bidi w:val="0"/>
              <w:spacing w:after="0" w:line="240" w:lineRule="auto"/>
              <w:jc w:val="right"/>
              <w:rPr>
                <w:rFonts w:ascii="Times New Roman" w:hAnsi="Times New Roman"/>
                <w:b/>
                <w:bCs/>
                <w:color w:val="000000" w:themeColor="tx1" w:themeShade="FF"/>
                <w:sz w:val="24"/>
                <w:szCs w:val="24"/>
                <w:lang w:eastAsia="sk-SK"/>
              </w:rPr>
            </w:pPr>
            <w:r w:rsidRPr="0031728F" w:rsidR="002E53C7">
              <w:rPr>
                <w:rFonts w:ascii="Times New Roman" w:hAnsi="Times New Roman"/>
                <w:b/>
                <w:bCs/>
                <w:color w:val="000000" w:themeColor="tx1" w:themeShade="FF"/>
                <w:sz w:val="24"/>
                <w:szCs w:val="24"/>
                <w:lang w:eastAsia="sk-SK"/>
              </w:rPr>
              <w:t>1</w:t>
            </w:r>
            <w:r w:rsidRPr="0031728F" w:rsidR="007130DF">
              <w:rPr>
                <w:rFonts w:ascii="Times New Roman" w:hAnsi="Times New Roman"/>
                <w:b/>
                <w:bCs/>
                <w:color w:val="000000" w:themeColor="tx1" w:themeShade="FF"/>
                <w:sz w:val="24"/>
                <w:szCs w:val="24"/>
                <w:lang w:eastAsia="sk-SK"/>
              </w:rPr>
              <w:t>4</w:t>
            </w:r>
            <w:r w:rsidRPr="0031728F" w:rsidR="00F969E7">
              <w:rPr>
                <w:rFonts w:ascii="Times New Roman" w:hAnsi="Times New Roman"/>
                <w:b/>
                <w:bCs/>
                <w:color w:val="000000" w:themeColor="tx1" w:themeShade="FF"/>
                <w:sz w:val="24"/>
                <w:szCs w:val="24"/>
                <w:lang w:eastAsia="sk-SK"/>
              </w:rPr>
              <w:t>4</w:t>
            </w:r>
            <w:r w:rsidRPr="0031728F" w:rsidR="007130DF">
              <w:rPr>
                <w:rFonts w:ascii="Times New Roman" w:hAnsi="Times New Roman"/>
                <w:b/>
                <w:bCs/>
                <w:color w:val="000000" w:themeColor="tx1" w:themeShade="FF"/>
                <w:sz w:val="24"/>
                <w:szCs w:val="24"/>
                <w:lang w:eastAsia="sk-SK"/>
              </w:rPr>
              <w:t xml:space="preserve"> </w:t>
            </w:r>
            <w:r w:rsidRPr="0031728F" w:rsidR="00F969E7">
              <w:rPr>
                <w:rFonts w:ascii="Times New Roman" w:hAnsi="Times New Roman"/>
                <w:b/>
                <w:bCs/>
                <w:color w:val="000000" w:themeColor="tx1" w:themeShade="FF"/>
                <w:sz w:val="24"/>
                <w:szCs w:val="24"/>
                <w:lang w:eastAsia="sk-SK"/>
              </w:rPr>
              <w:t>0</w:t>
            </w:r>
            <w:r w:rsidRPr="0031728F" w:rsidR="007130DF">
              <w:rPr>
                <w:rFonts w:ascii="Times New Roman" w:hAnsi="Times New Roman"/>
                <w:b/>
                <w:bCs/>
                <w:color w:val="000000" w:themeColor="tx1" w:themeShade="FF"/>
                <w:sz w:val="24"/>
                <w:szCs w:val="24"/>
                <w:lang w:eastAsia="sk-SK"/>
              </w:rPr>
              <w:t>0</w:t>
            </w:r>
            <w:r w:rsidRPr="0031728F" w:rsidR="00EF62AE">
              <w:rPr>
                <w:rFonts w:ascii="Times New Roman" w:hAnsi="Times New Roman"/>
                <w:b/>
                <w:b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xml:space="preserve">z toho:  </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ŠR</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C51FD4" w:rsidRPr="0031728F" w:rsidP="00212894">
            <w:pPr>
              <w:bidi w:val="0"/>
              <w:spacing w:after="0" w:line="240" w:lineRule="auto"/>
              <w:ind w:left="259"/>
              <w:rPr>
                <w:rFonts w:ascii="Times New Roman" w:hAnsi="Times New Roman"/>
                <w:b/>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Rozpočtové prostriedky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C51FD4"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212894">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C51FD4"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212894">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C51FD4"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212894">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C51FD4"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212894">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212894">
            <w:pPr>
              <w:bidi w:val="0"/>
              <w:spacing w:after="0" w:line="240" w:lineRule="auto"/>
              <w:ind w:left="259"/>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EÚ zdroje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obce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vyššie územné celky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ostatné subjekty verejnej správy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BE6AE2">
            <w:pPr>
              <w:bidi w:val="0"/>
              <w:spacing w:after="0" w:line="240" w:lineRule="auto"/>
              <w:jc w:val="right"/>
              <w:rPr>
                <w:rFonts w:ascii="Times New Roman" w:hAnsi="Times New Roman"/>
                <w:b/>
                <w:bCs/>
                <w:i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A6778A">
            <w:pPr>
              <w:bidi w:val="0"/>
              <w:spacing w:after="0" w:line="240" w:lineRule="auto"/>
              <w:jc w:val="right"/>
              <w:rPr>
                <w:rFonts w:ascii="Times New Roman" w:hAnsi="Times New Roman"/>
                <w:b/>
                <w:bCs/>
                <w:i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972364">
            <w:pPr>
              <w:bidi w:val="0"/>
              <w:spacing w:after="0" w:line="240" w:lineRule="auto"/>
              <w:jc w:val="right"/>
              <w:rPr>
                <w:rFonts w:ascii="Times New Roman" w:hAnsi="Times New Roman"/>
                <w:b/>
                <w:bCs/>
                <w:i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F969E7">
            <w:pPr>
              <w:bidi w:val="0"/>
              <w:spacing w:after="0" w:line="240" w:lineRule="auto"/>
              <w:jc w:val="right"/>
              <w:rPr>
                <w:rFonts w:ascii="Times New Roman" w:hAnsi="Times New Roman"/>
                <w:b/>
                <w:bCs/>
                <w:iCs/>
                <w:color w:val="000000" w:themeColor="tx1" w:themeShade="FF"/>
                <w:sz w:val="24"/>
                <w:szCs w:val="24"/>
                <w:lang w:eastAsia="sk-SK"/>
              </w:rPr>
            </w:pPr>
            <w:r w:rsidRPr="0031728F" w:rsidR="002E53C7">
              <w:rPr>
                <w:rFonts w:ascii="Times New Roman" w:hAnsi="Times New Roman"/>
                <w:b/>
                <w:bCs/>
                <w:color w:val="000000" w:themeColor="tx1" w:themeShade="FF"/>
                <w:sz w:val="24"/>
                <w:szCs w:val="24"/>
                <w:lang w:eastAsia="sk-SK"/>
              </w:rPr>
              <w:t>1</w:t>
            </w:r>
            <w:r w:rsidRPr="0031728F" w:rsidR="007130DF">
              <w:rPr>
                <w:rFonts w:ascii="Times New Roman" w:hAnsi="Times New Roman"/>
                <w:b/>
                <w:bCs/>
                <w:color w:val="000000" w:themeColor="tx1" w:themeShade="FF"/>
                <w:sz w:val="24"/>
                <w:szCs w:val="24"/>
                <w:lang w:eastAsia="sk-SK"/>
              </w:rPr>
              <w:t>4</w:t>
            </w:r>
            <w:r w:rsidRPr="0031728F" w:rsidR="00F969E7">
              <w:rPr>
                <w:rFonts w:ascii="Times New Roman" w:hAnsi="Times New Roman"/>
                <w:b/>
                <w:bCs/>
                <w:color w:val="000000" w:themeColor="tx1" w:themeShade="FF"/>
                <w:sz w:val="24"/>
                <w:szCs w:val="24"/>
                <w:lang w:eastAsia="sk-SK"/>
              </w:rPr>
              <w:t>4</w:t>
            </w:r>
            <w:r w:rsidRPr="0031728F" w:rsidR="007130DF">
              <w:rPr>
                <w:rFonts w:ascii="Times New Roman" w:hAnsi="Times New Roman"/>
                <w:b/>
                <w:bCs/>
                <w:color w:val="000000" w:themeColor="tx1" w:themeShade="FF"/>
                <w:sz w:val="24"/>
                <w:szCs w:val="24"/>
                <w:lang w:eastAsia="sk-SK"/>
              </w:rPr>
              <w:t xml:space="preserve"> </w:t>
            </w:r>
            <w:r w:rsidRPr="0031728F" w:rsidR="00F969E7">
              <w:rPr>
                <w:rFonts w:ascii="Times New Roman" w:hAnsi="Times New Roman"/>
                <w:b/>
                <w:bCs/>
                <w:color w:val="000000" w:themeColor="tx1" w:themeShade="FF"/>
                <w:sz w:val="24"/>
                <w:szCs w:val="24"/>
                <w:lang w:eastAsia="sk-SK"/>
              </w:rPr>
              <w:t>0</w:t>
            </w:r>
            <w:r w:rsidRPr="0031728F" w:rsidR="007130DF">
              <w:rPr>
                <w:rFonts w:ascii="Times New Roman" w:hAnsi="Times New Roman"/>
                <w:b/>
                <w:bCs/>
                <w:color w:val="000000" w:themeColor="tx1" w:themeShade="FF"/>
                <w:sz w:val="24"/>
                <w:szCs w:val="24"/>
                <w:lang w:eastAsia="sk-SK"/>
              </w:rPr>
              <w:t>0</w:t>
            </w:r>
            <w:r w:rsidRPr="0031728F" w:rsidR="00EF62AE">
              <w:rPr>
                <w:rFonts w:ascii="Times New Roman" w:hAnsi="Times New Roman"/>
                <w:b/>
                <w:bCs/>
                <w:color w:val="000000" w:themeColor="tx1" w:themeShade="FF"/>
                <w:sz w:val="24"/>
                <w:szCs w:val="24"/>
                <w:lang w:eastAsia="sk-SK"/>
              </w:rPr>
              <w:t>0</w:t>
            </w:r>
          </w:p>
        </w:tc>
      </w:tr>
      <w:tr>
        <w:tblPrEx>
          <w:tblW w:w="9949" w:type="dxa"/>
        </w:tblPrEx>
        <w:trPr>
          <w:gridBefore w:val="1"/>
          <w:wBefore w:w="123" w:type="dxa"/>
          <w:trHeight w:val="298"/>
        </w:trPr>
        <w:tc>
          <w:tcPr>
            <w:tcW w:w="4679"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D5748">
            <w:pPr>
              <w:bidi w:val="0"/>
              <w:spacing w:after="0" w:line="240" w:lineRule="auto"/>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Národná diaľničná spoločnosť, a.s.</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C368CC">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w:t>
            </w:r>
          </w:p>
        </w:tc>
        <w:tc>
          <w:tcPr>
            <w:tcW w:w="128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C368CC">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w:t>
            </w:r>
          </w:p>
        </w:tc>
        <w:tc>
          <w:tcPr>
            <w:tcW w:w="131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C368CC">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F969E7">
            <w:pPr>
              <w:bidi w:val="0"/>
              <w:spacing w:after="0" w:line="240" w:lineRule="auto"/>
              <w:jc w:val="center"/>
              <w:rPr>
                <w:rFonts w:ascii="Times New Roman" w:hAnsi="Times New Roman"/>
                <w:bCs/>
                <w:i/>
                <w:iCs/>
                <w:color w:val="000000" w:themeColor="tx1" w:themeShade="FF"/>
                <w:sz w:val="24"/>
                <w:szCs w:val="24"/>
                <w:lang w:eastAsia="sk-SK"/>
              </w:rPr>
            </w:pPr>
            <w:r w:rsidRPr="0031728F" w:rsidR="002E53C7">
              <w:rPr>
                <w:rFonts w:ascii="Times New Roman" w:hAnsi="Times New Roman"/>
                <w:bCs/>
                <w:i/>
                <w:iCs/>
                <w:color w:val="000000" w:themeColor="tx1" w:themeShade="FF"/>
                <w:sz w:val="24"/>
                <w:szCs w:val="24"/>
                <w:lang w:eastAsia="sk-SK"/>
              </w:rPr>
              <w:t>1</w:t>
            </w:r>
            <w:r w:rsidRPr="0031728F">
              <w:rPr>
                <w:rFonts w:ascii="Times New Roman" w:hAnsi="Times New Roman"/>
                <w:bCs/>
                <w:i/>
                <w:iCs/>
                <w:color w:val="000000" w:themeColor="tx1" w:themeShade="FF"/>
                <w:sz w:val="24"/>
                <w:szCs w:val="24"/>
                <w:lang w:eastAsia="sk-SK"/>
              </w:rPr>
              <w:t>4</w:t>
            </w:r>
            <w:r w:rsidRPr="0031728F" w:rsidR="00F969E7">
              <w:rPr>
                <w:rFonts w:ascii="Times New Roman" w:hAnsi="Times New Roman"/>
                <w:bCs/>
                <w:i/>
                <w:iCs/>
                <w:color w:val="000000" w:themeColor="tx1" w:themeShade="FF"/>
                <w:sz w:val="24"/>
                <w:szCs w:val="24"/>
                <w:lang w:eastAsia="sk-SK"/>
              </w:rPr>
              <w:t>4</w:t>
            </w:r>
            <w:r w:rsidRPr="0031728F">
              <w:rPr>
                <w:rFonts w:ascii="Times New Roman" w:hAnsi="Times New Roman"/>
                <w:bCs/>
                <w:i/>
                <w:iCs/>
                <w:color w:val="000000" w:themeColor="tx1" w:themeShade="FF"/>
                <w:sz w:val="24"/>
                <w:szCs w:val="24"/>
                <w:lang w:eastAsia="sk-SK"/>
              </w:rPr>
              <w:t xml:space="preserve"> </w:t>
            </w:r>
            <w:r w:rsidRPr="0031728F" w:rsidR="00F969E7">
              <w:rPr>
                <w:rFonts w:ascii="Times New Roman" w:hAnsi="Times New Roman"/>
                <w:bCs/>
                <w:i/>
                <w:iCs/>
                <w:color w:val="000000" w:themeColor="tx1" w:themeShade="FF"/>
                <w:sz w:val="24"/>
                <w:szCs w:val="24"/>
                <w:lang w:eastAsia="sk-SK"/>
              </w:rPr>
              <w:t>0</w:t>
            </w:r>
            <w:r w:rsidRPr="0031728F">
              <w:rPr>
                <w:rFonts w:ascii="Times New Roman" w:hAnsi="Times New Roman"/>
                <w:bCs/>
                <w:i/>
                <w:iCs/>
                <w:color w:val="000000" w:themeColor="tx1" w:themeShade="FF"/>
                <w:sz w:val="24"/>
                <w:szCs w:val="24"/>
                <w:lang w:eastAsia="sk-SK"/>
              </w:rPr>
              <w:t>00</w:t>
            </w:r>
          </w:p>
        </w:tc>
      </w:tr>
      <w:tr>
        <w:tblPrEx>
          <w:tblW w:w="9949" w:type="dxa"/>
        </w:tblPrEx>
        <w:trPr>
          <w:gridAfter w:val="1"/>
          <w:wAfter w:w="132" w:type="dxa"/>
          <w:trHeight w:val="298"/>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verejnej správy celkom</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EF62AE">
            <w:pPr>
              <w:bidi w:val="0"/>
              <w:spacing w:after="0" w:line="240" w:lineRule="auto"/>
              <w:jc w:val="right"/>
              <w:rPr>
                <w:rFonts w:ascii="Times New Roman" w:hAnsi="Times New Roman"/>
                <w:b/>
                <w:bCs/>
                <w:color w:val="000000" w:themeColor="tx1" w:themeShade="FF"/>
                <w:sz w:val="24"/>
                <w:szCs w:val="24"/>
                <w:lang w:eastAsia="sk-SK"/>
              </w:rPr>
            </w:pPr>
            <w:r w:rsidRPr="0031728F" w:rsidR="00655DAD">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BE6AE2">
            <w:pPr>
              <w:bidi w:val="0"/>
              <w:spacing w:after="0" w:line="240" w:lineRule="auto"/>
              <w:jc w:val="right"/>
              <w:rPr>
                <w:rFonts w:ascii="Times New Roman" w:hAnsi="Times New Roman"/>
                <w:b/>
                <w:bCs/>
                <w:color w:val="000000" w:themeColor="tx1" w:themeShade="FF"/>
                <w:sz w:val="24"/>
                <w:szCs w:val="24"/>
                <w:lang w:eastAsia="sk-SK"/>
              </w:rPr>
            </w:pPr>
            <w:r w:rsidRPr="0031728F" w:rsidR="0058259F">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color w:val="000000" w:themeColor="tx1" w:themeShade="FF"/>
                <w:sz w:val="24"/>
                <w:szCs w:val="24"/>
                <w:lang w:eastAsia="sk-SK"/>
              </w:rPr>
            </w:pPr>
            <w:r w:rsidRPr="0031728F" w:rsidR="00EE58B9">
              <w:rPr>
                <w:rFonts w:ascii="Times New Roman" w:hAnsi="Times New Roman"/>
                <w:b/>
                <w:bCs/>
                <w:color w:val="000000" w:themeColor="tx1" w:themeShade="FF"/>
                <w:sz w:val="24"/>
                <w:szCs w:val="24"/>
                <w:lang w:eastAsia="sk-SK"/>
              </w:rPr>
              <w:t>250 000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F969E7">
            <w:pPr>
              <w:bidi w:val="0"/>
              <w:spacing w:after="0" w:line="240" w:lineRule="auto"/>
              <w:jc w:val="right"/>
              <w:rPr>
                <w:rFonts w:ascii="Times New Roman" w:hAnsi="Times New Roman"/>
                <w:b/>
                <w:bCs/>
                <w:color w:val="000000" w:themeColor="tx1" w:themeShade="FF"/>
                <w:sz w:val="24"/>
                <w:szCs w:val="24"/>
                <w:lang w:eastAsia="sk-SK"/>
              </w:rPr>
            </w:pPr>
            <w:r w:rsidRPr="0031728F" w:rsidR="00F969E7">
              <w:rPr>
                <w:rFonts w:ascii="Times New Roman" w:hAnsi="Times New Roman"/>
                <w:b/>
                <w:bCs/>
                <w:iCs/>
                <w:color w:val="000000" w:themeColor="tx1" w:themeShade="FF"/>
                <w:sz w:val="24"/>
                <w:szCs w:val="24"/>
                <w:lang w:eastAsia="sk-SK"/>
              </w:rPr>
              <w:t>818</w:t>
            </w:r>
            <w:r w:rsidRPr="0031728F" w:rsidR="007130DF">
              <w:rPr>
                <w:rFonts w:ascii="Times New Roman" w:hAnsi="Times New Roman"/>
                <w:b/>
                <w:bCs/>
                <w:iCs/>
                <w:color w:val="000000" w:themeColor="tx1" w:themeShade="FF"/>
                <w:sz w:val="24"/>
                <w:szCs w:val="24"/>
                <w:lang w:eastAsia="sk-SK"/>
              </w:rPr>
              <w:t xml:space="preserve"> </w:t>
            </w:r>
            <w:r w:rsidRPr="0031728F" w:rsidR="00F969E7">
              <w:rPr>
                <w:rFonts w:ascii="Times New Roman" w:hAnsi="Times New Roman"/>
                <w:b/>
                <w:bCs/>
                <w:iCs/>
                <w:color w:val="000000" w:themeColor="tx1" w:themeShade="FF"/>
                <w:sz w:val="24"/>
                <w:szCs w:val="24"/>
                <w:lang w:eastAsia="sk-SK"/>
              </w:rPr>
              <w:t>26</w:t>
            </w:r>
            <w:r w:rsidRPr="0031728F" w:rsidR="007130D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xml:space="preserve">z toho: </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ŠR</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58259F">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EE58B9">
              <w:rPr>
                <w:rFonts w:ascii="Times New Roman" w:hAnsi="Times New Roman"/>
                <w:b/>
                <w:bCs/>
                <w:color w:val="000000" w:themeColor="tx1" w:themeShade="FF"/>
                <w:sz w:val="24"/>
                <w:szCs w:val="24"/>
                <w:lang w:eastAsia="sk-SK"/>
              </w:rPr>
              <w:t>250 000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F969E7">
            <w:pPr>
              <w:bidi w:val="0"/>
              <w:spacing w:after="0" w:line="240" w:lineRule="auto"/>
              <w:jc w:val="right"/>
              <w:rPr>
                <w:rFonts w:ascii="Times New Roman" w:hAnsi="Times New Roman"/>
                <w:b/>
                <w:bCs/>
                <w:iCs/>
                <w:color w:val="000000" w:themeColor="tx1" w:themeShade="FF"/>
                <w:sz w:val="24"/>
                <w:szCs w:val="24"/>
                <w:lang w:eastAsia="sk-SK"/>
              </w:rPr>
            </w:pPr>
            <w:r w:rsidRPr="0031728F" w:rsidR="0058259F">
              <w:rPr>
                <w:rFonts w:ascii="Times New Roman" w:hAnsi="Times New Roman"/>
                <w:b/>
                <w:bCs/>
                <w:iCs/>
                <w:color w:val="000000" w:themeColor="tx1" w:themeShade="FF"/>
                <w:sz w:val="24"/>
                <w:szCs w:val="24"/>
                <w:lang w:eastAsia="sk-SK"/>
              </w:rPr>
              <w:t>8</w:t>
            </w:r>
            <w:r w:rsidRPr="0031728F" w:rsidR="00F969E7">
              <w:rPr>
                <w:rFonts w:ascii="Times New Roman" w:hAnsi="Times New Roman"/>
                <w:b/>
                <w:bCs/>
                <w:iCs/>
                <w:color w:val="000000" w:themeColor="tx1" w:themeShade="FF"/>
                <w:sz w:val="24"/>
                <w:szCs w:val="24"/>
                <w:lang w:eastAsia="sk-SK"/>
              </w:rPr>
              <w:t>1</w:t>
            </w:r>
            <w:r w:rsidRPr="0031728F" w:rsidR="00153C0D">
              <w:rPr>
                <w:rFonts w:ascii="Times New Roman" w:hAnsi="Times New Roman"/>
                <w:b/>
                <w:bCs/>
                <w:iCs/>
                <w:color w:val="000000" w:themeColor="tx1" w:themeShade="FF"/>
                <w:sz w:val="24"/>
                <w:szCs w:val="24"/>
                <w:lang w:eastAsia="sk-SK"/>
              </w:rPr>
              <w:t xml:space="preserve">8 </w:t>
            </w:r>
            <w:r w:rsidRPr="0031728F" w:rsidR="00F969E7">
              <w:rPr>
                <w:rFonts w:ascii="Times New Roman" w:hAnsi="Times New Roman"/>
                <w:b/>
                <w:bCs/>
                <w:iCs/>
                <w:color w:val="000000" w:themeColor="tx1" w:themeShade="FF"/>
                <w:sz w:val="24"/>
                <w:szCs w:val="24"/>
                <w:lang w:eastAsia="sk-SK"/>
              </w:rPr>
              <w:t>26</w:t>
            </w:r>
            <w:r w:rsidRPr="0031728F" w:rsidR="00153C0D">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ind w:left="259"/>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v tom: Slovenská správa ciest (SSC)</w:t>
            </w:r>
          </w:p>
          <w:p w:rsidR="00903BD4" w:rsidRPr="0031728F" w:rsidP="00903BD4">
            <w:pPr>
              <w:bidi w:val="0"/>
              <w:spacing w:after="0" w:line="240" w:lineRule="auto"/>
              <w:ind w:left="259"/>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(0EK0L09,0530104)</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iCs/>
                <w:color w:val="000000" w:themeColor="tx1" w:themeShade="FF"/>
                <w:sz w:val="24"/>
                <w:szCs w:val="24"/>
                <w:lang w:eastAsia="sk-SK"/>
              </w:rPr>
            </w:pPr>
            <w:r w:rsidRPr="0031728F">
              <w:rPr>
                <w:rFonts w:ascii="Times New Roman" w:hAnsi="Times New Roman"/>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iCs/>
                <w:color w:val="000000" w:themeColor="tx1" w:themeShade="FF"/>
                <w:sz w:val="24"/>
                <w:szCs w:val="24"/>
                <w:lang w:eastAsia="sk-SK"/>
              </w:rPr>
            </w:pPr>
            <w:r w:rsidRPr="0031728F" w:rsidR="0058259F">
              <w:rPr>
                <w:rFonts w:ascii="Times New Roman" w:hAnsi="Times New Roman"/>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i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150 000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F969E7">
            <w:pPr>
              <w:bidi w:val="0"/>
              <w:spacing w:after="0" w:line="240" w:lineRule="auto"/>
              <w:jc w:val="right"/>
              <w:rPr>
                <w:rFonts w:ascii="Times New Roman" w:hAnsi="Times New Roman"/>
                <w:bCs/>
                <w:iCs/>
                <w:color w:val="000000" w:themeColor="tx1" w:themeShade="FF"/>
                <w:sz w:val="24"/>
                <w:szCs w:val="24"/>
                <w:lang w:eastAsia="sk-SK"/>
              </w:rPr>
            </w:pPr>
            <w:r w:rsidRPr="0031728F" w:rsidR="0058259F">
              <w:rPr>
                <w:rFonts w:ascii="Times New Roman" w:hAnsi="Times New Roman"/>
                <w:bCs/>
                <w:iCs/>
                <w:color w:val="000000" w:themeColor="tx1" w:themeShade="FF"/>
                <w:sz w:val="24"/>
                <w:szCs w:val="24"/>
                <w:lang w:eastAsia="sk-SK"/>
              </w:rPr>
              <w:t>5</w:t>
            </w:r>
            <w:r w:rsidRPr="0031728F" w:rsidR="00F969E7">
              <w:rPr>
                <w:rFonts w:ascii="Times New Roman" w:hAnsi="Times New Roman"/>
                <w:bCs/>
                <w:iCs/>
                <w:color w:val="000000" w:themeColor="tx1" w:themeShade="FF"/>
                <w:sz w:val="24"/>
                <w:szCs w:val="24"/>
                <w:lang w:eastAsia="sk-SK"/>
              </w:rPr>
              <w:t>74</w:t>
            </w:r>
            <w:r w:rsidRPr="0031728F">
              <w:rPr>
                <w:rFonts w:ascii="Times New Roman" w:hAnsi="Times New Roman"/>
                <w:bCs/>
                <w:iCs/>
                <w:color w:val="000000" w:themeColor="tx1" w:themeShade="FF"/>
                <w:sz w:val="24"/>
                <w:szCs w:val="24"/>
                <w:lang w:eastAsia="sk-SK"/>
              </w:rPr>
              <w:t xml:space="preserve"> </w:t>
            </w:r>
            <w:r w:rsidRPr="0031728F" w:rsidR="00F969E7">
              <w:rPr>
                <w:rFonts w:ascii="Times New Roman" w:hAnsi="Times New Roman"/>
                <w:bCs/>
                <w:iCs/>
                <w:color w:val="000000" w:themeColor="tx1" w:themeShade="FF"/>
                <w:sz w:val="24"/>
                <w:szCs w:val="24"/>
                <w:lang w:eastAsia="sk-SK"/>
              </w:rPr>
              <w:t>260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ind w:left="259"/>
              <w:rPr>
                <w:rFonts w:ascii="Times New Roman" w:hAnsi="Times New Roman"/>
                <w:bCs/>
                <w:i/>
                <w:iCs/>
                <w:color w:val="000000" w:themeColor="tx1" w:themeShade="FF"/>
                <w:sz w:val="24"/>
                <w:szCs w:val="24"/>
                <w:lang w:eastAsia="sk-SK"/>
              </w:rPr>
            </w:pPr>
            <w:r w:rsidRPr="0031728F" w:rsidR="007130DF">
              <w:rPr>
                <w:rFonts w:ascii="Times New Roman" w:hAnsi="Times New Roman"/>
                <w:bCs/>
                <w:i/>
                <w:iCs/>
                <w:color w:val="000000" w:themeColor="tx1" w:themeShade="FF"/>
                <w:sz w:val="24"/>
                <w:szCs w:val="24"/>
                <w:lang w:eastAsia="sk-SK"/>
              </w:rPr>
              <w:t>Úrad MDV SR (0530102)</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iCs/>
                <w:color w:val="000000" w:themeColor="tx1" w:themeShade="FF"/>
                <w:sz w:val="24"/>
                <w:szCs w:val="24"/>
                <w:lang w:eastAsia="sk-SK"/>
              </w:rPr>
            </w:pPr>
            <w:r w:rsidRPr="0031728F">
              <w:rPr>
                <w:rFonts w:ascii="Times New Roman" w:hAnsi="Times New Roman"/>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F969E7">
            <w:pPr>
              <w:bidi w:val="0"/>
              <w:spacing w:after="0" w:line="240" w:lineRule="auto"/>
              <w:jc w:val="right"/>
              <w:rPr>
                <w:rFonts w:ascii="Times New Roman" w:hAnsi="Times New Roman"/>
                <w:bCs/>
                <w:iCs/>
                <w:color w:val="000000" w:themeColor="tx1" w:themeShade="FF"/>
                <w:sz w:val="24"/>
                <w:szCs w:val="24"/>
                <w:lang w:eastAsia="sk-SK"/>
              </w:rPr>
            </w:pPr>
            <w:r w:rsidRPr="0031728F">
              <w:rPr>
                <w:rFonts w:ascii="Times New Roman" w:hAnsi="Times New Roman"/>
                <w:bCs/>
                <w:iCs/>
                <w:color w:val="000000" w:themeColor="tx1" w:themeShade="FF"/>
                <w:sz w:val="24"/>
                <w:szCs w:val="24"/>
                <w:lang w:eastAsia="sk-SK"/>
              </w:rPr>
              <w:t>14</w:t>
            </w:r>
            <w:r w:rsidRPr="0031728F" w:rsidR="00F969E7">
              <w:rPr>
                <w:rFonts w:ascii="Times New Roman" w:hAnsi="Times New Roman"/>
                <w:bCs/>
                <w:iCs/>
                <w:color w:val="000000" w:themeColor="tx1" w:themeShade="FF"/>
                <w:sz w:val="24"/>
                <w:szCs w:val="24"/>
                <w:lang w:eastAsia="sk-SK"/>
              </w:rPr>
              <w:t>4</w:t>
            </w:r>
            <w:r w:rsidRPr="0031728F">
              <w:rPr>
                <w:rFonts w:ascii="Times New Roman" w:hAnsi="Times New Roman"/>
                <w:bCs/>
                <w:iCs/>
                <w:color w:val="000000" w:themeColor="tx1" w:themeShade="FF"/>
                <w:sz w:val="24"/>
                <w:szCs w:val="24"/>
                <w:lang w:eastAsia="sk-SK"/>
              </w:rPr>
              <w:t xml:space="preserve"> </w:t>
            </w:r>
            <w:r w:rsidRPr="0031728F" w:rsidR="00F969E7">
              <w:rPr>
                <w:rFonts w:ascii="Times New Roman" w:hAnsi="Times New Roman"/>
                <w:bCs/>
                <w:iCs/>
                <w:color w:val="000000" w:themeColor="tx1" w:themeShade="FF"/>
                <w:sz w:val="24"/>
                <w:szCs w:val="24"/>
                <w:lang w:eastAsia="sk-SK"/>
              </w:rPr>
              <w:t>0</w:t>
            </w:r>
            <w:r w:rsidRPr="0031728F">
              <w:rPr>
                <w:rFonts w:ascii="Times New Roman" w:hAnsi="Times New Roman"/>
                <w:bCs/>
                <w:iCs/>
                <w:color w:val="000000" w:themeColor="tx1" w:themeShade="FF"/>
                <w:sz w:val="24"/>
                <w:szCs w:val="24"/>
                <w:lang w:eastAsia="sk-SK"/>
              </w:rPr>
              <w:t>00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ind w:left="259"/>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Úrad MDV SR (0EK0L04)</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iCs/>
                <w:color w:val="000000" w:themeColor="tx1" w:themeShade="FF"/>
                <w:sz w:val="24"/>
                <w:szCs w:val="24"/>
                <w:lang w:eastAsia="sk-SK"/>
              </w:rPr>
            </w:pPr>
            <w:r w:rsidRPr="0031728F">
              <w:rPr>
                <w:rFonts w:ascii="Times New Roman" w:hAnsi="Times New Roman"/>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color w:val="000000" w:themeColor="tx1" w:themeShade="FF"/>
                <w:sz w:val="24"/>
                <w:szCs w:val="24"/>
                <w:lang w:eastAsia="sk-SK"/>
              </w:rPr>
            </w:pPr>
            <w:r w:rsidRPr="0031728F" w:rsidR="0058259F">
              <w:rPr>
                <w:rFonts w:ascii="Times New Roman" w:hAnsi="Times New Roman"/>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100 000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903BD4" w:rsidRPr="0031728F" w:rsidP="00903BD4">
            <w:pPr>
              <w:bidi w:val="0"/>
              <w:spacing w:after="0" w:line="240" w:lineRule="auto"/>
              <w:jc w:val="right"/>
              <w:rPr>
                <w:rFonts w:ascii="Times New Roman" w:hAnsi="Times New Roman"/>
                <w:bCs/>
                <w:iCs/>
                <w:color w:val="000000" w:themeColor="tx1" w:themeShade="FF"/>
                <w:sz w:val="24"/>
                <w:szCs w:val="24"/>
                <w:lang w:eastAsia="sk-SK"/>
              </w:rPr>
            </w:pPr>
            <w:r w:rsidRPr="0031728F" w:rsidR="0058259F">
              <w:rPr>
                <w:rFonts w:ascii="Times New Roman" w:hAnsi="Times New Roman"/>
                <w:bCs/>
                <w:iCs/>
                <w:color w:val="000000" w:themeColor="tx1" w:themeShade="FF"/>
                <w:sz w:val="24"/>
                <w:szCs w:val="24"/>
                <w:lang w:eastAsia="sk-SK"/>
              </w:rPr>
              <w:t>100 00</w:t>
            </w:r>
            <w:r w:rsidRPr="0031728F">
              <w:rPr>
                <w:rFonts w:ascii="Times New Roman" w:hAnsi="Times New Roman"/>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 xml:space="preserve">    EÚ zdroje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 xml:space="preserve">    spolufinancovanie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obce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125"/>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vyššie územné celky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ostatné subjekty verejnej správy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7D5748">
            <w:pPr>
              <w:bidi w:val="0"/>
              <w:spacing w:after="0" w:line="240" w:lineRule="auto"/>
              <w:jc w:val="right"/>
              <w:rPr>
                <w:rFonts w:ascii="Times New Roman" w:hAnsi="Times New Roman"/>
                <w:b/>
                <w:bCs/>
                <w:iCs/>
                <w:color w:val="000000" w:themeColor="tx1" w:themeShade="FF"/>
                <w:sz w:val="24"/>
                <w:szCs w:val="24"/>
                <w:lang w:eastAsia="sk-SK"/>
              </w:rPr>
            </w:pPr>
            <w:r w:rsidRPr="0031728F" w:rsidR="00EF62AE">
              <w:rPr>
                <w:rFonts w:ascii="Times New Roman" w:hAnsi="Times New Roman"/>
                <w:b/>
                <w:b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D5748" w:rsidRPr="0031728F" w:rsidP="00F969E7">
            <w:pPr>
              <w:bidi w:val="0"/>
              <w:spacing w:after="0" w:line="240" w:lineRule="auto"/>
              <w:jc w:val="right"/>
              <w:rPr>
                <w:rFonts w:ascii="Times New Roman" w:hAnsi="Times New Roman"/>
                <w:b/>
                <w:bCs/>
                <w:iCs/>
                <w:color w:val="000000" w:themeColor="tx1" w:themeShade="FF"/>
                <w:sz w:val="24"/>
                <w:szCs w:val="24"/>
                <w:lang w:eastAsia="sk-SK"/>
              </w:rPr>
            </w:pPr>
            <w:r w:rsidRPr="0031728F" w:rsidR="007130DF">
              <w:rPr>
                <w:rFonts w:ascii="Times New Roman" w:hAnsi="Times New Roman"/>
                <w:b/>
                <w:bCs/>
                <w:color w:val="000000" w:themeColor="tx1" w:themeShade="FF"/>
                <w:sz w:val="24"/>
                <w:szCs w:val="24"/>
                <w:lang w:eastAsia="sk-SK"/>
              </w:rPr>
              <w:t>14</w:t>
            </w:r>
            <w:r w:rsidRPr="0031728F" w:rsidR="00F969E7">
              <w:rPr>
                <w:rFonts w:ascii="Times New Roman" w:hAnsi="Times New Roman"/>
                <w:b/>
                <w:bCs/>
                <w:color w:val="000000" w:themeColor="tx1" w:themeShade="FF"/>
                <w:sz w:val="24"/>
                <w:szCs w:val="24"/>
                <w:lang w:eastAsia="sk-SK"/>
              </w:rPr>
              <w:t>4</w:t>
            </w:r>
            <w:r w:rsidRPr="0031728F" w:rsidR="007130DF">
              <w:rPr>
                <w:rFonts w:ascii="Times New Roman" w:hAnsi="Times New Roman"/>
                <w:b/>
                <w:bCs/>
                <w:color w:val="000000" w:themeColor="tx1" w:themeShade="FF"/>
                <w:sz w:val="24"/>
                <w:szCs w:val="24"/>
                <w:lang w:eastAsia="sk-SK"/>
              </w:rPr>
              <w:t xml:space="preserve"> </w:t>
            </w:r>
            <w:r w:rsidRPr="0031728F" w:rsidR="00F969E7">
              <w:rPr>
                <w:rFonts w:ascii="Times New Roman" w:hAnsi="Times New Roman"/>
                <w:b/>
                <w:bCs/>
                <w:color w:val="000000" w:themeColor="tx1" w:themeShade="FF"/>
                <w:sz w:val="24"/>
                <w:szCs w:val="24"/>
                <w:lang w:eastAsia="sk-SK"/>
              </w:rPr>
              <w:t>0</w:t>
            </w:r>
            <w:r w:rsidRPr="0031728F" w:rsidR="007130DF">
              <w:rPr>
                <w:rFonts w:ascii="Times New Roman" w:hAnsi="Times New Roman"/>
                <w:b/>
                <w:bCs/>
                <w:color w:val="000000" w:themeColor="tx1" w:themeShade="FF"/>
                <w:sz w:val="24"/>
                <w:szCs w:val="24"/>
                <w:lang w:eastAsia="sk-SK"/>
              </w:rPr>
              <w:t>0</w:t>
            </w:r>
            <w:r w:rsidRPr="0031728F" w:rsidR="00EF62AE">
              <w:rPr>
                <w:rFonts w:ascii="Times New Roman" w:hAnsi="Times New Roman"/>
                <w:b/>
                <w:bCs/>
                <w:color w:val="000000" w:themeColor="tx1" w:themeShade="FF"/>
                <w:sz w:val="24"/>
                <w:szCs w:val="24"/>
                <w:lang w:eastAsia="sk-SK"/>
              </w:rPr>
              <w:t>0</w:t>
            </w:r>
          </w:p>
        </w:tc>
      </w:tr>
      <w:tr>
        <w:tblPrEx>
          <w:tblW w:w="9949" w:type="dxa"/>
        </w:tblPrEx>
        <w:trPr>
          <w:gridBefore w:val="1"/>
          <w:wBefore w:w="123" w:type="dxa"/>
          <w:trHeight w:val="298"/>
        </w:trPr>
        <w:tc>
          <w:tcPr>
            <w:tcW w:w="4679" w:type="dxa"/>
            <w:gridSpan w:val="2"/>
            <w:tcBorders>
              <w:top w:val="single" w:sz="4" w:space="0" w:color="auto"/>
              <w:left w:val="single" w:sz="4" w:space="0" w:color="auto"/>
              <w:bottom w:val="single" w:sz="4" w:space="0" w:color="auto"/>
              <w:right w:val="single" w:sz="4" w:space="0" w:color="auto"/>
            </w:tcBorders>
            <w:noWrap/>
            <w:textDirection w:val="lrTb"/>
            <w:vAlign w:val="top"/>
          </w:tcPr>
          <w:p w:rsidR="00C368CC" w:rsidRPr="0031728F" w:rsidP="006B364C">
            <w:pPr>
              <w:bidi w:val="0"/>
              <w:spacing w:after="0" w:line="240" w:lineRule="auto"/>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Národná diaľničná spoločnosť, a.s.</w:t>
            </w:r>
          </w:p>
        </w:tc>
        <w:tc>
          <w:tcPr>
            <w:tcW w:w="1276" w:type="dxa"/>
            <w:gridSpan w:val="2"/>
            <w:tcBorders>
              <w:top w:val="single" w:sz="4" w:space="0" w:color="auto"/>
              <w:left w:val="single" w:sz="4" w:space="0" w:color="auto"/>
              <w:bottom w:val="single" w:sz="4" w:space="0" w:color="auto"/>
              <w:right w:val="single" w:sz="4" w:space="0" w:color="auto"/>
            </w:tcBorders>
            <w:noWrap/>
            <w:textDirection w:val="lrTb"/>
            <w:vAlign w:val="top"/>
          </w:tcPr>
          <w:p w:rsidR="00C368CC" w:rsidRPr="0031728F" w:rsidP="006B364C">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w:t>
            </w:r>
          </w:p>
        </w:tc>
        <w:tc>
          <w:tcPr>
            <w:tcW w:w="1280" w:type="dxa"/>
            <w:gridSpan w:val="2"/>
            <w:tcBorders>
              <w:top w:val="single" w:sz="4" w:space="0" w:color="auto"/>
              <w:left w:val="single" w:sz="4" w:space="0" w:color="auto"/>
              <w:bottom w:val="single" w:sz="4" w:space="0" w:color="auto"/>
              <w:right w:val="single" w:sz="4" w:space="0" w:color="auto"/>
            </w:tcBorders>
            <w:noWrap/>
            <w:textDirection w:val="lrTb"/>
            <w:vAlign w:val="top"/>
          </w:tcPr>
          <w:p w:rsidR="00C368CC" w:rsidRPr="0031728F" w:rsidP="006B364C">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w:t>
            </w:r>
          </w:p>
        </w:tc>
        <w:tc>
          <w:tcPr>
            <w:tcW w:w="1315" w:type="dxa"/>
            <w:gridSpan w:val="2"/>
            <w:tcBorders>
              <w:top w:val="single" w:sz="4" w:space="0" w:color="auto"/>
              <w:left w:val="single" w:sz="4" w:space="0" w:color="auto"/>
              <w:bottom w:val="single" w:sz="4" w:space="0" w:color="auto"/>
              <w:right w:val="single" w:sz="4" w:space="0" w:color="auto"/>
            </w:tcBorders>
            <w:noWrap/>
            <w:textDirection w:val="lrTb"/>
            <w:vAlign w:val="top"/>
          </w:tcPr>
          <w:p w:rsidR="00C368CC" w:rsidRPr="0031728F" w:rsidP="006B364C">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0</w:t>
            </w:r>
          </w:p>
        </w:tc>
        <w:tc>
          <w:tcPr>
            <w:tcW w:w="1276" w:type="dxa"/>
            <w:gridSpan w:val="2"/>
            <w:tcBorders>
              <w:top w:val="single" w:sz="4" w:space="0" w:color="auto"/>
              <w:left w:val="single" w:sz="4" w:space="0" w:color="auto"/>
              <w:bottom w:val="single" w:sz="4" w:space="0" w:color="auto"/>
              <w:right w:val="single" w:sz="4" w:space="0" w:color="auto"/>
            </w:tcBorders>
            <w:noWrap/>
            <w:textDirection w:val="lrTb"/>
            <w:vAlign w:val="top"/>
          </w:tcPr>
          <w:p w:rsidR="00C368CC" w:rsidRPr="0031728F" w:rsidP="00F969E7">
            <w:pPr>
              <w:bidi w:val="0"/>
              <w:spacing w:after="0" w:line="240" w:lineRule="auto"/>
              <w:jc w:val="right"/>
              <w:rPr>
                <w:rFonts w:ascii="Times New Roman" w:hAnsi="Times New Roman"/>
                <w:bCs/>
                <w:i/>
                <w:iCs/>
                <w:color w:val="000000" w:themeColor="tx1" w:themeShade="FF"/>
                <w:sz w:val="24"/>
                <w:szCs w:val="24"/>
                <w:lang w:eastAsia="sk-SK"/>
              </w:rPr>
            </w:pPr>
            <w:r w:rsidRPr="0031728F">
              <w:rPr>
                <w:rFonts w:ascii="Times New Roman" w:hAnsi="Times New Roman"/>
                <w:bCs/>
                <w:i/>
                <w:iCs/>
                <w:color w:val="000000" w:themeColor="tx1" w:themeShade="FF"/>
                <w:sz w:val="24"/>
                <w:szCs w:val="24"/>
                <w:lang w:eastAsia="sk-SK"/>
              </w:rPr>
              <w:t>14</w:t>
            </w:r>
            <w:r w:rsidRPr="0031728F" w:rsidR="00F969E7">
              <w:rPr>
                <w:rFonts w:ascii="Times New Roman" w:hAnsi="Times New Roman"/>
                <w:bCs/>
                <w:i/>
                <w:iCs/>
                <w:color w:val="000000" w:themeColor="tx1" w:themeShade="FF"/>
                <w:sz w:val="24"/>
                <w:szCs w:val="24"/>
                <w:lang w:eastAsia="sk-SK"/>
              </w:rPr>
              <w:t>4</w:t>
            </w:r>
            <w:r w:rsidRPr="0031728F">
              <w:rPr>
                <w:rFonts w:ascii="Times New Roman" w:hAnsi="Times New Roman"/>
                <w:bCs/>
                <w:i/>
                <w:iCs/>
                <w:color w:val="000000" w:themeColor="tx1" w:themeShade="FF"/>
                <w:sz w:val="24"/>
                <w:szCs w:val="24"/>
                <w:lang w:eastAsia="sk-SK"/>
              </w:rPr>
              <w:t xml:space="preserve"> </w:t>
            </w:r>
            <w:r w:rsidRPr="0031728F" w:rsidR="00F969E7">
              <w:rPr>
                <w:rFonts w:ascii="Times New Roman" w:hAnsi="Times New Roman"/>
                <w:bCs/>
                <w:i/>
                <w:iCs/>
                <w:color w:val="000000" w:themeColor="tx1" w:themeShade="FF"/>
                <w:sz w:val="24"/>
                <w:szCs w:val="24"/>
                <w:lang w:eastAsia="sk-SK"/>
              </w:rPr>
              <w:t>0</w:t>
            </w:r>
            <w:r w:rsidRPr="0031728F">
              <w:rPr>
                <w:rFonts w:ascii="Times New Roman" w:hAnsi="Times New Roman"/>
                <w:bCs/>
                <w:i/>
                <w:iCs/>
                <w:color w:val="000000" w:themeColor="tx1" w:themeShade="FF"/>
                <w:sz w:val="24"/>
                <w:szCs w:val="24"/>
                <w:lang w:eastAsia="sk-SK"/>
              </w:rPr>
              <w:t>00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ŠR</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obce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vyššie územné celky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ostatné subjekty verejnej správy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color w:val="000000" w:themeColor="tx1" w:themeShade="FF"/>
                <w:sz w:val="24"/>
                <w:szCs w:val="24"/>
                <w:lang w:eastAsia="sk-SK"/>
              </w:rPr>
            </w:pPr>
            <w:r w:rsidRPr="0031728F">
              <w:rPr>
                <w:rFonts w:ascii="Times New Roman" w:hAnsi="Times New Roman"/>
                <w:b/>
                <w:color w:val="000000" w:themeColor="tx1" w:themeShade="FF"/>
                <w:sz w:val="24"/>
                <w:szCs w:val="24"/>
                <w:lang w:eastAsia="sk-SK"/>
              </w:rPr>
              <w:t>Vplyv na mzdové výdavky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color w:val="000000" w:themeColor="tx1" w:themeShade="FF"/>
                <w:sz w:val="24"/>
                <w:szCs w:val="24"/>
                <w:lang w:eastAsia="sk-SK"/>
              </w:rPr>
            </w:pPr>
            <w:r w:rsidRPr="0031728F">
              <w:rPr>
                <w:rFonts w:ascii="Times New Roman" w:hAnsi="Times New Roman"/>
                <w:b/>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color w:val="000000" w:themeColor="tx1" w:themeShade="FF"/>
                <w:sz w:val="24"/>
                <w:szCs w:val="24"/>
                <w:lang w:eastAsia="sk-SK"/>
              </w:rPr>
            </w:pPr>
            <w:r w:rsidRPr="0031728F">
              <w:rPr>
                <w:rFonts w:ascii="Times New Roman" w:hAnsi="Times New Roman"/>
                <w:b/>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color w:val="000000" w:themeColor="tx1" w:themeShade="FF"/>
                <w:sz w:val="24"/>
                <w:szCs w:val="24"/>
                <w:lang w:eastAsia="sk-SK"/>
              </w:rPr>
            </w:pPr>
            <w:r w:rsidRPr="0031728F">
              <w:rPr>
                <w:rFonts w:ascii="Times New Roman" w:hAnsi="Times New Roman"/>
                <w:b/>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color w:val="000000" w:themeColor="tx1" w:themeShade="FF"/>
                <w:sz w:val="24"/>
                <w:szCs w:val="24"/>
                <w:lang w:eastAsia="sk-SK"/>
              </w:rPr>
            </w:pPr>
            <w:r w:rsidRPr="0031728F">
              <w:rPr>
                <w:rFonts w:ascii="Times New Roman" w:hAnsi="Times New Roman"/>
                <w:b/>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ŠR</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obce</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i/>
                <w:i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vyššie územné celky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i/>
                <w:iCs/>
                <w:color w:val="000000" w:themeColor="tx1" w:themeShade="FF"/>
                <w:sz w:val="24"/>
                <w:szCs w:val="24"/>
                <w:lang w:eastAsia="sk-SK"/>
              </w:rPr>
              <w:t>- vplyv na ostatné subjekty verejnej správy</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iCs/>
                <w:color w:val="000000" w:themeColor="tx1" w:themeShade="FF"/>
                <w:sz w:val="24"/>
                <w:szCs w:val="24"/>
                <w:lang w:eastAsia="sk-SK"/>
              </w:rPr>
            </w:pPr>
            <w:r w:rsidRPr="0031728F">
              <w:rPr>
                <w:rFonts w:ascii="Times New Roman" w:hAnsi="Times New Roman"/>
                <w:b/>
                <w:bCs/>
                <w:i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xml:space="preserve">Financovanie zabezpečené v rozpočte </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sidR="0058259F">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250 000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F969E7">
            <w:pPr>
              <w:bidi w:val="0"/>
              <w:spacing w:after="0" w:line="240" w:lineRule="auto"/>
              <w:jc w:val="right"/>
              <w:rPr>
                <w:rFonts w:ascii="Times New Roman" w:hAnsi="Times New Roman"/>
                <w:b/>
                <w:bCs/>
                <w:color w:val="000000" w:themeColor="tx1" w:themeShade="FF"/>
                <w:sz w:val="24"/>
                <w:szCs w:val="24"/>
                <w:lang w:eastAsia="sk-SK"/>
              </w:rPr>
            </w:pPr>
            <w:r w:rsidRPr="0031728F" w:rsidR="0058259F">
              <w:rPr>
                <w:rFonts w:ascii="Times New Roman" w:hAnsi="Times New Roman"/>
                <w:b/>
                <w:bCs/>
                <w:color w:val="000000" w:themeColor="tx1" w:themeShade="FF"/>
                <w:sz w:val="24"/>
                <w:szCs w:val="24"/>
                <w:lang w:eastAsia="sk-SK"/>
              </w:rPr>
              <w:t>8</w:t>
            </w:r>
            <w:r w:rsidRPr="0031728F" w:rsidR="00F969E7">
              <w:rPr>
                <w:rFonts w:ascii="Times New Roman" w:hAnsi="Times New Roman"/>
                <w:b/>
                <w:bCs/>
                <w:color w:val="000000" w:themeColor="tx1" w:themeShade="FF"/>
                <w:sz w:val="24"/>
                <w:szCs w:val="24"/>
                <w:lang w:eastAsia="sk-SK"/>
              </w:rPr>
              <w:t>1</w:t>
            </w:r>
            <w:r w:rsidRPr="0031728F" w:rsidR="0069023C">
              <w:rPr>
                <w:rFonts w:ascii="Times New Roman" w:hAnsi="Times New Roman"/>
                <w:b/>
                <w:bCs/>
                <w:color w:val="000000" w:themeColor="tx1" w:themeShade="FF"/>
                <w:sz w:val="24"/>
                <w:szCs w:val="24"/>
                <w:lang w:eastAsia="sk-SK"/>
              </w:rPr>
              <w:t xml:space="preserve">8 </w:t>
            </w:r>
            <w:r w:rsidRPr="0031728F" w:rsidR="00F969E7">
              <w:rPr>
                <w:rFonts w:ascii="Times New Roman" w:hAnsi="Times New Roman"/>
                <w:b/>
                <w:bCs/>
                <w:color w:val="000000" w:themeColor="tx1" w:themeShade="FF"/>
                <w:sz w:val="24"/>
                <w:szCs w:val="24"/>
                <w:lang w:eastAsia="sk-SK"/>
              </w:rPr>
              <w:t>26</w:t>
            </w:r>
            <w:r w:rsidRPr="0031728F" w:rsidR="0069023C">
              <w:rPr>
                <w:rFonts w:ascii="Times New Roman" w:hAnsi="Times New Roman"/>
                <w:b/>
                <w:b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v tom: SSC</w:t>
            </w:r>
          </w:p>
          <w:p w:rsidR="007130DF" w:rsidRPr="0031728F" w:rsidP="007130DF">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MDV SR</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color w:val="000000" w:themeColor="tx1" w:themeShade="FF"/>
                <w:sz w:val="24"/>
                <w:szCs w:val="24"/>
                <w:lang w:eastAsia="sk-SK"/>
              </w:rPr>
            </w:pPr>
            <w:r w:rsidRPr="0031728F" w:rsidR="0058259F">
              <w:rPr>
                <w:rFonts w:ascii="Times New Roman" w:hAnsi="Times New Roman"/>
                <w:color w:val="000000" w:themeColor="tx1" w:themeShade="FF"/>
                <w:sz w:val="24"/>
                <w:szCs w:val="24"/>
                <w:lang w:eastAsia="sk-SK"/>
              </w:rPr>
              <w:t>0</w:t>
            </w:r>
          </w:p>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sidR="0058259F">
              <w:rPr>
                <w:rFonts w:ascii="Times New Roman" w:hAnsi="Times New Roman"/>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150 000</w:t>
            </w:r>
          </w:p>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color w:val="000000" w:themeColor="tx1" w:themeShade="FF"/>
                <w:sz w:val="24"/>
                <w:szCs w:val="24"/>
                <w:lang w:eastAsia="sk-SK"/>
              </w:rPr>
              <w:t>100 000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Cs/>
                <w:color w:val="000000" w:themeColor="tx1" w:themeShade="FF"/>
                <w:sz w:val="24"/>
                <w:szCs w:val="24"/>
                <w:lang w:eastAsia="sk-SK"/>
              </w:rPr>
            </w:pPr>
            <w:r w:rsidRPr="0031728F" w:rsidR="0058259F">
              <w:rPr>
                <w:rFonts w:ascii="Times New Roman" w:hAnsi="Times New Roman"/>
                <w:bCs/>
                <w:color w:val="000000" w:themeColor="tx1" w:themeShade="FF"/>
                <w:sz w:val="24"/>
                <w:szCs w:val="24"/>
                <w:lang w:eastAsia="sk-SK"/>
              </w:rPr>
              <w:t>58</w:t>
            </w:r>
            <w:r w:rsidRPr="0031728F" w:rsidR="00E95512">
              <w:rPr>
                <w:rFonts w:ascii="Times New Roman" w:hAnsi="Times New Roman"/>
                <w:bCs/>
                <w:color w:val="000000" w:themeColor="tx1" w:themeShade="FF"/>
                <w:sz w:val="24"/>
                <w:szCs w:val="24"/>
                <w:lang w:eastAsia="sk-SK"/>
              </w:rPr>
              <w:t>9 200</w:t>
            </w:r>
          </w:p>
          <w:p w:rsidR="007130DF" w:rsidRPr="0031728F" w:rsidP="007130DF">
            <w:pPr>
              <w:bidi w:val="0"/>
              <w:spacing w:after="0" w:line="240" w:lineRule="auto"/>
              <w:jc w:val="right"/>
              <w:rPr>
                <w:rFonts w:ascii="Times New Roman" w:hAnsi="Times New Roman"/>
                <w:bCs/>
                <w:color w:val="000000" w:themeColor="tx1" w:themeShade="FF"/>
                <w:sz w:val="24"/>
                <w:szCs w:val="24"/>
                <w:lang w:eastAsia="sk-SK"/>
              </w:rPr>
            </w:pPr>
            <w:r w:rsidRPr="0031728F" w:rsidR="0058259F">
              <w:rPr>
                <w:rFonts w:ascii="Times New Roman" w:hAnsi="Times New Roman"/>
                <w:bCs/>
                <w:color w:val="000000" w:themeColor="tx1" w:themeShade="FF"/>
                <w:sz w:val="24"/>
                <w:szCs w:val="24"/>
                <w:lang w:eastAsia="sk-SK"/>
              </w:rPr>
              <w:t>100 00</w:t>
            </w:r>
            <w:r w:rsidRPr="0031728F">
              <w:rPr>
                <w:rFonts w:ascii="Times New Roman" w:hAnsi="Times New Roman"/>
                <w:b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color w:val="000000" w:themeColor="tx1" w:themeShade="FF"/>
                <w:sz w:val="24"/>
                <w:szCs w:val="24"/>
                <w:lang w:eastAsia="sk-SK"/>
              </w:rPr>
            </w:pPr>
            <w:r w:rsidRPr="0031728F">
              <w:rPr>
                <w:rFonts w:ascii="Times New Roman" w:hAnsi="Times New Roman"/>
                <w:b/>
                <w:color w:val="000000" w:themeColor="tx1" w:themeShade="FF"/>
                <w:sz w:val="24"/>
                <w:szCs w:val="24"/>
                <w:lang w:eastAsia="sk-SK"/>
              </w:rPr>
              <w:t xml:space="preserve">Iné ako rozpočtové zdroje </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r>
      <w:tr>
        <w:tblPrEx>
          <w:tblW w:w="9949" w:type="dxa"/>
        </w:tblPrEx>
        <w:trPr>
          <w:gridAfter w:val="1"/>
          <w:wAfter w:w="132" w:type="dxa"/>
          <w:trHeight w:val="70"/>
        </w:trPr>
        <w:tc>
          <w:tcPr>
            <w:tcW w:w="467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xml:space="preserve">Rozpočtovo nekrytý vplyv / </w:t>
            </w:r>
            <w:r w:rsidRPr="0031728F">
              <w:rPr>
                <w:rFonts w:ascii="Times New Roman" w:hAnsi="Times New Roman"/>
                <w:b/>
                <w:bCs/>
                <w:strike/>
                <w:color w:val="000000" w:themeColor="tx1" w:themeShade="FF"/>
                <w:sz w:val="24"/>
                <w:szCs w:val="24"/>
                <w:lang w:eastAsia="sk-SK"/>
              </w:rPr>
              <w:t>úspora</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275"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320"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276" w:type="dxa"/>
            <w:gridSpan w:val="2"/>
            <w:tcBorders>
              <w:top w:val="none" w:sz="0" w:space="0" w:color="auto"/>
              <w:left w:val="none" w:sz="0" w:space="0" w:color="auto"/>
              <w:bottom w:val="none" w:sz="0" w:space="0" w:color="auto"/>
              <w:right w:val="none" w:sz="0" w:space="0" w:color="auto"/>
            </w:tcBorders>
            <w:noWrap/>
            <w:textDirection w:val="lrTb"/>
            <w:vAlign w:val="top"/>
          </w:tcPr>
          <w:p w:rsidR="007130DF" w:rsidRPr="0031728F" w:rsidP="007130DF">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r>
    </w:tbl>
    <w:p w:rsidR="007D5748" w:rsidRPr="0031728F" w:rsidP="007D5748">
      <w:pPr>
        <w:bidi w:val="0"/>
        <w:spacing w:after="0" w:line="240" w:lineRule="auto"/>
        <w:rPr>
          <w:rFonts w:ascii="Times New Roman" w:hAnsi="Times New Roman"/>
          <w:b/>
          <w:bCs/>
          <w:color w:val="000000" w:themeColor="tx1" w:themeShade="FF"/>
          <w:sz w:val="24"/>
          <w:szCs w:val="24"/>
          <w:lang w:eastAsia="sk-SK"/>
        </w:rPr>
      </w:pPr>
      <w:bookmarkEnd w:id="0"/>
    </w:p>
    <w:p w:rsidR="00E963A3" w:rsidRPr="0031728F">
      <w:pPr>
        <w:bidi w:val="0"/>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br w:type="page"/>
      </w:r>
    </w:p>
    <w:p w:rsidR="007D5748" w:rsidRPr="0031728F" w:rsidP="007D5748">
      <w:pPr>
        <w:bidi w:val="0"/>
        <w:spacing w:after="0" w:line="240" w:lineRule="auto"/>
        <w:jc w:val="both"/>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2.1.1. Financovanie návrhu - Návrh na riešenie úbytku príjmov alebo zvýšených výdavkov podľa § 33 ods. 1 zákona č. 523/2004 Z. z. o rozpočtov</w:t>
      </w:r>
      <w:r w:rsidR="00CE4F1F">
        <w:rPr>
          <w:rFonts w:ascii="Times New Roman" w:hAnsi="Times New Roman"/>
          <w:b/>
          <w:bCs/>
          <w:color w:val="000000" w:themeColor="tx1" w:themeShade="FF"/>
          <w:sz w:val="24"/>
          <w:szCs w:val="24"/>
          <w:lang w:eastAsia="sk-SK"/>
        </w:rPr>
        <w:t>ých pravidlách verejnej správy:</w:t>
      </w:r>
    </w:p>
    <w:p w:rsidR="00EE58B9" w:rsidRPr="0031728F" w:rsidP="002C1073">
      <w:pPr>
        <w:pBdr>
          <w:top w:val="single" w:sz="4" w:space="1" w:color="auto"/>
          <w:left w:val="single" w:sz="4" w:space="4" w:color="auto"/>
          <w:bottom w:val="single" w:sz="4" w:space="0" w:color="auto"/>
          <w:right w:val="single" w:sz="4" w:space="4" w:color="auto"/>
        </w:pBdr>
        <w:bidi w:val="0"/>
        <w:spacing w:after="0" w:line="240" w:lineRule="auto"/>
        <w:ind w:firstLine="708"/>
        <w:jc w:val="both"/>
        <w:rPr>
          <w:rFonts w:ascii="Times New Roman" w:hAnsi="Times New Roman"/>
          <w:b/>
          <w:color w:val="000000" w:themeColor="tx1" w:themeShade="FF"/>
          <w:sz w:val="24"/>
          <w:szCs w:val="24"/>
        </w:rPr>
      </w:pPr>
      <w:r w:rsidRPr="0031728F" w:rsidR="00EF62AE">
        <w:rPr>
          <w:rFonts w:ascii="Times New Roman" w:hAnsi="Times New Roman"/>
          <w:b/>
          <w:color w:val="000000" w:themeColor="tx1" w:themeShade="FF"/>
          <w:sz w:val="24"/>
          <w:szCs w:val="24"/>
        </w:rPr>
        <w:t>Predkladaný návrh zákona predpokladá negatívny vplyv na rozpočet verejnej správy v rok</w:t>
      </w:r>
      <w:r w:rsidRPr="0031728F" w:rsidR="004C5A57">
        <w:rPr>
          <w:rFonts w:ascii="Times New Roman" w:hAnsi="Times New Roman"/>
          <w:b/>
          <w:color w:val="000000" w:themeColor="tx1" w:themeShade="FF"/>
          <w:sz w:val="24"/>
          <w:szCs w:val="24"/>
        </w:rPr>
        <w:t>u</w:t>
      </w:r>
      <w:r w:rsidRPr="0031728F" w:rsidR="00EF62AE">
        <w:rPr>
          <w:rFonts w:ascii="Times New Roman" w:hAnsi="Times New Roman"/>
          <w:b/>
          <w:color w:val="000000" w:themeColor="tx1" w:themeShade="FF"/>
          <w:sz w:val="24"/>
          <w:szCs w:val="24"/>
        </w:rPr>
        <w:t xml:space="preserve"> 2024</w:t>
      </w:r>
      <w:r w:rsidRPr="0031728F" w:rsidR="007130DF">
        <w:rPr>
          <w:rFonts w:ascii="Times New Roman" w:hAnsi="Times New Roman"/>
          <w:b/>
          <w:color w:val="000000" w:themeColor="tx1" w:themeShade="FF"/>
          <w:sz w:val="24"/>
          <w:szCs w:val="24"/>
        </w:rPr>
        <w:t xml:space="preserve"> vo výške 5</w:t>
      </w:r>
      <w:r w:rsidRPr="0031728F" w:rsidR="00F969E7">
        <w:rPr>
          <w:rFonts w:ascii="Times New Roman" w:hAnsi="Times New Roman"/>
          <w:b/>
          <w:color w:val="000000" w:themeColor="tx1" w:themeShade="FF"/>
          <w:sz w:val="24"/>
          <w:szCs w:val="24"/>
        </w:rPr>
        <w:t>68</w:t>
      </w:r>
      <w:r w:rsidRPr="0031728F" w:rsidR="007130DF">
        <w:rPr>
          <w:rFonts w:ascii="Times New Roman" w:hAnsi="Times New Roman"/>
          <w:b/>
          <w:color w:val="000000" w:themeColor="tx1" w:themeShade="FF"/>
          <w:sz w:val="24"/>
          <w:szCs w:val="24"/>
        </w:rPr>
        <w:t> </w:t>
      </w:r>
      <w:r w:rsidRPr="0031728F" w:rsidR="00F969E7">
        <w:rPr>
          <w:rFonts w:ascii="Times New Roman" w:hAnsi="Times New Roman"/>
          <w:b/>
          <w:color w:val="000000" w:themeColor="tx1" w:themeShade="FF"/>
          <w:sz w:val="24"/>
          <w:szCs w:val="24"/>
        </w:rPr>
        <w:t>26</w:t>
      </w:r>
      <w:r w:rsidRPr="0031728F" w:rsidR="007130DF">
        <w:rPr>
          <w:rFonts w:ascii="Times New Roman" w:hAnsi="Times New Roman"/>
          <w:b/>
          <w:color w:val="000000" w:themeColor="tx1" w:themeShade="FF"/>
          <w:sz w:val="24"/>
          <w:szCs w:val="24"/>
        </w:rPr>
        <w:t xml:space="preserve">0,00 </w:t>
      </w:r>
      <w:r w:rsidRPr="0031728F" w:rsidR="00F969E7">
        <w:rPr>
          <w:rFonts w:ascii="Times New Roman" w:hAnsi="Times New Roman"/>
          <w:b/>
          <w:color w:val="000000" w:themeColor="tx1" w:themeShade="FF"/>
          <w:sz w:val="24"/>
          <w:szCs w:val="24"/>
        </w:rPr>
        <w:t>EUR</w:t>
      </w:r>
      <w:r w:rsidRPr="0031728F" w:rsidR="00523630">
        <w:rPr>
          <w:rFonts w:ascii="Times New Roman" w:hAnsi="Times New Roman"/>
          <w:b/>
          <w:color w:val="000000" w:themeColor="tx1" w:themeShade="FF"/>
          <w:sz w:val="24"/>
          <w:szCs w:val="24"/>
        </w:rPr>
        <w:t xml:space="preserve">, a to z dôvodu </w:t>
      </w:r>
      <w:r w:rsidRPr="0031728F" w:rsidR="004C5A57">
        <w:rPr>
          <w:rFonts w:ascii="Times New Roman" w:hAnsi="Times New Roman"/>
          <w:b/>
          <w:color w:val="000000" w:themeColor="tx1" w:themeShade="FF"/>
          <w:sz w:val="24"/>
          <w:szCs w:val="24"/>
        </w:rPr>
        <w:t xml:space="preserve">zvýšených </w:t>
      </w:r>
      <w:r w:rsidRPr="0031728F" w:rsidR="00523630">
        <w:rPr>
          <w:rFonts w:ascii="Times New Roman" w:hAnsi="Times New Roman"/>
          <w:b/>
          <w:color w:val="000000" w:themeColor="tx1" w:themeShade="FF"/>
          <w:sz w:val="24"/>
          <w:szCs w:val="24"/>
        </w:rPr>
        <w:t>nákladov podriadených organizácií Ministerstva dopravy a výstavby SR – Slovenskej správy ciest</w:t>
      </w:r>
      <w:r w:rsidRPr="0031728F" w:rsidR="005F1728">
        <w:rPr>
          <w:rFonts w:ascii="Times New Roman" w:hAnsi="Times New Roman"/>
          <w:b/>
          <w:color w:val="000000" w:themeColor="tx1" w:themeShade="FF"/>
          <w:sz w:val="24"/>
          <w:szCs w:val="24"/>
        </w:rPr>
        <w:t xml:space="preserve"> a Národnej diaľničnej spoločnosti, a. s.</w:t>
      </w:r>
      <w:r w:rsidRPr="0031728F" w:rsidR="00D55DF9">
        <w:rPr>
          <w:rFonts w:ascii="Times New Roman" w:hAnsi="Times New Roman"/>
          <w:b/>
          <w:color w:val="000000" w:themeColor="tx1" w:themeShade="FF"/>
          <w:sz w:val="24"/>
          <w:szCs w:val="24"/>
        </w:rPr>
        <w:t>,</w:t>
      </w:r>
      <w:r w:rsidRPr="0031728F" w:rsidR="00523630">
        <w:rPr>
          <w:rFonts w:ascii="Times New Roman" w:hAnsi="Times New Roman"/>
          <w:b/>
          <w:color w:val="000000" w:themeColor="tx1" w:themeShade="FF"/>
          <w:sz w:val="24"/>
          <w:szCs w:val="24"/>
        </w:rPr>
        <w:t xml:space="preserve"> na zabezpečeni</w:t>
      </w:r>
      <w:r w:rsidRPr="0031728F" w:rsidR="00DC1579">
        <w:rPr>
          <w:rFonts w:ascii="Times New Roman" w:hAnsi="Times New Roman"/>
          <w:b/>
          <w:color w:val="000000" w:themeColor="tx1" w:themeShade="FF"/>
          <w:sz w:val="24"/>
          <w:szCs w:val="24"/>
        </w:rPr>
        <w:t>e</w:t>
      </w:r>
      <w:r w:rsidRPr="0031728F" w:rsidR="00523630">
        <w:rPr>
          <w:rFonts w:ascii="Times New Roman" w:hAnsi="Times New Roman"/>
          <w:b/>
          <w:color w:val="000000" w:themeColor="tx1" w:themeShade="FF"/>
          <w:sz w:val="24"/>
          <w:szCs w:val="24"/>
        </w:rPr>
        <w:t xml:space="preserve"> odborného posúdenia a klasifikácie bezpečnosti cestnej siete podľa zákona č. 249/2011 Z. z. o riadení bezpečnosti pozemných komunikácií a o zmene a doplnení niektorých zákonov (ďalej len „zákon o riadení bezpečnosti“), na zabezpečenie odborného posúdenia cielenej prehliadky podľa zákona o riadení bezpečnosti</w:t>
      </w:r>
      <w:r w:rsidRPr="0031728F" w:rsidR="004C5A57">
        <w:rPr>
          <w:rFonts w:ascii="Times New Roman" w:hAnsi="Times New Roman"/>
          <w:b/>
          <w:color w:val="000000" w:themeColor="tx1" w:themeShade="FF"/>
          <w:sz w:val="24"/>
          <w:szCs w:val="24"/>
        </w:rPr>
        <w:t>.</w:t>
      </w:r>
      <w:r w:rsidRPr="0031728F" w:rsidR="00523630">
        <w:rPr>
          <w:rFonts w:ascii="Times New Roman" w:hAnsi="Times New Roman"/>
          <w:b/>
          <w:color w:val="000000" w:themeColor="tx1" w:themeShade="FF"/>
          <w:sz w:val="24"/>
          <w:szCs w:val="24"/>
        </w:rPr>
        <w:t xml:space="preserve"> </w:t>
      </w:r>
      <w:r w:rsidRPr="0031728F" w:rsidR="00E5129E">
        <w:rPr>
          <w:rFonts w:ascii="Times New Roman" w:hAnsi="Times New Roman"/>
          <w:b/>
          <w:color w:val="000000" w:themeColor="tx1" w:themeShade="FF"/>
          <w:sz w:val="24"/>
          <w:szCs w:val="24"/>
        </w:rPr>
        <w:t>V</w:t>
      </w:r>
      <w:r w:rsidRPr="0031728F" w:rsidR="00523630">
        <w:rPr>
          <w:rFonts w:ascii="Times New Roman" w:hAnsi="Times New Roman"/>
          <w:b/>
          <w:color w:val="000000" w:themeColor="tx1" w:themeShade="FF"/>
          <w:sz w:val="24"/>
          <w:szCs w:val="24"/>
        </w:rPr>
        <w:t xml:space="preserve">ýška tohto vplyvu závisí od </w:t>
      </w:r>
      <w:r w:rsidRPr="0031728F" w:rsidR="00655DAD">
        <w:rPr>
          <w:rFonts w:ascii="Times New Roman" w:hAnsi="Times New Roman"/>
          <w:b/>
          <w:color w:val="000000" w:themeColor="tx1" w:themeShade="FF"/>
          <w:sz w:val="24"/>
          <w:szCs w:val="24"/>
        </w:rPr>
        <w:t>počtu vykonaných bezpečnostných posúdení a cielených prehliadok</w:t>
      </w:r>
      <w:r w:rsidRPr="0031728F" w:rsidR="00E5129E">
        <w:rPr>
          <w:rFonts w:ascii="Times New Roman" w:hAnsi="Times New Roman"/>
          <w:b/>
          <w:color w:val="000000" w:themeColor="tx1" w:themeShade="FF"/>
          <w:sz w:val="24"/>
          <w:szCs w:val="24"/>
        </w:rPr>
        <w:t xml:space="preserve">. </w:t>
      </w:r>
      <w:r w:rsidRPr="0031728F" w:rsidR="00775F35">
        <w:rPr>
          <w:rFonts w:ascii="Times New Roman" w:hAnsi="Times New Roman"/>
          <w:b/>
          <w:color w:val="000000" w:themeColor="tx1" w:themeShade="FF"/>
          <w:sz w:val="24"/>
          <w:szCs w:val="24"/>
        </w:rPr>
        <w:t>Financovanie v roku 2024 je rozpočtovo zabezpečené v rámci rozpočtu SSC a MDV SR.</w:t>
      </w:r>
    </w:p>
    <w:p w:rsidR="00EE58B9" w:rsidRPr="0031728F" w:rsidP="002C1073">
      <w:pPr>
        <w:pBdr>
          <w:top w:val="single" w:sz="4" w:space="1" w:color="auto"/>
          <w:left w:val="single" w:sz="4" w:space="4" w:color="auto"/>
          <w:bottom w:val="single" w:sz="4" w:space="0" w:color="auto"/>
          <w:right w:val="single" w:sz="4" w:space="4" w:color="auto"/>
        </w:pBdr>
        <w:bidi w:val="0"/>
        <w:spacing w:after="0" w:line="240" w:lineRule="auto"/>
        <w:ind w:firstLine="708"/>
        <w:jc w:val="both"/>
        <w:rPr>
          <w:rFonts w:ascii="Times New Roman" w:hAnsi="Times New Roman"/>
          <w:b/>
          <w:color w:val="000000" w:themeColor="tx1" w:themeShade="FF"/>
          <w:sz w:val="24"/>
          <w:szCs w:val="24"/>
        </w:rPr>
      </w:pPr>
      <w:r w:rsidRPr="0031728F" w:rsidR="002C1073">
        <w:rPr>
          <w:rFonts w:ascii="Times New Roman" w:hAnsi="Times New Roman"/>
          <w:b/>
          <w:color w:val="000000" w:themeColor="tx1" w:themeShade="FF"/>
          <w:sz w:val="24"/>
          <w:szCs w:val="24"/>
        </w:rPr>
        <w:t>Okrem uvedeného predkladaný návrh zákona predpokladá f</w:t>
      </w:r>
      <w:r w:rsidRPr="0031728F" w:rsidR="006061CC">
        <w:rPr>
          <w:rFonts w:ascii="Times New Roman" w:hAnsi="Times New Roman"/>
          <w:b/>
          <w:color w:val="000000" w:themeColor="tx1" w:themeShade="FF"/>
          <w:sz w:val="24"/>
          <w:szCs w:val="24"/>
        </w:rPr>
        <w:t>inančné nároky na úpravu a nastaven</w:t>
      </w:r>
      <w:r w:rsidRPr="0031728F" w:rsidR="002C1073">
        <w:rPr>
          <w:rFonts w:ascii="Times New Roman" w:hAnsi="Times New Roman"/>
          <w:b/>
          <w:color w:val="000000" w:themeColor="tx1" w:themeShade="FF"/>
          <w:sz w:val="24"/>
          <w:szCs w:val="24"/>
        </w:rPr>
        <w:t>ie</w:t>
      </w:r>
      <w:r w:rsidRPr="0031728F" w:rsidR="006061CC">
        <w:rPr>
          <w:rFonts w:ascii="Times New Roman" w:hAnsi="Times New Roman"/>
          <w:b/>
          <w:color w:val="000000" w:themeColor="tx1" w:themeShade="FF"/>
          <w:sz w:val="24"/>
          <w:szCs w:val="24"/>
        </w:rPr>
        <w:t xml:space="preserve"> </w:t>
      </w:r>
      <w:r w:rsidRPr="0031728F" w:rsidR="0058259F">
        <w:rPr>
          <w:rFonts w:ascii="Times New Roman" w:hAnsi="Times New Roman"/>
          <w:b/>
          <w:color w:val="000000" w:themeColor="tx1" w:themeShade="FF"/>
          <w:sz w:val="24"/>
          <w:szCs w:val="24"/>
        </w:rPr>
        <w:t>príslušného systému</w:t>
      </w:r>
      <w:r w:rsidRPr="0031728F" w:rsidR="006061CC">
        <w:rPr>
          <w:rFonts w:ascii="Times New Roman" w:hAnsi="Times New Roman"/>
          <w:b/>
          <w:color w:val="000000" w:themeColor="tx1" w:themeShade="FF"/>
          <w:sz w:val="24"/>
          <w:szCs w:val="24"/>
        </w:rPr>
        <w:t xml:space="preserve"> Slovenskej správy ciest na úrovni 150 000 </w:t>
      </w:r>
      <w:r w:rsidRPr="0031728F" w:rsidR="00F969E7">
        <w:rPr>
          <w:rFonts w:ascii="Times New Roman" w:hAnsi="Times New Roman"/>
          <w:b/>
          <w:color w:val="000000" w:themeColor="tx1" w:themeShade="FF"/>
          <w:sz w:val="24"/>
          <w:szCs w:val="24"/>
        </w:rPr>
        <w:t>EUR</w:t>
      </w:r>
      <w:r w:rsidRPr="0031728F" w:rsidR="006061CC">
        <w:rPr>
          <w:rFonts w:ascii="Times New Roman" w:hAnsi="Times New Roman"/>
          <w:b/>
          <w:color w:val="000000" w:themeColor="tx1" w:themeShade="FF"/>
          <w:sz w:val="24"/>
          <w:szCs w:val="24"/>
        </w:rPr>
        <w:t xml:space="preserve"> v roku 202</w:t>
      </w:r>
      <w:r w:rsidRPr="0031728F" w:rsidR="0058259F">
        <w:rPr>
          <w:rFonts w:ascii="Times New Roman" w:hAnsi="Times New Roman"/>
          <w:b/>
          <w:color w:val="000000" w:themeColor="tx1" w:themeShade="FF"/>
          <w:sz w:val="24"/>
          <w:szCs w:val="24"/>
        </w:rPr>
        <w:t>3</w:t>
      </w:r>
      <w:r w:rsidRPr="0031728F" w:rsidR="006061CC">
        <w:rPr>
          <w:rFonts w:ascii="Times New Roman" w:hAnsi="Times New Roman"/>
          <w:b/>
          <w:color w:val="000000" w:themeColor="tx1" w:themeShade="FF"/>
          <w:sz w:val="24"/>
          <w:szCs w:val="24"/>
        </w:rPr>
        <w:t xml:space="preserve"> a 150 000 </w:t>
      </w:r>
      <w:r w:rsidRPr="0031728F" w:rsidR="00F969E7">
        <w:rPr>
          <w:rFonts w:ascii="Times New Roman" w:hAnsi="Times New Roman"/>
          <w:b/>
          <w:color w:val="000000" w:themeColor="tx1" w:themeShade="FF"/>
          <w:sz w:val="24"/>
          <w:szCs w:val="24"/>
        </w:rPr>
        <w:t>EUR</w:t>
      </w:r>
      <w:r w:rsidRPr="0031728F" w:rsidR="006061CC">
        <w:rPr>
          <w:rFonts w:ascii="Times New Roman" w:hAnsi="Times New Roman"/>
          <w:b/>
          <w:color w:val="000000" w:themeColor="tx1" w:themeShade="FF"/>
          <w:sz w:val="24"/>
          <w:szCs w:val="24"/>
        </w:rPr>
        <w:t xml:space="preserve"> v roku 202</w:t>
      </w:r>
      <w:r w:rsidRPr="0031728F" w:rsidR="0058259F">
        <w:rPr>
          <w:rFonts w:ascii="Times New Roman" w:hAnsi="Times New Roman"/>
          <w:b/>
          <w:color w:val="000000" w:themeColor="tx1" w:themeShade="FF"/>
          <w:sz w:val="24"/>
          <w:szCs w:val="24"/>
        </w:rPr>
        <w:t>4</w:t>
      </w:r>
      <w:r w:rsidRPr="0031728F" w:rsidR="006061CC">
        <w:rPr>
          <w:rFonts w:ascii="Times New Roman" w:hAnsi="Times New Roman"/>
          <w:b/>
          <w:color w:val="000000" w:themeColor="tx1" w:themeShade="FF"/>
          <w:sz w:val="24"/>
          <w:szCs w:val="24"/>
        </w:rPr>
        <w:t xml:space="preserve"> a rovnako tiež v súvislosti s potrebnou úpravou Modulu správnych deliktov Jednotného informačného systému v cestnej doprave, </w:t>
      </w:r>
      <w:r w:rsidRPr="0031728F" w:rsidR="00826AA0">
        <w:rPr>
          <w:rFonts w:ascii="Times New Roman" w:hAnsi="Times New Roman"/>
          <w:b/>
          <w:color w:val="000000" w:themeColor="tx1" w:themeShade="FF"/>
          <w:sz w:val="24"/>
          <w:szCs w:val="24"/>
        </w:rPr>
        <w:t xml:space="preserve">ktorého správcom je MDV SR, </w:t>
      </w:r>
      <w:r w:rsidRPr="0031728F" w:rsidR="006061CC">
        <w:rPr>
          <w:rFonts w:ascii="Times New Roman" w:hAnsi="Times New Roman"/>
          <w:b/>
          <w:color w:val="000000" w:themeColor="tx1" w:themeShade="FF"/>
          <w:sz w:val="24"/>
          <w:szCs w:val="24"/>
        </w:rPr>
        <w:t xml:space="preserve">a to na úrovni 100 000 </w:t>
      </w:r>
      <w:r w:rsidRPr="0031728F" w:rsidR="00F969E7">
        <w:rPr>
          <w:rFonts w:ascii="Times New Roman" w:hAnsi="Times New Roman"/>
          <w:b/>
          <w:color w:val="000000" w:themeColor="tx1" w:themeShade="FF"/>
          <w:sz w:val="24"/>
          <w:szCs w:val="24"/>
        </w:rPr>
        <w:t>EUR</w:t>
      </w:r>
      <w:r w:rsidRPr="0031728F" w:rsidR="006061CC">
        <w:rPr>
          <w:rFonts w:ascii="Times New Roman" w:hAnsi="Times New Roman"/>
          <w:b/>
          <w:color w:val="000000" w:themeColor="tx1" w:themeShade="FF"/>
          <w:sz w:val="24"/>
          <w:szCs w:val="24"/>
        </w:rPr>
        <w:t xml:space="preserve"> v roku 202</w:t>
      </w:r>
      <w:r w:rsidRPr="0031728F" w:rsidR="0058259F">
        <w:rPr>
          <w:rFonts w:ascii="Times New Roman" w:hAnsi="Times New Roman"/>
          <w:b/>
          <w:color w:val="000000" w:themeColor="tx1" w:themeShade="FF"/>
          <w:sz w:val="24"/>
          <w:szCs w:val="24"/>
        </w:rPr>
        <w:t>3</w:t>
      </w:r>
      <w:r w:rsidRPr="0031728F" w:rsidR="006061CC">
        <w:rPr>
          <w:rFonts w:ascii="Times New Roman" w:hAnsi="Times New Roman"/>
          <w:b/>
          <w:color w:val="000000" w:themeColor="tx1" w:themeShade="FF"/>
          <w:sz w:val="24"/>
          <w:szCs w:val="24"/>
        </w:rPr>
        <w:t xml:space="preserve"> a 100 000 </w:t>
      </w:r>
      <w:r w:rsidRPr="0031728F" w:rsidR="00F969E7">
        <w:rPr>
          <w:rFonts w:ascii="Times New Roman" w:hAnsi="Times New Roman"/>
          <w:b/>
          <w:color w:val="000000" w:themeColor="tx1" w:themeShade="FF"/>
          <w:sz w:val="24"/>
          <w:szCs w:val="24"/>
        </w:rPr>
        <w:t>EUR</w:t>
      </w:r>
      <w:r w:rsidRPr="0031728F" w:rsidR="006061CC">
        <w:rPr>
          <w:rFonts w:ascii="Times New Roman" w:hAnsi="Times New Roman"/>
          <w:b/>
          <w:color w:val="000000" w:themeColor="tx1" w:themeShade="FF"/>
          <w:sz w:val="24"/>
          <w:szCs w:val="24"/>
        </w:rPr>
        <w:t xml:space="preserve"> v roku 202</w:t>
      </w:r>
      <w:r w:rsidRPr="0031728F" w:rsidR="0058259F">
        <w:rPr>
          <w:rFonts w:ascii="Times New Roman" w:hAnsi="Times New Roman"/>
          <w:b/>
          <w:color w:val="000000" w:themeColor="tx1" w:themeShade="FF"/>
          <w:sz w:val="24"/>
          <w:szCs w:val="24"/>
        </w:rPr>
        <w:t>4</w:t>
      </w:r>
      <w:r w:rsidRPr="0031728F" w:rsidR="006061CC">
        <w:rPr>
          <w:rFonts w:ascii="Times New Roman" w:hAnsi="Times New Roman"/>
          <w:b/>
          <w:color w:val="000000" w:themeColor="tx1" w:themeShade="FF"/>
          <w:sz w:val="24"/>
          <w:szCs w:val="24"/>
        </w:rPr>
        <w:t xml:space="preserve">. Tieto náklady sú kryté v rámci rozpočtu verejnej správy na roky </w:t>
      </w:r>
      <w:r w:rsidRPr="0031728F">
        <w:rPr>
          <w:rFonts w:ascii="Times New Roman" w:hAnsi="Times New Roman"/>
          <w:b/>
          <w:color w:val="000000" w:themeColor="tx1" w:themeShade="FF"/>
          <w:sz w:val="24"/>
          <w:szCs w:val="24"/>
        </w:rPr>
        <w:t>2022 – 2024.</w:t>
      </w:r>
    </w:p>
    <w:p w:rsidR="00C64362" w:rsidRPr="0031728F" w:rsidP="007D5748">
      <w:pPr>
        <w:bidi w:val="0"/>
        <w:spacing w:after="0" w:line="240" w:lineRule="auto"/>
        <w:rPr>
          <w:rFonts w:ascii="Times New Roman" w:hAnsi="Times New Roman"/>
          <w:b/>
          <w:bCs/>
          <w:color w:val="000000" w:themeColor="tx1" w:themeShade="FF"/>
          <w:sz w:val="24"/>
          <w:szCs w:val="24"/>
          <w:lang w:eastAsia="sk-SK"/>
        </w:rPr>
      </w:pPr>
    </w:p>
    <w:p w:rsidR="007D5748"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2.2.</w:t>
      </w:r>
      <w:r w:rsidR="00CE4F1F">
        <w:rPr>
          <w:rFonts w:ascii="Times New Roman" w:hAnsi="Times New Roman"/>
          <w:b/>
          <w:bCs/>
          <w:color w:val="000000" w:themeColor="tx1" w:themeShade="FF"/>
          <w:sz w:val="24"/>
          <w:szCs w:val="24"/>
          <w:lang w:eastAsia="sk-SK"/>
        </w:rPr>
        <w:t xml:space="preserve"> Popis a charakteristika návrhu</w:t>
      </w:r>
    </w:p>
    <w:p w:rsidR="00CE4F1F" w:rsidRPr="00CE4F1F" w:rsidP="007D5748">
      <w:pPr>
        <w:bidi w:val="0"/>
        <w:spacing w:after="0" w:line="240" w:lineRule="auto"/>
        <w:rPr>
          <w:rFonts w:ascii="Times New Roman" w:hAnsi="Times New Roman"/>
          <w:b/>
          <w:bCs/>
          <w:color w:val="000000" w:themeColor="tx1" w:themeShade="FF"/>
          <w:sz w:val="24"/>
          <w:szCs w:val="24"/>
          <w:lang w:eastAsia="sk-SK"/>
        </w:rPr>
      </w:pPr>
    </w:p>
    <w:p w:rsidR="007D5748" w:rsidRPr="0031728F" w:rsidP="007D5748">
      <w:pPr>
        <w:bidi w:val="0"/>
        <w:spacing w:after="0" w:line="240" w:lineRule="auto"/>
        <w:jc w:val="both"/>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2.2.1. Popis návrhu:</w:t>
      </w:r>
    </w:p>
    <w:p w:rsidR="007D5748" w:rsidRPr="0031728F" w:rsidP="007D5748">
      <w:pPr>
        <w:bidi w:val="0"/>
        <w:spacing w:after="0" w:line="240" w:lineRule="auto"/>
        <w:rPr>
          <w:rFonts w:ascii="Times New Roman" w:hAnsi="Times New Roman"/>
          <w:b/>
          <w:bCs/>
          <w:color w:val="000000" w:themeColor="tx1" w:themeShade="FF"/>
          <w:sz w:val="24"/>
          <w:szCs w:val="24"/>
          <w:lang w:eastAsia="sk-SK"/>
        </w:rPr>
      </w:pPr>
    </w:p>
    <w:p w:rsidR="00655DAD" w:rsidRPr="0031728F" w:rsidP="00655DAD">
      <w:pPr>
        <w:bidi w:val="0"/>
        <w:spacing w:after="0" w:line="240" w:lineRule="auto"/>
        <w:ind w:firstLine="708"/>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Účelom návrhu zákona je transpozícia Smernice Európskeho parlamentu a Rady (EÚ) 2019/1936 z 23. októbra 2019, ktorou sa mení smernica 2008/96/ES o riadení bezpečnosti cestnej infraštruktúry (ďalej len „smernica), ktorá je výsledkom novelizácie doposiaľ účinnej Smernice Európskeho parlamentu a Rady 2008/96/ES z  19. novembra 2008 o riadení bezpečnosti cestnej infraštruktúry za účelom zvýšenia bezpečnosti pozemných komunikácií v rámci TEN-T koridorov ako aj na iných hlavných cestných ťahoch, vo fáze ich projektovania, výstavby a užívania a zabezpečenia ochrany chodcov a zraniteľných účastníkov cestnej premávky.</w:t>
      </w:r>
    </w:p>
    <w:p w:rsidR="00655DAD" w:rsidRPr="0031728F" w:rsidP="00655DAD">
      <w:pPr>
        <w:bidi w:val="0"/>
        <w:spacing w:after="0" w:line="240" w:lineRule="auto"/>
        <w:jc w:val="both"/>
        <w:rPr>
          <w:rFonts w:ascii="Times New Roman" w:hAnsi="Times New Roman"/>
          <w:color w:val="000000" w:themeColor="tx1" w:themeShade="FF"/>
          <w:sz w:val="24"/>
          <w:szCs w:val="24"/>
        </w:rPr>
      </w:pPr>
    </w:p>
    <w:p w:rsidR="00854233" w:rsidRPr="0031728F" w:rsidP="002C1073">
      <w:pPr>
        <w:bidi w:val="0"/>
        <w:spacing w:after="0" w:line="240" w:lineRule="auto"/>
        <w:ind w:firstLine="708"/>
        <w:jc w:val="both"/>
        <w:rPr>
          <w:rFonts w:ascii="Times New Roman" w:hAnsi="Times New Roman"/>
          <w:color w:val="000000" w:themeColor="tx1" w:themeShade="FF"/>
          <w:sz w:val="24"/>
          <w:szCs w:val="24"/>
        </w:rPr>
      </w:pPr>
      <w:r w:rsidRPr="0031728F" w:rsidR="00655DAD">
        <w:rPr>
          <w:rFonts w:ascii="Times New Roman" w:hAnsi="Times New Roman"/>
          <w:color w:val="000000" w:themeColor="tx1" w:themeShade="FF"/>
          <w:sz w:val="24"/>
          <w:szCs w:val="24"/>
        </w:rPr>
        <w:t>Návrhom zákona dochádza k transpozícii novoprijatej smernice v celej jej komplexnosti, jej premietnutiu do právneho poriadku SR a k zabezpečeniu systematického a odborného posúdenia pozemných komunikácií vo fáze ich projektovania, výstavby a užívania. Transpozíciou rovnako dochádza k zavedeniu niekoľko stupňového bezpečnostného hodnotenia úsekov, ktoré zlepší orientáciu v aktuálnom stave bezpečnosti ciest a zabezpečí efektívnu prioritizáciu prijímania a realizácie nápravných opatrení, počnúc úsekmi pozemných komunikácií vyhodnotenými ako najviac rizikové.</w:t>
      </w:r>
    </w:p>
    <w:p w:rsidR="00655DAD" w:rsidRPr="0031728F" w:rsidP="00655DAD">
      <w:pPr>
        <w:bidi w:val="0"/>
        <w:spacing w:after="0" w:line="240" w:lineRule="auto"/>
        <w:jc w:val="both"/>
        <w:rPr>
          <w:rFonts w:ascii="Times New Roman" w:hAnsi="Times New Roman"/>
          <w:color w:val="000000" w:themeColor="tx1" w:themeShade="FF"/>
          <w:sz w:val="24"/>
          <w:szCs w:val="24"/>
          <w:lang w:eastAsia="sk-SK"/>
        </w:rPr>
      </w:pPr>
    </w:p>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2.2.2. Charakteristika návrhu:</w:t>
      </w:r>
    </w:p>
    <w:p w:rsidR="007D5748" w:rsidRPr="0031728F" w:rsidP="007D5748">
      <w:pPr>
        <w:bidi w:val="0"/>
        <w:spacing w:after="0" w:line="240" w:lineRule="auto"/>
        <w:rPr>
          <w:rFonts w:ascii="Times New Roman" w:hAnsi="Times New Roman"/>
          <w:color w:val="000000" w:themeColor="tx1" w:themeShade="FF"/>
          <w:sz w:val="24"/>
          <w:szCs w:val="24"/>
          <w:lang w:eastAsia="sk-SK"/>
        </w:rPr>
      </w:pPr>
    </w:p>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b/>
          <w:color w:val="000000" w:themeColor="tx1" w:themeShade="FF"/>
          <w:sz w:val="24"/>
          <w:szCs w:val="24"/>
          <w:bdr w:val="single" w:sz="4" w:space="0" w:color="auto"/>
          <w:lang w:eastAsia="sk-SK"/>
        </w:rPr>
        <w:t xml:space="preserve">     </w:t>
      </w:r>
      <w:r w:rsidRPr="0031728F">
        <w:rPr>
          <w:rFonts w:ascii="Times New Roman" w:hAnsi="Times New Roman"/>
          <w:b/>
          <w:color w:val="000000" w:themeColor="tx1" w:themeShade="FF"/>
          <w:sz w:val="24"/>
          <w:szCs w:val="24"/>
          <w:lang w:eastAsia="sk-SK"/>
        </w:rPr>
        <w:t xml:space="preserve">  </w:t>
      </w:r>
      <w:r w:rsidRPr="0031728F">
        <w:rPr>
          <w:rFonts w:ascii="Times New Roman" w:hAnsi="Times New Roman"/>
          <w:color w:val="000000" w:themeColor="tx1" w:themeShade="FF"/>
          <w:sz w:val="24"/>
          <w:szCs w:val="24"/>
          <w:lang w:eastAsia="sk-SK"/>
        </w:rPr>
        <w:t>zmena sadzby</w:t>
      </w:r>
    </w:p>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bdr w:val="single" w:sz="4" w:space="0" w:color="auto"/>
          <w:lang w:eastAsia="sk-SK"/>
        </w:rPr>
        <w:t xml:space="preserve">     </w:t>
      </w:r>
      <w:r w:rsidRPr="0031728F">
        <w:rPr>
          <w:rFonts w:ascii="Times New Roman" w:hAnsi="Times New Roman"/>
          <w:color w:val="000000" w:themeColor="tx1" w:themeShade="FF"/>
          <w:sz w:val="24"/>
          <w:szCs w:val="24"/>
          <w:lang w:eastAsia="sk-SK"/>
        </w:rPr>
        <w:t xml:space="preserve">  zmena v nároku</w:t>
      </w:r>
    </w:p>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bdr w:val="single" w:sz="4" w:space="0" w:color="auto"/>
          <w:lang w:eastAsia="sk-SK"/>
        </w:rPr>
        <w:t xml:space="preserve">     </w:t>
      </w:r>
      <w:r w:rsidRPr="0031728F">
        <w:rPr>
          <w:rFonts w:ascii="Times New Roman" w:hAnsi="Times New Roman"/>
          <w:color w:val="000000" w:themeColor="tx1" w:themeShade="FF"/>
          <w:sz w:val="24"/>
          <w:szCs w:val="24"/>
          <w:lang w:eastAsia="sk-SK"/>
        </w:rPr>
        <w:t xml:space="preserve">  nová služba alebo nariadenie (alebo ich zrušenie)</w:t>
      </w:r>
    </w:p>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bdr w:val="single" w:sz="4" w:space="0" w:color="auto"/>
          <w:lang w:eastAsia="sk-SK"/>
        </w:rPr>
        <w:t xml:space="preserve">     </w:t>
      </w:r>
      <w:r w:rsidRPr="0031728F">
        <w:rPr>
          <w:rFonts w:ascii="Times New Roman" w:hAnsi="Times New Roman"/>
          <w:color w:val="000000" w:themeColor="tx1" w:themeShade="FF"/>
          <w:sz w:val="24"/>
          <w:szCs w:val="24"/>
          <w:lang w:eastAsia="sk-SK"/>
        </w:rPr>
        <w:t xml:space="preserve">  kombinovaný návrh</w:t>
      </w:r>
    </w:p>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sidR="00854233">
        <w:rPr>
          <w:rFonts w:ascii="Times New Roman" w:hAnsi="Times New Roman"/>
          <w:color w:val="000000" w:themeColor="tx1" w:themeShade="FF"/>
          <w:sz w:val="24"/>
          <w:szCs w:val="24"/>
          <w:bdr w:val="single" w:sz="4" w:space="0" w:color="auto"/>
          <w:lang w:eastAsia="sk-SK"/>
        </w:rPr>
        <w:t xml:space="preserve">  x</w:t>
      </w:r>
      <w:r w:rsidRPr="0031728F">
        <w:rPr>
          <w:rFonts w:ascii="Times New Roman" w:hAnsi="Times New Roman"/>
          <w:color w:val="000000" w:themeColor="tx1" w:themeShade="FF"/>
          <w:sz w:val="24"/>
          <w:szCs w:val="24"/>
          <w:bdr w:val="single" w:sz="4" w:space="0" w:color="auto"/>
          <w:lang w:eastAsia="sk-SK"/>
        </w:rPr>
        <w:t xml:space="preserve"> </w:t>
      </w:r>
      <w:r w:rsidRPr="0031728F">
        <w:rPr>
          <w:rFonts w:ascii="Times New Roman" w:hAnsi="Times New Roman"/>
          <w:color w:val="000000" w:themeColor="tx1" w:themeShade="FF"/>
          <w:sz w:val="24"/>
          <w:szCs w:val="24"/>
          <w:lang w:eastAsia="sk-SK"/>
        </w:rPr>
        <w:t xml:space="preserve">  iné </w:t>
      </w:r>
    </w:p>
    <w:p w:rsidR="007D5748" w:rsidRPr="0031728F" w:rsidP="007D5748">
      <w:pPr>
        <w:bidi w:val="0"/>
        <w:spacing w:after="0" w:line="240" w:lineRule="auto"/>
        <w:rPr>
          <w:rFonts w:ascii="Times New Roman" w:hAnsi="Times New Roman"/>
          <w:color w:val="000000" w:themeColor="tx1" w:themeShade="FF"/>
          <w:sz w:val="24"/>
          <w:szCs w:val="24"/>
          <w:lang w:eastAsia="sk-SK"/>
        </w:rPr>
      </w:pPr>
    </w:p>
    <w:p w:rsidR="007D5748" w:rsidRPr="0031728F" w:rsidP="007D5748">
      <w:pPr>
        <w:bidi w:val="0"/>
        <w:spacing w:after="0" w:line="240" w:lineRule="auto"/>
        <w:rPr>
          <w:rFonts w:ascii="Times New Roman" w:hAnsi="Times New Roman"/>
          <w:color w:val="000000" w:themeColor="tx1" w:themeShade="FF"/>
          <w:sz w:val="24"/>
          <w:szCs w:val="24"/>
          <w:lang w:eastAsia="sk-SK"/>
        </w:rPr>
      </w:pPr>
    </w:p>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2.2.3. Predpoklady vývoja objemu aktivít:</w:t>
      </w:r>
    </w:p>
    <w:p w:rsidR="007D5748" w:rsidRPr="0031728F" w:rsidP="007D5748">
      <w:pPr>
        <w:bidi w:val="0"/>
        <w:spacing w:after="0" w:line="240" w:lineRule="auto"/>
        <w:rPr>
          <w:rFonts w:ascii="Times New Roman" w:hAnsi="Times New Roman"/>
          <w:color w:val="000000" w:themeColor="tx1" w:themeShade="FF"/>
          <w:sz w:val="24"/>
          <w:szCs w:val="24"/>
          <w:lang w:eastAsia="sk-SK"/>
        </w:rPr>
      </w:pPr>
    </w:p>
    <w:p w:rsidR="007D5748" w:rsidRPr="0031728F" w:rsidP="007D5748">
      <w:pPr>
        <w:bidi w:val="0"/>
        <w:spacing w:after="0" w:line="240" w:lineRule="auto"/>
        <w:ind w:firstLine="708"/>
        <w:jc w:val="both"/>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Jasne popíšte, v prípade potreby použite nižšie uvedenú tabuľku. Uveďte aj odhady základov daní a/alebo poplatkov, ak sa ich táto zmena týka.</w:t>
      </w:r>
    </w:p>
    <w:p w:rsidR="007D5748" w:rsidRPr="0031728F" w:rsidP="007D57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31728F" w:rsidP="007D5748">
            <w:pPr>
              <w:autoSpaceDE w:val="0"/>
              <w:autoSpaceDN w:val="0"/>
              <w:bidi w:val="0"/>
              <w:adjustRightInd w:val="0"/>
              <w:spacing w:after="0" w:line="240" w:lineRule="auto"/>
              <w:jc w:val="right"/>
              <w:rPr>
                <w:rFonts w:ascii="Times New Roman" w:hAnsi="Times New Roman"/>
                <w:color w:val="000000" w:themeColor="tx1" w:themeShade="FF"/>
                <w:sz w:val="24"/>
                <w:szCs w:val="24"/>
                <w:lang w:eastAsia="sk-SK"/>
              </w:rPr>
            </w:pPr>
          </w:p>
        </w:tc>
      </w:tr>
    </w:tbl>
    <w:p w:rsidR="00460328" w:rsidRPr="0031728F" w:rsidP="007D5748">
      <w:pPr>
        <w:bidi w:val="0"/>
        <w:spacing w:after="0" w:line="240" w:lineRule="auto"/>
        <w:rPr>
          <w:rFonts w:ascii="Times New Roman" w:hAnsi="Times New Roman"/>
          <w:b/>
          <w:bCs/>
          <w:color w:val="000000" w:themeColor="tx1" w:themeShade="FF"/>
          <w:sz w:val="24"/>
          <w:szCs w:val="24"/>
          <w:lang w:eastAsia="sk-SK"/>
        </w:rPr>
      </w:pPr>
    </w:p>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2.2.4. Výpočty vplyvov na verejné financie</w:t>
      </w:r>
    </w:p>
    <w:p w:rsidR="007D5748" w:rsidRPr="0031728F" w:rsidP="007D5748">
      <w:pPr>
        <w:bidi w:val="0"/>
        <w:spacing w:after="0" w:line="240" w:lineRule="auto"/>
        <w:rPr>
          <w:rFonts w:ascii="Times New Roman" w:hAnsi="Times New Roman"/>
          <w:color w:val="000000" w:themeColor="tx1" w:themeShade="FF"/>
          <w:sz w:val="24"/>
          <w:szCs w:val="24"/>
          <w:lang w:eastAsia="sk-SK"/>
        </w:rPr>
      </w:pPr>
    </w:p>
    <w:p w:rsidR="007D5748" w:rsidRPr="0031728F" w:rsidP="00655DAD">
      <w:pPr>
        <w:bidi w:val="0"/>
        <w:spacing w:after="0" w:line="240" w:lineRule="auto"/>
        <w:ind w:firstLine="708"/>
        <w:jc w:val="both"/>
        <w:rPr>
          <w:rFonts w:ascii="Times New Roman" w:hAnsi="Times New Roman"/>
          <w:color w:val="000000" w:themeColor="tx1" w:themeShade="FF"/>
          <w:sz w:val="24"/>
          <w:szCs w:val="24"/>
          <w:lang w:eastAsia="sk-SK"/>
        </w:rPr>
      </w:pPr>
      <w:r w:rsidRPr="0031728F" w:rsidR="002C1073">
        <w:rPr>
          <w:rFonts w:ascii="Times New Roman" w:hAnsi="Times New Roman"/>
          <w:color w:val="000000" w:themeColor="tx1" w:themeShade="FF"/>
          <w:sz w:val="24"/>
          <w:szCs w:val="24"/>
          <w:lang w:eastAsia="sk-SK"/>
        </w:rPr>
        <w:t>N</w:t>
      </w:r>
      <w:r w:rsidRPr="0031728F" w:rsidR="00655DAD">
        <w:rPr>
          <w:rFonts w:ascii="Times New Roman" w:hAnsi="Times New Roman"/>
          <w:color w:val="000000" w:themeColor="tx1" w:themeShade="FF"/>
          <w:sz w:val="24"/>
          <w:szCs w:val="24"/>
          <w:lang w:eastAsia="sk-SK"/>
        </w:rPr>
        <w:t>a zabezpečeni</w:t>
      </w:r>
      <w:r w:rsidRPr="0031728F" w:rsidR="002620A5">
        <w:rPr>
          <w:rFonts w:ascii="Times New Roman" w:hAnsi="Times New Roman"/>
          <w:color w:val="000000" w:themeColor="tx1" w:themeShade="FF"/>
          <w:sz w:val="24"/>
          <w:szCs w:val="24"/>
          <w:lang w:eastAsia="sk-SK"/>
        </w:rPr>
        <w:t>e</w:t>
      </w:r>
      <w:r w:rsidRPr="0031728F" w:rsidR="00655DAD">
        <w:rPr>
          <w:rFonts w:ascii="Times New Roman" w:hAnsi="Times New Roman"/>
          <w:color w:val="000000" w:themeColor="tx1" w:themeShade="FF"/>
          <w:sz w:val="24"/>
          <w:szCs w:val="24"/>
          <w:lang w:eastAsia="sk-SK"/>
        </w:rPr>
        <w:t xml:space="preserve"> odborného posúdenia a klasifikácie bezpečnosti cestnej siete podľa zákona č. 249/2011 Z. z. o riadení bezpečnosti pozemných komunikácií a o zmene a doplnení niektorých zákonov (ďalej len „zákon o riadení bezpečnosti“), na zabezpečenie odborného posúdenia cielenej prehliadky podľa zákona o</w:t>
      </w:r>
      <w:r w:rsidRPr="0031728F" w:rsidR="002C1073">
        <w:rPr>
          <w:rFonts w:ascii="Times New Roman" w:hAnsi="Times New Roman"/>
          <w:color w:val="000000" w:themeColor="tx1" w:themeShade="FF"/>
          <w:sz w:val="24"/>
          <w:szCs w:val="24"/>
          <w:lang w:eastAsia="sk-SK"/>
        </w:rPr>
        <w:t> </w:t>
      </w:r>
      <w:r w:rsidRPr="0031728F" w:rsidR="00655DAD">
        <w:rPr>
          <w:rFonts w:ascii="Times New Roman" w:hAnsi="Times New Roman"/>
          <w:color w:val="000000" w:themeColor="tx1" w:themeShade="FF"/>
          <w:sz w:val="24"/>
          <w:szCs w:val="24"/>
          <w:lang w:eastAsia="sk-SK"/>
        </w:rPr>
        <w:t>riadení</w:t>
      </w:r>
      <w:r w:rsidRPr="0031728F" w:rsidR="002C1073">
        <w:rPr>
          <w:rFonts w:ascii="Times New Roman" w:hAnsi="Times New Roman"/>
          <w:color w:val="000000" w:themeColor="tx1" w:themeShade="FF"/>
          <w:sz w:val="24"/>
          <w:szCs w:val="24"/>
          <w:lang w:eastAsia="sk-SK"/>
        </w:rPr>
        <w:t xml:space="preserve"> </w:t>
      </w:r>
      <w:r w:rsidRPr="0031728F" w:rsidR="00E82A8A">
        <w:rPr>
          <w:rFonts w:ascii="Times New Roman" w:hAnsi="Times New Roman"/>
          <w:color w:val="000000" w:themeColor="tx1" w:themeShade="FF"/>
          <w:sz w:val="24"/>
          <w:szCs w:val="24"/>
          <w:lang w:eastAsia="sk-SK"/>
        </w:rPr>
        <w:t xml:space="preserve">bezpečnosti, </w:t>
      </w:r>
      <w:r w:rsidRPr="0031728F" w:rsidR="002C1073">
        <w:rPr>
          <w:rFonts w:ascii="Times New Roman" w:hAnsi="Times New Roman"/>
          <w:color w:val="000000" w:themeColor="tx1" w:themeShade="FF"/>
          <w:sz w:val="24"/>
          <w:szCs w:val="24"/>
          <w:lang w:eastAsia="sk-SK"/>
        </w:rPr>
        <w:t>je podľa odborného odhadu potrebná v roku 2024 finančná čiastka vo výške  5</w:t>
      </w:r>
      <w:r w:rsidRPr="0031728F" w:rsidR="00A23CAA">
        <w:rPr>
          <w:rFonts w:ascii="Times New Roman" w:hAnsi="Times New Roman"/>
          <w:color w:val="000000" w:themeColor="tx1" w:themeShade="FF"/>
          <w:sz w:val="24"/>
          <w:szCs w:val="24"/>
          <w:lang w:eastAsia="sk-SK"/>
        </w:rPr>
        <w:t>6</w:t>
      </w:r>
      <w:r w:rsidRPr="0031728F" w:rsidR="002C1073">
        <w:rPr>
          <w:rFonts w:ascii="Times New Roman" w:hAnsi="Times New Roman"/>
          <w:color w:val="000000" w:themeColor="tx1" w:themeShade="FF"/>
          <w:sz w:val="24"/>
          <w:szCs w:val="24"/>
          <w:lang w:eastAsia="sk-SK"/>
        </w:rPr>
        <w:t>8 </w:t>
      </w:r>
      <w:r w:rsidRPr="0031728F" w:rsidR="00A23CAA">
        <w:rPr>
          <w:rFonts w:ascii="Times New Roman" w:hAnsi="Times New Roman"/>
          <w:color w:val="000000" w:themeColor="tx1" w:themeShade="FF"/>
          <w:sz w:val="24"/>
          <w:szCs w:val="24"/>
          <w:lang w:eastAsia="sk-SK"/>
        </w:rPr>
        <w:t>26</w:t>
      </w:r>
      <w:r w:rsidRPr="0031728F" w:rsidR="002C1073">
        <w:rPr>
          <w:rFonts w:ascii="Times New Roman" w:hAnsi="Times New Roman"/>
          <w:color w:val="000000" w:themeColor="tx1" w:themeShade="FF"/>
          <w:sz w:val="24"/>
          <w:szCs w:val="24"/>
          <w:lang w:eastAsia="sk-SK"/>
        </w:rPr>
        <w:t>0,- EUR.</w:t>
      </w:r>
      <w:r w:rsidRPr="0031728F" w:rsidR="00AA4D3A">
        <w:rPr>
          <w:rFonts w:ascii="Times New Roman" w:hAnsi="Times New Roman"/>
          <w:color w:val="000000" w:themeColor="tx1" w:themeShade="FF"/>
          <w:sz w:val="24"/>
          <w:szCs w:val="24"/>
          <w:lang w:eastAsia="sk-SK"/>
        </w:rPr>
        <w:t>. Výška tohto vplyvu závisí od počtu vykonaných bezpečnostných posúdení a cielených prehliadok. Pre vyčíslenie finančného dopadu bol použitý prepočet dĺžky nehodových lokalít vyhodnotených v roku 2019 (zdroj SSC, publikovaný 11/2020) a finančných nákladov na zabezpečenie bezpečnostných inšpekcií v prepočte na 1 km vykonávaných dotknutými organizáciami</w:t>
      </w:r>
      <w:r w:rsidRPr="0031728F" w:rsidR="00A836C0">
        <w:rPr>
          <w:rFonts w:ascii="Times New Roman" w:hAnsi="Times New Roman"/>
          <w:color w:val="000000" w:themeColor="tx1" w:themeShade="FF"/>
          <w:sz w:val="24"/>
          <w:szCs w:val="24"/>
          <w:lang w:eastAsia="sk-SK"/>
        </w:rPr>
        <w:t xml:space="preserve"> </w:t>
      </w:r>
      <w:r w:rsidRPr="0031728F" w:rsidR="00AA4D3A">
        <w:rPr>
          <w:rFonts w:ascii="Times New Roman" w:hAnsi="Times New Roman"/>
          <w:color w:val="000000" w:themeColor="tx1" w:themeShade="FF"/>
          <w:sz w:val="24"/>
          <w:szCs w:val="24"/>
          <w:lang w:eastAsia="sk-SK"/>
        </w:rPr>
        <w:t xml:space="preserve"> v predchádzajúcich rokoch. </w:t>
      </w:r>
      <w:r w:rsidRPr="0031728F" w:rsidR="008C288C">
        <w:rPr>
          <w:rFonts w:ascii="Times New Roman" w:hAnsi="Times New Roman"/>
          <w:color w:val="000000" w:themeColor="tx1" w:themeShade="FF"/>
          <w:sz w:val="24"/>
          <w:szCs w:val="24"/>
          <w:lang w:eastAsia="sk-SK"/>
        </w:rPr>
        <w:t>Nehodové lokality predstavovali 117,85 km cestnej siete ciest I. triedy</w:t>
      </w:r>
      <w:r w:rsidRPr="0031728F" w:rsidR="00A836C0">
        <w:rPr>
          <w:rFonts w:ascii="Times New Roman" w:hAnsi="Times New Roman"/>
          <w:color w:val="000000" w:themeColor="tx1" w:themeShade="FF"/>
          <w:sz w:val="24"/>
          <w:szCs w:val="24"/>
          <w:lang w:eastAsia="sk-SK"/>
        </w:rPr>
        <w:t xml:space="preserve"> (dĺžky 3 311,8 km)</w:t>
      </w:r>
      <w:r w:rsidRPr="0031728F" w:rsidR="008C288C">
        <w:rPr>
          <w:rFonts w:ascii="Times New Roman" w:hAnsi="Times New Roman"/>
          <w:color w:val="000000" w:themeColor="tx1" w:themeShade="FF"/>
          <w:sz w:val="24"/>
          <w:szCs w:val="24"/>
          <w:lang w:eastAsia="sk-SK"/>
        </w:rPr>
        <w:t>. Finančné náklady na 1 km realizácie inšpekcie/cielenej prehliadky sú stanovené na základe priemernej hodnoty doteraz vykonaných inšpekcií, t.</w:t>
      </w:r>
      <w:r w:rsidRPr="0031728F" w:rsidR="00E82A8A">
        <w:rPr>
          <w:rFonts w:ascii="Times New Roman" w:hAnsi="Times New Roman"/>
          <w:color w:val="000000" w:themeColor="tx1" w:themeShade="FF"/>
          <w:sz w:val="24"/>
          <w:szCs w:val="24"/>
          <w:lang w:eastAsia="sk-SK"/>
        </w:rPr>
        <w:t xml:space="preserve"> </w:t>
      </w:r>
      <w:r w:rsidRPr="0031728F" w:rsidR="008C288C">
        <w:rPr>
          <w:rFonts w:ascii="Times New Roman" w:hAnsi="Times New Roman"/>
          <w:color w:val="000000" w:themeColor="tx1" w:themeShade="FF"/>
          <w:sz w:val="24"/>
          <w:szCs w:val="24"/>
          <w:lang w:eastAsia="sk-SK"/>
        </w:rPr>
        <w:t>j. vo výške cca 3000 €</w:t>
      </w:r>
      <w:r w:rsidRPr="0031728F" w:rsidR="00E95512">
        <w:rPr>
          <w:rFonts w:ascii="Times New Roman" w:hAnsi="Times New Roman"/>
          <w:color w:val="000000" w:themeColor="tx1" w:themeShade="FF"/>
          <w:sz w:val="24"/>
          <w:szCs w:val="24"/>
          <w:lang w:eastAsia="sk-SK"/>
        </w:rPr>
        <w:t xml:space="preserve"> bez DPH</w:t>
      </w:r>
      <w:r w:rsidRPr="0031728F" w:rsidR="008C288C">
        <w:rPr>
          <w:rFonts w:ascii="Times New Roman" w:hAnsi="Times New Roman"/>
          <w:color w:val="000000" w:themeColor="tx1" w:themeShade="FF"/>
          <w:sz w:val="24"/>
          <w:szCs w:val="24"/>
          <w:lang w:eastAsia="sk-SK"/>
        </w:rPr>
        <w:t xml:space="preserve">. Suma bola stanovená odborným odhadom na základe vyššie uvedeného </w:t>
      </w:r>
      <w:r w:rsidRPr="0031728F" w:rsidR="00E95512">
        <w:rPr>
          <w:rFonts w:ascii="Times New Roman" w:hAnsi="Times New Roman"/>
          <w:color w:val="000000" w:themeColor="tx1" w:themeShade="FF"/>
          <w:sz w:val="24"/>
          <w:szCs w:val="24"/>
          <w:lang w:eastAsia="sk-SK"/>
        </w:rPr>
        <w:t xml:space="preserve">modelového </w:t>
      </w:r>
      <w:r w:rsidRPr="0031728F" w:rsidR="008C288C">
        <w:rPr>
          <w:rFonts w:ascii="Times New Roman" w:hAnsi="Times New Roman"/>
          <w:color w:val="000000" w:themeColor="tx1" w:themeShade="FF"/>
          <w:sz w:val="24"/>
          <w:szCs w:val="24"/>
          <w:lang w:eastAsia="sk-SK"/>
        </w:rPr>
        <w:t>prepočtu</w:t>
      </w:r>
      <w:r w:rsidRPr="0031728F" w:rsidR="00976172">
        <w:rPr>
          <w:rFonts w:ascii="Times New Roman" w:hAnsi="Times New Roman"/>
          <w:color w:val="000000" w:themeColor="tx1" w:themeShade="FF"/>
          <w:sz w:val="24"/>
          <w:szCs w:val="24"/>
          <w:lang w:eastAsia="sk-SK"/>
        </w:rPr>
        <w:t xml:space="preserve"> úsekov ciest I. triedy</w:t>
      </w:r>
      <w:r w:rsidRPr="0031728F" w:rsidR="008C288C">
        <w:rPr>
          <w:rFonts w:ascii="Times New Roman" w:hAnsi="Times New Roman"/>
          <w:color w:val="000000" w:themeColor="tx1" w:themeShade="FF"/>
          <w:sz w:val="24"/>
          <w:szCs w:val="24"/>
          <w:lang w:eastAsia="sk-SK"/>
        </w:rPr>
        <w:t>.</w:t>
      </w:r>
      <w:r w:rsidRPr="0031728F" w:rsidR="00AB75E3">
        <w:rPr>
          <w:rFonts w:ascii="Times New Roman" w:hAnsi="Times New Roman"/>
          <w:color w:val="000000" w:themeColor="tx1" w:themeShade="FF"/>
          <w:sz w:val="24"/>
          <w:szCs w:val="24"/>
          <w:lang w:eastAsia="sk-SK"/>
        </w:rPr>
        <w:t xml:space="preserve"> </w:t>
      </w:r>
      <w:r w:rsidRPr="0031728F" w:rsidR="00F969E7">
        <w:rPr>
          <w:rFonts w:ascii="Times New Roman" w:hAnsi="Times New Roman"/>
          <w:color w:val="000000" w:themeColor="tx1" w:themeShade="FF"/>
          <w:sz w:val="24"/>
          <w:szCs w:val="24"/>
          <w:lang w:eastAsia="sk-SK"/>
        </w:rPr>
        <w:t xml:space="preserve">Pre úseky ciest v správe SSC sa v roku 2024 uvažuje so sumou 353 550,-EUR bez DPH. </w:t>
      </w:r>
      <w:r w:rsidRPr="0031728F" w:rsidR="0027423B">
        <w:rPr>
          <w:rFonts w:ascii="Times New Roman" w:hAnsi="Times New Roman"/>
          <w:color w:val="000000" w:themeColor="tx1" w:themeShade="FF"/>
          <w:sz w:val="24"/>
          <w:szCs w:val="24"/>
          <w:lang w:eastAsia="sk-SK"/>
        </w:rPr>
        <w:t>Pre úseky v správe NDS, a.s. bol použitý pomerný prepočet dĺžky, na základe ktorého sa v roku 2024 uvažuje so sumou</w:t>
      </w:r>
      <w:r w:rsidRPr="0031728F" w:rsidR="00A23CAA">
        <w:rPr>
          <w:rFonts w:ascii="Times New Roman" w:hAnsi="Times New Roman"/>
          <w:color w:val="000000" w:themeColor="tx1" w:themeShade="FF"/>
          <w:sz w:val="24"/>
          <w:szCs w:val="24"/>
          <w:lang w:eastAsia="sk-SK"/>
        </w:rPr>
        <w:t xml:space="preserve"> 120 000,- EUR bez DPH.</w:t>
      </w:r>
      <w:r w:rsidRPr="0031728F" w:rsidR="0027423B">
        <w:rPr>
          <w:rFonts w:ascii="Times New Roman" w:hAnsi="Times New Roman"/>
          <w:color w:val="000000" w:themeColor="tx1" w:themeShade="FF"/>
          <w:sz w:val="24"/>
          <w:szCs w:val="24"/>
          <w:lang w:eastAsia="sk-SK"/>
        </w:rPr>
        <w:t xml:space="preserve"> </w:t>
      </w:r>
      <w:r w:rsidRPr="0031728F" w:rsidR="00AB75E3">
        <w:rPr>
          <w:rFonts w:ascii="Times New Roman" w:hAnsi="Times New Roman"/>
          <w:color w:val="000000" w:themeColor="tx1" w:themeShade="FF"/>
          <w:sz w:val="24"/>
          <w:szCs w:val="24"/>
          <w:lang w:eastAsia="sk-SK"/>
        </w:rPr>
        <w:t>Finan</w:t>
      </w:r>
      <w:r w:rsidRPr="0031728F" w:rsidR="009A3934">
        <w:rPr>
          <w:rFonts w:ascii="Times New Roman" w:hAnsi="Times New Roman"/>
          <w:color w:val="000000" w:themeColor="tx1" w:themeShade="FF"/>
          <w:sz w:val="24"/>
          <w:szCs w:val="24"/>
          <w:lang w:eastAsia="sk-SK"/>
        </w:rPr>
        <w:t xml:space="preserve">covanie </w:t>
      </w:r>
      <w:r w:rsidRPr="0031728F" w:rsidR="00AB75E3">
        <w:rPr>
          <w:rFonts w:ascii="Times New Roman" w:hAnsi="Times New Roman"/>
          <w:color w:val="000000" w:themeColor="tx1" w:themeShade="FF"/>
          <w:sz w:val="24"/>
          <w:szCs w:val="24"/>
          <w:lang w:eastAsia="sk-SK"/>
        </w:rPr>
        <w:t xml:space="preserve">v roku 2024 </w:t>
      </w:r>
      <w:r w:rsidRPr="0031728F" w:rsidR="009A3934">
        <w:rPr>
          <w:rFonts w:ascii="Times New Roman" w:hAnsi="Times New Roman"/>
          <w:color w:val="000000" w:themeColor="tx1" w:themeShade="FF"/>
          <w:sz w:val="24"/>
          <w:szCs w:val="24"/>
          <w:lang w:eastAsia="sk-SK"/>
        </w:rPr>
        <w:t>je</w:t>
      </w:r>
      <w:r w:rsidRPr="0031728F" w:rsidR="00AB75E3">
        <w:rPr>
          <w:rFonts w:ascii="Times New Roman" w:hAnsi="Times New Roman"/>
          <w:color w:val="000000" w:themeColor="tx1" w:themeShade="FF"/>
          <w:sz w:val="24"/>
          <w:szCs w:val="24"/>
          <w:lang w:eastAsia="sk-SK"/>
        </w:rPr>
        <w:t xml:space="preserve"> rozpočtovo zabezpečené v rámci rozpočtu SSC a MDV SR.</w:t>
      </w: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2C1073" w:rsidRPr="0031728F" w:rsidP="00A95080">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bCs/>
          <w:color w:val="000000" w:themeColor="tx1" w:themeShade="FF"/>
          <w:sz w:val="24"/>
          <w:szCs w:val="24"/>
          <w:lang w:eastAsia="sk-SK"/>
        </w:rPr>
        <w:tab/>
      </w:r>
      <w:r w:rsidRPr="0031728F">
        <w:rPr>
          <w:rFonts w:ascii="Times New Roman" w:hAnsi="Times New Roman"/>
          <w:color w:val="000000" w:themeColor="tx1" w:themeShade="FF"/>
          <w:sz w:val="24"/>
          <w:szCs w:val="24"/>
        </w:rPr>
        <w:t>Finančné nároky na implementáciu systému merania hmotností a rozmerov vozidiel a jazdných súprav na princípe objektívnej zodpovednosti sa predpokladajú v súvislosti s úpravou a</w:t>
      </w:r>
      <w:r w:rsidRPr="0031728F" w:rsidR="0058259F">
        <w:rPr>
          <w:rFonts w:ascii="Times New Roman" w:hAnsi="Times New Roman"/>
          <w:color w:val="000000" w:themeColor="tx1" w:themeShade="FF"/>
          <w:sz w:val="24"/>
          <w:szCs w:val="24"/>
        </w:rPr>
        <w:t> </w:t>
      </w:r>
      <w:r w:rsidRPr="0031728F">
        <w:rPr>
          <w:rFonts w:ascii="Times New Roman" w:hAnsi="Times New Roman"/>
          <w:color w:val="000000" w:themeColor="tx1" w:themeShade="FF"/>
          <w:sz w:val="24"/>
          <w:szCs w:val="24"/>
        </w:rPr>
        <w:t>nastavením</w:t>
      </w:r>
      <w:r w:rsidRPr="0031728F" w:rsidR="0058259F">
        <w:rPr>
          <w:rFonts w:ascii="Times New Roman" w:hAnsi="Times New Roman"/>
          <w:color w:val="000000" w:themeColor="tx1" w:themeShade="FF"/>
          <w:sz w:val="24"/>
          <w:szCs w:val="24"/>
        </w:rPr>
        <w:t xml:space="preserve"> príslušného</w:t>
      </w:r>
      <w:r w:rsidRPr="0031728F">
        <w:rPr>
          <w:rFonts w:ascii="Times New Roman" w:hAnsi="Times New Roman"/>
          <w:color w:val="000000" w:themeColor="tx1" w:themeShade="FF"/>
          <w:sz w:val="24"/>
          <w:szCs w:val="24"/>
        </w:rPr>
        <w:t xml:space="preserve"> systému Slovenskej správy ciest týkajúceho sa nevyhnutného porovnávania kontrolných záznamov s databázou vydaných povolení a spracovania záznamov o porušení povinnosti na úseku nadmernej a nadrozmernej dopravy, a to na úrovni 150 000 </w:t>
      </w:r>
      <w:r w:rsidRPr="0031728F" w:rsidR="00F713D0">
        <w:rPr>
          <w:rFonts w:ascii="Times New Roman" w:hAnsi="Times New Roman"/>
          <w:color w:val="000000" w:themeColor="tx1" w:themeShade="FF"/>
          <w:sz w:val="24"/>
          <w:szCs w:val="24"/>
          <w:lang w:eastAsia="sk-SK"/>
        </w:rPr>
        <w:t>EUR</w:t>
      </w:r>
      <w:r w:rsidRPr="0031728F" w:rsidR="00F713D0">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sz w:val="24"/>
          <w:szCs w:val="24"/>
        </w:rPr>
        <w:t xml:space="preserve"> v roku 202</w:t>
      </w:r>
      <w:r w:rsidRPr="0031728F" w:rsidR="0058259F">
        <w:rPr>
          <w:rFonts w:ascii="Times New Roman" w:hAnsi="Times New Roman"/>
          <w:color w:val="000000" w:themeColor="tx1" w:themeShade="FF"/>
          <w:sz w:val="24"/>
          <w:szCs w:val="24"/>
        </w:rPr>
        <w:t>3</w:t>
      </w:r>
      <w:r w:rsidRPr="0031728F">
        <w:rPr>
          <w:rFonts w:ascii="Times New Roman" w:hAnsi="Times New Roman"/>
          <w:color w:val="000000" w:themeColor="tx1" w:themeShade="FF"/>
          <w:sz w:val="24"/>
          <w:szCs w:val="24"/>
        </w:rPr>
        <w:t xml:space="preserve"> a 150 000 eur v roku 202</w:t>
      </w:r>
      <w:r w:rsidRPr="0031728F" w:rsidR="0058259F">
        <w:rPr>
          <w:rFonts w:ascii="Times New Roman" w:hAnsi="Times New Roman"/>
          <w:color w:val="000000" w:themeColor="tx1" w:themeShade="FF"/>
          <w:sz w:val="24"/>
          <w:szCs w:val="24"/>
        </w:rPr>
        <w:t>4</w:t>
      </w:r>
      <w:r w:rsidRPr="0031728F">
        <w:rPr>
          <w:rFonts w:ascii="Times New Roman" w:hAnsi="Times New Roman"/>
          <w:color w:val="000000" w:themeColor="tx1" w:themeShade="FF"/>
          <w:sz w:val="24"/>
          <w:szCs w:val="24"/>
        </w:rPr>
        <w:t xml:space="preserve"> a rovnako tiež v súvislosti s potrebnou úpravou Modulu správnych deliktov Jednotného informačného systému v cestnej doprave, ktorého správcom je MDV SR, a to na úrovni 100 000 </w:t>
      </w:r>
      <w:r w:rsidRPr="0031728F" w:rsidR="00F713D0">
        <w:rPr>
          <w:rFonts w:ascii="Times New Roman" w:hAnsi="Times New Roman"/>
          <w:color w:val="000000" w:themeColor="tx1" w:themeShade="FF"/>
          <w:sz w:val="24"/>
          <w:szCs w:val="24"/>
          <w:lang w:eastAsia="sk-SK"/>
        </w:rPr>
        <w:t>EUR</w:t>
      </w:r>
      <w:r w:rsidRPr="0031728F" w:rsidR="00F713D0">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sz w:val="24"/>
          <w:szCs w:val="24"/>
        </w:rPr>
        <w:t xml:space="preserve"> v roku 202</w:t>
      </w:r>
      <w:r w:rsidRPr="0031728F" w:rsidR="0058259F">
        <w:rPr>
          <w:rFonts w:ascii="Times New Roman" w:hAnsi="Times New Roman"/>
          <w:color w:val="000000" w:themeColor="tx1" w:themeShade="FF"/>
          <w:sz w:val="24"/>
          <w:szCs w:val="24"/>
        </w:rPr>
        <w:t>3</w:t>
      </w:r>
      <w:r w:rsidRPr="0031728F">
        <w:rPr>
          <w:rFonts w:ascii="Times New Roman" w:hAnsi="Times New Roman"/>
          <w:color w:val="000000" w:themeColor="tx1" w:themeShade="FF"/>
          <w:sz w:val="24"/>
          <w:szCs w:val="24"/>
        </w:rPr>
        <w:t xml:space="preserve"> a 100 000 </w:t>
      </w:r>
      <w:r w:rsidRPr="0031728F" w:rsidR="00F713D0">
        <w:rPr>
          <w:rFonts w:ascii="Times New Roman" w:hAnsi="Times New Roman"/>
          <w:color w:val="000000" w:themeColor="tx1" w:themeShade="FF"/>
          <w:sz w:val="24"/>
          <w:szCs w:val="24"/>
          <w:lang w:eastAsia="sk-SK"/>
        </w:rPr>
        <w:t>EUR</w:t>
      </w:r>
      <w:r w:rsidRPr="0031728F" w:rsidR="00F713D0">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sz w:val="24"/>
          <w:szCs w:val="24"/>
        </w:rPr>
        <w:t xml:space="preserve"> v roku 202</w:t>
      </w:r>
      <w:r w:rsidRPr="0031728F" w:rsidR="0058259F">
        <w:rPr>
          <w:rFonts w:ascii="Times New Roman" w:hAnsi="Times New Roman"/>
          <w:color w:val="000000" w:themeColor="tx1" w:themeShade="FF"/>
          <w:sz w:val="24"/>
          <w:szCs w:val="24"/>
        </w:rPr>
        <w:t>4</w:t>
      </w:r>
      <w:r w:rsidRPr="0031728F">
        <w:rPr>
          <w:rFonts w:ascii="Times New Roman" w:hAnsi="Times New Roman"/>
          <w:color w:val="000000" w:themeColor="tx1" w:themeShade="FF"/>
          <w:sz w:val="24"/>
          <w:szCs w:val="24"/>
        </w:rPr>
        <w:t>. Tieto náklady sú kryté v rámci rozpočtu verejnej správy na roky 2022 – 2024.</w:t>
      </w:r>
    </w:p>
    <w:p w:rsidR="002C1073" w:rsidRPr="0031728F" w:rsidP="00A95080">
      <w:pPr>
        <w:bidi w:val="0"/>
        <w:spacing w:after="0" w:line="240" w:lineRule="auto"/>
        <w:jc w:val="both"/>
        <w:rPr>
          <w:rFonts w:ascii="Times New Roman" w:hAnsi="Times New Roman"/>
          <w:color w:val="000000" w:themeColor="tx1" w:themeShade="FF"/>
          <w:sz w:val="24"/>
          <w:szCs w:val="24"/>
        </w:rPr>
      </w:pPr>
    </w:p>
    <w:p w:rsidR="002C1073" w:rsidRPr="0031728F" w:rsidP="00A95080">
      <w:pPr>
        <w:bidi w:val="0"/>
        <w:spacing w:after="0" w:line="240" w:lineRule="auto"/>
        <w:ind w:firstLine="708"/>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Pokiaľ ide o samotnú úpravu systému sankcionovania nadmernej a nadrozmernej dopravy, kedy dochádza k prechodu od výberu dodatočného výberu zvýšeného správneho poplatku na sankciu vo forme pokuty a súvisiacu úpravu zákona č. 145/1995 Z. z., nie je identifikovaný žiadny vplyv na rozpočet verejnej správy. Treba zdôrazniť, že z hľadiska finančných dopadov v súvislosti so zmenou systému sankcionovania sa jednak zásadným spôsobom nezmení početnosť vykonaných kontrol merania hmotností a rozmerov vozidiel a jazdných súprav, t.</w:t>
      </w:r>
      <w:r w:rsidRPr="0031728F" w:rsidR="002E53C7">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sz w:val="24"/>
          <w:szCs w:val="24"/>
        </w:rPr>
        <w:t xml:space="preserve">j. oproti súčasnej frekvencii vykonaných kontrol vykonávaných správcami pozemných komunikácií (Národná diaľničná spoločnosť, a. s. a Slovenská správa ciest) nedôjde k navýšeniu alebo k úbytku počtu takýchto kontrol a zároveň nedôjde ani k zmene objemu výberu finančných prostriedkov zo sankcionovania takejto nepovolenej dopravy, pretože dôjde k približne rovnakému výberu finančných prostriedkov pre rozpočet verejnej správy tak, ako doteraz s tým, že z hľadiska kvalifikácie týchto peňažných sankcií nepôjde o dodatočne zvýšený správny poplatok, ale o pokutu vyberanú na rovnakej úrovni z hľadiska výšky sankcie. </w:t>
      </w: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sectPr w:rsidSect="00BF7801">
          <w:headerReference w:type="even"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7D5748" w:rsidRPr="0031728F" w:rsidP="007D5748">
      <w:pPr>
        <w:tabs>
          <w:tab w:val="num" w:pos="1080"/>
        </w:tabs>
        <w:bidi w:val="0"/>
        <w:spacing w:after="0" w:line="240" w:lineRule="auto"/>
        <w:jc w:val="right"/>
        <w:rPr>
          <w:rFonts w:ascii="Times New Roman" w:hAnsi="Times New Roman"/>
          <w:b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 xml:space="preserve">Tabuľka č. 3 </w:t>
      </w:r>
      <w:r w:rsidRPr="0031728F" w:rsidR="00AD1CF5">
        <w:rPr>
          <w:rFonts w:ascii="Times New Roman" w:hAnsi="Times New Roman"/>
          <w:bCs/>
          <w:color w:val="000000" w:themeColor="tx1" w:themeShade="FF"/>
          <w:sz w:val="24"/>
          <w:szCs w:val="24"/>
          <w:lang w:eastAsia="sk-SK"/>
        </w:rPr>
        <w:t xml:space="preserve"> </w:t>
      </w:r>
      <w:r w:rsidRPr="0031728F" w:rsidR="002C1073">
        <w:rPr>
          <w:rFonts w:ascii="Times New Roman" w:hAnsi="Times New Roman"/>
          <w:bCs/>
          <w:color w:val="000000" w:themeColor="tx1" w:themeShade="FF"/>
          <w:sz w:val="24"/>
          <w:szCs w:val="24"/>
          <w:lang w:eastAsia="sk-SK"/>
        </w:rPr>
        <w:t>- Národná diaľničná spoločnosť, a.</w:t>
      </w:r>
      <w:r w:rsidR="00CE4F1F">
        <w:rPr>
          <w:rFonts w:ascii="Times New Roman" w:hAnsi="Times New Roman"/>
          <w:bCs/>
          <w:color w:val="000000" w:themeColor="tx1" w:themeShade="FF"/>
          <w:sz w:val="24"/>
          <w:szCs w:val="24"/>
          <w:lang w:eastAsia="sk-SK"/>
        </w:rPr>
        <w:t xml:space="preserve"> </w:t>
      </w:r>
      <w:r w:rsidRPr="0031728F" w:rsidR="002C1073">
        <w:rPr>
          <w:rFonts w:ascii="Times New Roman" w:hAnsi="Times New Roman"/>
          <w:bCs/>
          <w:color w:val="000000" w:themeColor="tx1" w:themeShade="FF"/>
          <w:sz w:val="24"/>
          <w:szCs w:val="24"/>
          <w:lang w:eastAsia="sk-SK"/>
        </w:rPr>
        <w:t>s</w:t>
      </w:r>
      <w:r w:rsidR="00CE4F1F">
        <w:rPr>
          <w:rFonts w:ascii="Times New Roman" w:hAnsi="Times New Roman"/>
          <w:bCs/>
          <w:color w:val="000000" w:themeColor="tx1" w:themeShade="FF"/>
          <w:sz w:val="24"/>
          <w:szCs w:val="24"/>
          <w:lang w:eastAsia="sk-SK"/>
        </w:rPr>
        <w:t>.</w:t>
      </w: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85334B">
            <w:pPr>
              <w:bidi w:val="0"/>
              <w:spacing w:after="0" w:line="240" w:lineRule="auto"/>
              <w:jc w:val="center"/>
              <w:rPr>
                <w:rFonts w:ascii="Times New Roman" w:hAnsi="Times New Roman"/>
                <w:b/>
                <w:bCs/>
                <w:color w:val="000000" w:themeColor="tx1" w:themeShade="FF"/>
                <w:sz w:val="24"/>
                <w:szCs w:val="24"/>
                <w:lang w:eastAsia="sk-SK"/>
              </w:rPr>
            </w:pPr>
            <w:r w:rsidRPr="0031728F" w:rsidR="002A2E2B">
              <w:rPr>
                <w:rFonts w:ascii="Times New Roman" w:hAnsi="Times New Roman"/>
                <w:b/>
                <w:bCs/>
                <w:color w:val="000000" w:themeColor="tx1" w:themeShade="FF"/>
                <w:sz w:val="24"/>
                <w:szCs w:val="24"/>
                <w:lang w:eastAsia="sk-SK"/>
              </w:rPr>
              <w:t>20</w:t>
            </w:r>
            <w:r w:rsidRPr="0031728F" w:rsidR="00EF62AE">
              <w:rPr>
                <w:rFonts w:ascii="Times New Roman" w:hAnsi="Times New Roman"/>
                <w:b/>
                <w:bCs/>
                <w:color w:val="000000" w:themeColor="tx1" w:themeShade="FF"/>
                <w:sz w:val="24"/>
                <w:szCs w:val="24"/>
                <w:lang w:eastAsia="sk-SK"/>
              </w:rPr>
              <w:t>21</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85334B">
            <w:pPr>
              <w:bidi w:val="0"/>
              <w:spacing w:after="0" w:line="240" w:lineRule="auto"/>
              <w:jc w:val="center"/>
              <w:rPr>
                <w:rFonts w:ascii="Times New Roman" w:hAnsi="Times New Roman"/>
                <w:b/>
                <w:bCs/>
                <w:color w:val="000000" w:themeColor="tx1" w:themeShade="FF"/>
                <w:sz w:val="24"/>
                <w:szCs w:val="24"/>
                <w:lang w:eastAsia="sk-SK"/>
              </w:rPr>
            </w:pPr>
            <w:r w:rsidRPr="0031728F" w:rsidR="00CE0EDC">
              <w:rPr>
                <w:rFonts w:ascii="Times New Roman" w:hAnsi="Times New Roman"/>
                <w:b/>
                <w:bCs/>
                <w:color w:val="000000" w:themeColor="tx1" w:themeShade="FF"/>
                <w:sz w:val="24"/>
                <w:szCs w:val="24"/>
                <w:lang w:eastAsia="sk-SK"/>
              </w:rPr>
              <w:t>202</w:t>
            </w:r>
            <w:r w:rsidRPr="0031728F" w:rsidR="00EF62AE">
              <w:rPr>
                <w:rFonts w:ascii="Times New Roman" w:hAnsi="Times New Roman"/>
                <w:b/>
                <w:bCs/>
                <w:color w:val="000000" w:themeColor="tx1" w:themeShade="FF"/>
                <w:sz w:val="24"/>
                <w:szCs w:val="24"/>
                <w:lang w:eastAsia="sk-SK"/>
              </w:rPr>
              <w:t>2</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85334B">
            <w:pPr>
              <w:bidi w:val="0"/>
              <w:spacing w:after="0" w:line="240" w:lineRule="auto"/>
              <w:jc w:val="center"/>
              <w:rPr>
                <w:rFonts w:ascii="Times New Roman" w:hAnsi="Times New Roman"/>
                <w:b/>
                <w:bCs/>
                <w:color w:val="000000" w:themeColor="tx1" w:themeShade="FF"/>
                <w:sz w:val="24"/>
                <w:szCs w:val="24"/>
                <w:lang w:eastAsia="sk-SK"/>
              </w:rPr>
            </w:pPr>
            <w:r w:rsidRPr="0031728F" w:rsidR="00CE0EDC">
              <w:rPr>
                <w:rFonts w:ascii="Times New Roman" w:hAnsi="Times New Roman"/>
                <w:b/>
                <w:bCs/>
                <w:color w:val="000000" w:themeColor="tx1" w:themeShade="FF"/>
                <w:sz w:val="24"/>
                <w:szCs w:val="24"/>
                <w:lang w:eastAsia="sk-SK"/>
              </w:rPr>
              <w:t>202</w:t>
            </w:r>
            <w:r w:rsidRPr="0031728F" w:rsidR="00EF62AE">
              <w:rPr>
                <w:rFonts w:ascii="Times New Roman" w:hAnsi="Times New Roman"/>
                <w:b/>
                <w:bCs/>
                <w:color w:val="000000" w:themeColor="tx1" w:themeShade="FF"/>
                <w:sz w:val="24"/>
                <w:szCs w:val="24"/>
                <w:lang w:eastAsia="sk-SK"/>
              </w:rPr>
              <w:t>3</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85334B">
            <w:pPr>
              <w:bidi w:val="0"/>
              <w:spacing w:after="0" w:line="240" w:lineRule="auto"/>
              <w:jc w:val="center"/>
              <w:rPr>
                <w:rFonts w:ascii="Times New Roman" w:hAnsi="Times New Roman"/>
                <w:b/>
                <w:bCs/>
                <w:color w:val="000000" w:themeColor="tx1" w:themeShade="FF"/>
                <w:sz w:val="24"/>
                <w:szCs w:val="24"/>
                <w:lang w:eastAsia="sk-SK"/>
              </w:rPr>
            </w:pPr>
            <w:r w:rsidRPr="0031728F" w:rsidR="002A2E2B">
              <w:rPr>
                <w:rFonts w:ascii="Times New Roman" w:hAnsi="Times New Roman"/>
                <w:b/>
                <w:bCs/>
                <w:color w:val="000000" w:themeColor="tx1" w:themeShade="FF"/>
                <w:sz w:val="24"/>
                <w:szCs w:val="24"/>
                <w:lang w:eastAsia="sk-SK"/>
              </w:rPr>
              <w:t>20</w:t>
            </w:r>
            <w:r w:rsidRPr="0031728F" w:rsidR="00CE0EDC">
              <w:rPr>
                <w:rFonts w:ascii="Times New Roman" w:hAnsi="Times New Roman"/>
                <w:b/>
                <w:bCs/>
                <w:color w:val="000000" w:themeColor="tx1" w:themeShade="FF"/>
                <w:sz w:val="24"/>
                <w:szCs w:val="24"/>
                <w:lang w:eastAsia="sk-SK"/>
              </w:rPr>
              <w:t>2</w:t>
            </w:r>
            <w:r w:rsidRPr="0031728F" w:rsidR="00EF62AE">
              <w:rPr>
                <w:rFonts w:ascii="Times New Roman" w:hAnsi="Times New Roman"/>
                <w:b/>
                <w:bCs/>
                <w:color w:val="000000" w:themeColor="tx1" w:themeShade="FF"/>
                <w:sz w:val="24"/>
                <w:szCs w:val="24"/>
                <w:lang w:eastAsia="sk-SK"/>
              </w:rPr>
              <w:t>4</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vertAlign w:val="superscript"/>
                <w:lang w:eastAsia="sk-SK"/>
              </w:rPr>
            </w:pPr>
            <w:r w:rsidRPr="0031728F">
              <w:rPr>
                <w:rFonts w:ascii="Times New Roman" w:hAnsi="Times New Roman"/>
                <w:b/>
                <w:bCs/>
                <w:color w:val="000000" w:themeColor="tx1" w:themeShade="FF"/>
                <w:sz w:val="24"/>
                <w:szCs w:val="24"/>
                <w:lang w:eastAsia="sk-SK"/>
              </w:rPr>
              <w:t>Daňové príjmy (100)</w:t>
            </w:r>
            <w:r w:rsidRPr="0031728F">
              <w:rPr>
                <w:rFonts w:ascii="Times New Roman" w:hAnsi="Times New Roman"/>
                <w:b/>
                <w:bCs/>
                <w:color w:val="000000" w:themeColor="tx1" w:themeShade="FF"/>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Nedaňové príjmy (200)</w:t>
            </w:r>
            <w:r w:rsidRPr="0031728F">
              <w:rPr>
                <w:rFonts w:ascii="Times New Roman" w:hAnsi="Times New Roman"/>
                <w:b/>
                <w:bCs/>
                <w:color w:val="000000" w:themeColor="tx1" w:themeShade="FF"/>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Granty a transfery (300)</w:t>
            </w:r>
            <w:r w:rsidRPr="0031728F">
              <w:rPr>
                <w:rFonts w:ascii="Times New Roman" w:hAnsi="Times New Roman"/>
                <w:b/>
                <w:bCs/>
                <w:color w:val="000000" w:themeColor="tx1" w:themeShade="FF"/>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31728F" w:rsidP="00A62D4B">
            <w:pPr>
              <w:bidi w:val="0"/>
              <w:spacing w:after="0" w:line="240" w:lineRule="auto"/>
              <w:jc w:val="right"/>
              <w:rPr>
                <w:rFonts w:ascii="Times New Roman" w:hAnsi="Times New Roman"/>
                <w:b/>
                <w:bCs/>
                <w:color w:val="000000" w:themeColor="tx1" w:themeShade="FF"/>
                <w:sz w:val="24"/>
                <w:szCs w:val="24"/>
                <w:lang w:eastAsia="sk-SK"/>
              </w:rPr>
            </w:pPr>
            <w:r w:rsidRPr="0031728F" w:rsidR="002C1073">
              <w:rPr>
                <w:rFonts w:ascii="Times New Roman" w:hAnsi="Times New Roman"/>
                <w:b/>
                <w:bCs/>
                <w:color w:val="000000" w:themeColor="tx1" w:themeShade="FF"/>
                <w:sz w:val="24"/>
                <w:szCs w:val="24"/>
                <w:lang w:eastAsia="sk-SK"/>
              </w:rPr>
              <w:t>14</w:t>
            </w:r>
            <w:r w:rsidRPr="0031728F" w:rsidR="00A62D4B">
              <w:rPr>
                <w:rFonts w:ascii="Times New Roman" w:hAnsi="Times New Roman"/>
                <w:b/>
                <w:bCs/>
                <w:color w:val="000000" w:themeColor="tx1" w:themeShade="FF"/>
                <w:sz w:val="24"/>
                <w:szCs w:val="24"/>
                <w:lang w:eastAsia="sk-SK"/>
              </w:rPr>
              <w:t>4</w:t>
            </w:r>
            <w:r w:rsidRPr="0031728F" w:rsidR="002C1073">
              <w:rPr>
                <w:rFonts w:ascii="Times New Roman" w:hAnsi="Times New Roman"/>
                <w:b/>
                <w:bCs/>
                <w:color w:val="000000" w:themeColor="tx1" w:themeShade="FF"/>
                <w:sz w:val="24"/>
                <w:szCs w:val="24"/>
                <w:lang w:eastAsia="sk-SK"/>
              </w:rPr>
              <w:t xml:space="preserve"> </w:t>
            </w:r>
            <w:r w:rsidRPr="0031728F" w:rsidR="00A62D4B">
              <w:rPr>
                <w:rFonts w:ascii="Times New Roman" w:hAnsi="Times New Roman"/>
                <w:b/>
                <w:bCs/>
                <w:color w:val="000000" w:themeColor="tx1" w:themeShade="FF"/>
                <w:sz w:val="24"/>
                <w:szCs w:val="24"/>
                <w:lang w:eastAsia="sk-SK"/>
              </w:rPr>
              <w:t>0</w:t>
            </w:r>
            <w:r w:rsidRPr="0031728F" w:rsidR="002C1073">
              <w:rPr>
                <w:rFonts w:ascii="Times New Roman" w:hAnsi="Times New Roman"/>
                <w:b/>
                <w:bCs/>
                <w:color w:val="000000" w:themeColor="tx1" w:themeShade="FF"/>
                <w:sz w:val="24"/>
                <w:szCs w:val="24"/>
                <w:lang w:eastAsia="sk-SK"/>
              </w:rPr>
              <w:t>00</w:t>
            </w:r>
          </w:p>
        </w:tc>
        <w:tc>
          <w:tcPr>
            <w:tcW w:w="300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0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0C07B7">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31728F" w:rsidP="00A62D4B">
            <w:pPr>
              <w:bidi w:val="0"/>
              <w:spacing w:after="0" w:line="240" w:lineRule="auto"/>
              <w:jc w:val="right"/>
              <w:rPr>
                <w:rFonts w:ascii="Times New Roman" w:hAnsi="Times New Roman"/>
                <w:b/>
                <w:bCs/>
                <w:color w:val="000000" w:themeColor="tx1" w:themeShade="FF"/>
                <w:sz w:val="24"/>
                <w:szCs w:val="24"/>
                <w:lang w:eastAsia="sk-SK"/>
              </w:rPr>
            </w:pPr>
            <w:r w:rsidRPr="0031728F" w:rsidR="002C1073">
              <w:rPr>
                <w:rFonts w:ascii="Times New Roman" w:hAnsi="Times New Roman"/>
                <w:b/>
                <w:bCs/>
                <w:color w:val="000000" w:themeColor="tx1" w:themeShade="FF"/>
                <w:sz w:val="24"/>
                <w:szCs w:val="24"/>
                <w:lang w:eastAsia="sk-SK"/>
              </w:rPr>
              <w:t>14</w:t>
            </w:r>
            <w:r w:rsidRPr="0031728F" w:rsidR="00A62D4B">
              <w:rPr>
                <w:rFonts w:ascii="Times New Roman" w:hAnsi="Times New Roman"/>
                <w:b/>
                <w:bCs/>
                <w:color w:val="000000" w:themeColor="tx1" w:themeShade="FF"/>
                <w:sz w:val="24"/>
                <w:szCs w:val="24"/>
                <w:lang w:eastAsia="sk-SK"/>
              </w:rPr>
              <w:t>4</w:t>
            </w:r>
            <w:r w:rsidRPr="0031728F" w:rsidR="002C1073">
              <w:rPr>
                <w:rFonts w:ascii="Times New Roman" w:hAnsi="Times New Roman"/>
                <w:b/>
                <w:bCs/>
                <w:color w:val="000000" w:themeColor="tx1" w:themeShade="FF"/>
                <w:sz w:val="24"/>
                <w:szCs w:val="24"/>
                <w:lang w:eastAsia="sk-SK"/>
              </w:rPr>
              <w:t xml:space="preserve"> </w:t>
            </w:r>
            <w:r w:rsidRPr="0031728F" w:rsidR="00A62D4B">
              <w:rPr>
                <w:rFonts w:ascii="Times New Roman" w:hAnsi="Times New Roman"/>
                <w:b/>
                <w:bCs/>
                <w:color w:val="000000" w:themeColor="tx1" w:themeShade="FF"/>
                <w:sz w:val="24"/>
                <w:szCs w:val="24"/>
                <w:lang w:eastAsia="sk-SK"/>
              </w:rPr>
              <w:t>0</w:t>
            </w:r>
            <w:r w:rsidRPr="0031728F" w:rsidR="002C1073">
              <w:rPr>
                <w:rFonts w:ascii="Times New Roman" w:hAnsi="Times New Roman"/>
                <w:b/>
                <w:bCs/>
                <w:color w:val="000000" w:themeColor="tx1" w:themeShade="FF"/>
                <w:sz w:val="24"/>
                <w:szCs w:val="24"/>
                <w:lang w:eastAsia="sk-SK"/>
              </w:rPr>
              <w:t>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bl>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D5748" w:rsidRPr="0031728F" w:rsidP="007D5748">
      <w:pPr>
        <w:tabs>
          <w:tab w:val="num" w:pos="1080"/>
        </w:tabs>
        <w:bidi w:val="0"/>
        <w:spacing w:after="0" w:line="240" w:lineRule="auto"/>
        <w:ind w:right="-32"/>
        <w:jc w:val="right"/>
        <w:rPr>
          <w:rFonts w:ascii="Times New Roman" w:hAnsi="Times New Roman"/>
          <w:b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Tabuľka č. 4</w:t>
      </w:r>
      <w:r w:rsidRPr="0031728F" w:rsidR="00AD1CF5">
        <w:rPr>
          <w:rFonts w:ascii="Times New Roman" w:hAnsi="Times New Roman"/>
          <w:bCs/>
          <w:color w:val="000000" w:themeColor="tx1" w:themeShade="FF"/>
          <w:sz w:val="24"/>
          <w:szCs w:val="24"/>
          <w:lang w:eastAsia="sk-SK"/>
        </w:rPr>
        <w:t xml:space="preserve"> - </w:t>
      </w:r>
      <w:r w:rsidRPr="0031728F" w:rsidR="00AD1CF5">
        <w:rPr>
          <w:rFonts w:ascii="Times New Roman" w:hAnsi="Times New Roman"/>
          <w:color w:val="000000" w:themeColor="tx1" w:themeShade="FF"/>
          <w:sz w:val="24"/>
          <w:szCs w:val="24"/>
          <w:lang w:eastAsia="sk-SK"/>
        </w:rPr>
        <w:t>Národná diaľničná spoločnosť, a. s.</w:t>
      </w:r>
      <w:r w:rsidRPr="0031728F">
        <w:rPr>
          <w:rFonts w:ascii="Times New Roman" w:hAnsi="Times New Roman"/>
          <w:bCs/>
          <w:color w:val="000000" w:themeColor="tx1" w:themeShade="FF"/>
          <w:sz w:val="24"/>
          <w:szCs w:val="24"/>
          <w:lang w:eastAsia="sk-SK"/>
        </w:rPr>
        <w:t xml:space="preserve"> </w:t>
      </w:r>
    </w:p>
    <w:p w:rsidR="007D5748" w:rsidRPr="0031728F" w:rsidP="007D5748">
      <w:pPr>
        <w:tabs>
          <w:tab w:val="num" w:pos="1080"/>
        </w:tabs>
        <w:bidi w:val="0"/>
        <w:spacing w:after="0" w:line="240" w:lineRule="auto"/>
        <w:jc w:val="both"/>
        <w:rPr>
          <w:rFonts w:ascii="Times New Roman" w:hAnsi="Times New Roman"/>
          <w:bCs/>
          <w:color w:val="000000" w:themeColor="tx1" w:themeShade="FF"/>
          <w:sz w:val="24"/>
          <w:szCs w:val="24"/>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31728F" w:rsidP="007D574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31728F" w:rsidP="002A76C0">
            <w:pPr>
              <w:bidi w:val="0"/>
              <w:spacing w:after="0" w:line="240" w:lineRule="auto"/>
              <w:jc w:val="right"/>
              <w:rPr>
                <w:rFonts w:ascii="Times New Roman" w:hAnsi="Times New Roman"/>
                <w:b/>
                <w:bCs/>
                <w:color w:val="000000" w:themeColor="tx1" w:themeShade="FF"/>
                <w:sz w:val="24"/>
                <w:szCs w:val="24"/>
                <w:lang w:eastAsia="sk-SK"/>
              </w:rPr>
            </w:pPr>
            <w:r w:rsidRPr="0031728F" w:rsidR="0085334B">
              <w:rPr>
                <w:rFonts w:ascii="Times New Roman" w:hAnsi="Times New Roman"/>
                <w:b/>
                <w:bCs/>
                <w:color w:val="000000" w:themeColor="tx1" w:themeShade="FF"/>
                <w:sz w:val="24"/>
                <w:szCs w:val="24"/>
                <w:lang w:eastAsia="sk-SK"/>
              </w:rPr>
              <w:t>202</w:t>
            </w:r>
            <w:r w:rsidRPr="0031728F" w:rsidR="002A76C0">
              <w:rPr>
                <w:rFonts w:ascii="Times New Roman" w:hAnsi="Times New Roman"/>
                <w:b/>
                <w:bCs/>
                <w:color w:val="000000" w:themeColor="tx1" w:themeShade="FF"/>
                <w:sz w:val="24"/>
                <w:szCs w:val="24"/>
                <w:lang w:eastAsia="sk-SK"/>
              </w:rPr>
              <w:t>1</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31728F" w:rsidP="002A76C0">
            <w:pPr>
              <w:bidi w:val="0"/>
              <w:spacing w:after="0" w:line="240" w:lineRule="auto"/>
              <w:jc w:val="right"/>
              <w:rPr>
                <w:rFonts w:ascii="Times New Roman" w:hAnsi="Times New Roman"/>
                <w:b/>
                <w:bCs/>
                <w:color w:val="000000" w:themeColor="tx1" w:themeShade="FF"/>
                <w:sz w:val="24"/>
                <w:szCs w:val="24"/>
                <w:lang w:eastAsia="sk-SK"/>
              </w:rPr>
            </w:pPr>
            <w:r w:rsidRPr="0031728F" w:rsidR="00CE0EDC">
              <w:rPr>
                <w:rFonts w:ascii="Times New Roman" w:hAnsi="Times New Roman"/>
                <w:b/>
                <w:bCs/>
                <w:color w:val="000000" w:themeColor="tx1" w:themeShade="FF"/>
                <w:sz w:val="24"/>
                <w:szCs w:val="24"/>
                <w:lang w:eastAsia="sk-SK"/>
              </w:rPr>
              <w:t>202</w:t>
            </w:r>
            <w:r w:rsidRPr="0031728F" w:rsidR="002A76C0">
              <w:rPr>
                <w:rFonts w:ascii="Times New Roman" w:hAnsi="Times New Roman"/>
                <w:b/>
                <w:bCs/>
                <w:color w:val="000000" w:themeColor="tx1" w:themeShade="FF"/>
                <w:sz w:val="24"/>
                <w:szCs w:val="24"/>
                <w:lang w:eastAsia="sk-SK"/>
              </w:rPr>
              <w:t>2</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31728F" w:rsidP="002A76C0">
            <w:pPr>
              <w:bidi w:val="0"/>
              <w:spacing w:after="0" w:line="240" w:lineRule="auto"/>
              <w:jc w:val="right"/>
              <w:rPr>
                <w:rFonts w:ascii="Times New Roman" w:hAnsi="Times New Roman"/>
                <w:b/>
                <w:bCs/>
                <w:color w:val="000000" w:themeColor="tx1" w:themeShade="FF"/>
                <w:sz w:val="24"/>
                <w:szCs w:val="24"/>
                <w:lang w:eastAsia="sk-SK"/>
              </w:rPr>
            </w:pPr>
            <w:r w:rsidRPr="0031728F" w:rsidR="00CE0EDC">
              <w:rPr>
                <w:rFonts w:ascii="Times New Roman" w:hAnsi="Times New Roman"/>
                <w:b/>
                <w:bCs/>
                <w:color w:val="000000" w:themeColor="tx1" w:themeShade="FF"/>
                <w:sz w:val="24"/>
                <w:szCs w:val="24"/>
                <w:lang w:eastAsia="sk-SK"/>
              </w:rPr>
              <w:t>202</w:t>
            </w:r>
            <w:r w:rsidRPr="0031728F" w:rsidR="002A76C0">
              <w:rPr>
                <w:rFonts w:ascii="Times New Roman" w:hAnsi="Times New Roman"/>
                <w:b/>
                <w:bCs/>
                <w:color w:val="000000" w:themeColor="tx1" w:themeShade="FF"/>
                <w:sz w:val="24"/>
                <w:szCs w:val="24"/>
                <w:lang w:eastAsia="sk-SK"/>
              </w:rPr>
              <w:t>3</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31728F" w:rsidP="002A76C0">
            <w:pPr>
              <w:bidi w:val="0"/>
              <w:spacing w:after="0" w:line="240" w:lineRule="auto"/>
              <w:jc w:val="right"/>
              <w:rPr>
                <w:rFonts w:ascii="Times New Roman" w:hAnsi="Times New Roman"/>
                <w:b/>
                <w:bCs/>
                <w:color w:val="000000" w:themeColor="tx1" w:themeShade="FF"/>
                <w:sz w:val="24"/>
                <w:szCs w:val="24"/>
                <w:lang w:eastAsia="sk-SK"/>
              </w:rPr>
            </w:pPr>
            <w:r w:rsidRPr="0031728F" w:rsidR="002A2E2B">
              <w:rPr>
                <w:rFonts w:ascii="Times New Roman" w:hAnsi="Times New Roman"/>
                <w:b/>
                <w:bCs/>
                <w:color w:val="000000" w:themeColor="tx1" w:themeShade="FF"/>
                <w:sz w:val="24"/>
                <w:szCs w:val="24"/>
                <w:lang w:eastAsia="sk-SK"/>
              </w:rPr>
              <w:t>20</w:t>
            </w:r>
            <w:r w:rsidRPr="0031728F" w:rsidR="00CE0EDC">
              <w:rPr>
                <w:rFonts w:ascii="Times New Roman" w:hAnsi="Times New Roman"/>
                <w:b/>
                <w:bCs/>
                <w:color w:val="000000" w:themeColor="tx1" w:themeShade="FF"/>
                <w:sz w:val="24"/>
                <w:szCs w:val="24"/>
                <w:lang w:eastAsia="sk-SK"/>
              </w:rPr>
              <w:t>2</w:t>
            </w:r>
            <w:r w:rsidRPr="0031728F" w:rsidR="002A76C0">
              <w:rPr>
                <w:rFonts w:ascii="Times New Roman" w:hAnsi="Times New Roman"/>
                <w:b/>
                <w:bCs/>
                <w:color w:val="000000" w:themeColor="tx1" w:themeShade="FF"/>
                <w:sz w:val="24"/>
                <w:szCs w:val="24"/>
                <w:lang w:eastAsia="sk-SK"/>
              </w:rPr>
              <w:t>4</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4651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4651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4651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A62D4B">
            <w:pPr>
              <w:bidi w:val="0"/>
              <w:spacing w:after="0" w:line="240" w:lineRule="auto"/>
              <w:jc w:val="right"/>
              <w:rPr>
                <w:rFonts w:ascii="Times New Roman" w:hAnsi="Times New Roman"/>
                <w:b/>
                <w:bCs/>
                <w:color w:val="000000" w:themeColor="tx1" w:themeShade="FF"/>
                <w:sz w:val="24"/>
                <w:szCs w:val="24"/>
                <w:lang w:eastAsia="sk-SK"/>
              </w:rPr>
            </w:pPr>
            <w:r w:rsidRPr="0031728F" w:rsidR="00805948">
              <w:rPr>
                <w:rFonts w:ascii="Times New Roman" w:hAnsi="Times New Roman"/>
                <w:b/>
                <w:bCs/>
                <w:color w:val="000000" w:themeColor="tx1" w:themeShade="FF"/>
                <w:sz w:val="24"/>
                <w:szCs w:val="24"/>
                <w:lang w:eastAsia="sk-SK"/>
              </w:rPr>
              <w:t>14</w:t>
            </w:r>
            <w:r w:rsidRPr="0031728F" w:rsidR="00A62D4B">
              <w:rPr>
                <w:rFonts w:ascii="Times New Roman" w:hAnsi="Times New Roman"/>
                <w:b/>
                <w:bCs/>
                <w:color w:val="000000" w:themeColor="tx1" w:themeShade="FF"/>
                <w:sz w:val="24"/>
                <w:szCs w:val="24"/>
                <w:lang w:eastAsia="sk-SK"/>
              </w:rPr>
              <w:t>4</w:t>
            </w:r>
            <w:r w:rsidRPr="0031728F" w:rsidR="00805948">
              <w:rPr>
                <w:rFonts w:ascii="Times New Roman" w:hAnsi="Times New Roman"/>
                <w:b/>
                <w:bCs/>
                <w:color w:val="000000" w:themeColor="tx1" w:themeShade="FF"/>
                <w:sz w:val="24"/>
                <w:szCs w:val="24"/>
                <w:lang w:eastAsia="sk-SK"/>
              </w:rPr>
              <w:t xml:space="preserve"> </w:t>
            </w:r>
            <w:r w:rsidRPr="0031728F" w:rsidR="00A62D4B">
              <w:rPr>
                <w:rFonts w:ascii="Times New Roman" w:hAnsi="Times New Roman"/>
                <w:b/>
                <w:bCs/>
                <w:color w:val="000000" w:themeColor="tx1" w:themeShade="FF"/>
                <w:sz w:val="24"/>
                <w:szCs w:val="24"/>
                <w:lang w:eastAsia="sk-SK"/>
              </w:rPr>
              <w:t>0</w:t>
            </w:r>
            <w:r w:rsidRPr="0031728F" w:rsidR="00805948">
              <w:rPr>
                <w:rFonts w:ascii="Times New Roman" w:hAnsi="Times New Roman"/>
                <w:b/>
                <w:bCs/>
                <w:color w:val="000000" w:themeColor="tx1" w:themeShade="FF"/>
                <w:sz w:val="24"/>
                <w:szCs w:val="24"/>
                <w:lang w:eastAsia="sk-SK"/>
              </w:rPr>
              <w:t>00</w:t>
            </w: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vertAlign w:val="superscript"/>
                <w:lang w:eastAsia="sk-SK"/>
              </w:rPr>
            </w:pPr>
            <w:r w:rsidRPr="0031728F">
              <w:rPr>
                <w:rFonts w:ascii="Times New Roman" w:hAnsi="Times New Roman"/>
                <w:color w:val="000000" w:themeColor="tx1" w:themeShade="FF"/>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vertAlign w:val="superscript"/>
                <w:lang w:eastAsia="sk-SK"/>
              </w:rPr>
            </w:pPr>
            <w:r w:rsidRPr="0031728F">
              <w:rPr>
                <w:rFonts w:ascii="Times New Roman" w:hAnsi="Times New Roman"/>
                <w:color w:val="000000" w:themeColor="tx1" w:themeShade="FF"/>
                <w:sz w:val="24"/>
                <w:szCs w:val="24"/>
                <w:lang w:eastAsia="sk-SK"/>
              </w:rPr>
              <w:t xml:space="preserve">  Tovary a služby (630)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r w:rsidRPr="0031728F" w:rsidR="0046518F">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r w:rsidRPr="0031728F" w:rsidR="0046518F">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r w:rsidRPr="0031728F" w:rsidR="0046518F">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A62D4B">
            <w:pPr>
              <w:bidi w:val="0"/>
              <w:spacing w:after="0" w:line="240" w:lineRule="auto"/>
              <w:jc w:val="right"/>
              <w:rPr>
                <w:rFonts w:ascii="Times New Roman" w:hAnsi="Times New Roman"/>
                <w:color w:val="000000" w:themeColor="tx1" w:themeShade="FF"/>
                <w:sz w:val="24"/>
                <w:szCs w:val="24"/>
                <w:lang w:eastAsia="sk-SK"/>
              </w:rPr>
            </w:pPr>
            <w:r w:rsidRPr="0031728F" w:rsidR="007130DF">
              <w:rPr>
                <w:rFonts w:ascii="Times New Roman" w:hAnsi="Times New Roman"/>
                <w:b/>
                <w:bCs/>
                <w:color w:val="000000" w:themeColor="tx1" w:themeShade="FF"/>
                <w:sz w:val="24"/>
                <w:szCs w:val="24"/>
                <w:lang w:eastAsia="sk-SK"/>
              </w:rPr>
              <w:t>14</w:t>
            </w:r>
            <w:r w:rsidRPr="0031728F" w:rsidR="00A62D4B">
              <w:rPr>
                <w:rFonts w:ascii="Times New Roman" w:hAnsi="Times New Roman"/>
                <w:b/>
                <w:bCs/>
                <w:color w:val="000000" w:themeColor="tx1" w:themeShade="FF"/>
                <w:sz w:val="24"/>
                <w:szCs w:val="24"/>
                <w:lang w:eastAsia="sk-SK"/>
              </w:rPr>
              <w:t>4 0</w:t>
            </w:r>
            <w:r w:rsidRPr="0031728F" w:rsidR="007130DF">
              <w:rPr>
                <w:rFonts w:ascii="Times New Roman" w:hAnsi="Times New Roman"/>
                <w:b/>
                <w:bCs/>
                <w:color w:val="000000" w:themeColor="tx1" w:themeShade="FF"/>
                <w:sz w:val="24"/>
                <w:szCs w:val="24"/>
                <w:lang w:eastAsia="sk-SK"/>
              </w:rPr>
              <w:t>00</w:t>
            </w: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Bežné transfery (640)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D5748" w:rsidRPr="0031728F" w:rsidP="008D339D">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Splácanie úrokov a ostatné platby súvisiace s </w:t>
            </w:r>
            <w:r w:rsidRPr="0031728F" w:rsidR="008D339D">
              <w:rPr>
                <w:rFonts w:ascii="Times New Roman" w:hAnsi="Times New Roman"/>
                <w:color w:val="000000" w:themeColor="tx1" w:themeShade="FF"/>
                <w:sz w:val="24"/>
                <w:szCs w:val="24"/>
              </w:rPr>
              <w:t xml:space="preserve"> </w:t>
            </w:r>
            <w:r w:rsidRPr="0031728F" w:rsidR="008D339D">
              <w:rPr>
                <w:rFonts w:ascii="Times New Roman" w:hAnsi="Times New Roman"/>
                <w:color w:val="000000" w:themeColor="tx1" w:themeShade="FF"/>
                <w:sz w:val="24"/>
                <w:szCs w:val="24"/>
                <w:lang w:eastAsia="sk-SK"/>
              </w:rPr>
              <w:t>úverom, pôžičkou, návratnou finančnou výpomocou a finančným prenájmom</w:t>
            </w:r>
            <w:r w:rsidRPr="0031728F">
              <w:rPr>
                <w:rFonts w:ascii="Times New Roman" w:hAnsi="Times New Roman"/>
                <w:color w:val="000000" w:themeColor="tx1" w:themeShade="FF"/>
                <w:sz w:val="24"/>
                <w:szCs w:val="24"/>
                <w:lang w:eastAsia="sk-SK"/>
              </w:rPr>
              <w:t xml:space="preserve"> (650)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3A647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3A647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3A647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Obstarávanie kapitálových aktív (710)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Kapitálové transfery (720)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31728F" w:rsidP="007D57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46518F">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46518F">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1728F" w:rsidP="006F189B">
            <w:pPr>
              <w:bidi w:val="0"/>
              <w:spacing w:after="0" w:line="240" w:lineRule="auto"/>
              <w:jc w:val="right"/>
              <w:rPr>
                <w:rFonts w:ascii="Times New Roman" w:hAnsi="Times New Roman"/>
                <w:b/>
                <w:bCs/>
                <w:color w:val="000000" w:themeColor="tx1" w:themeShade="FF"/>
                <w:sz w:val="24"/>
                <w:szCs w:val="24"/>
                <w:lang w:eastAsia="sk-SK"/>
              </w:rPr>
            </w:pPr>
            <w:r w:rsidRPr="0031728F" w:rsidR="0046518F">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31728F" w:rsidP="00A62D4B">
            <w:pPr>
              <w:bidi w:val="0"/>
              <w:spacing w:after="0" w:line="240" w:lineRule="auto"/>
              <w:jc w:val="right"/>
              <w:rPr>
                <w:rFonts w:ascii="Times New Roman" w:hAnsi="Times New Roman"/>
                <w:b/>
                <w:bCs/>
                <w:color w:val="000000" w:themeColor="tx1" w:themeShade="FF"/>
                <w:sz w:val="24"/>
                <w:szCs w:val="24"/>
                <w:lang w:eastAsia="sk-SK"/>
              </w:rPr>
            </w:pPr>
            <w:r w:rsidRPr="0031728F" w:rsidR="0002017A">
              <w:rPr>
                <w:rFonts w:ascii="Times New Roman" w:hAnsi="Times New Roman"/>
                <w:b/>
                <w:bCs/>
                <w:color w:val="000000" w:themeColor="tx1" w:themeShade="FF"/>
                <w:sz w:val="24"/>
                <w:szCs w:val="24"/>
                <w:lang w:eastAsia="sk-SK"/>
              </w:rPr>
              <w:t>14</w:t>
            </w:r>
            <w:r w:rsidRPr="0031728F" w:rsidR="00A62D4B">
              <w:rPr>
                <w:rFonts w:ascii="Times New Roman" w:hAnsi="Times New Roman"/>
                <w:b/>
                <w:bCs/>
                <w:color w:val="000000" w:themeColor="tx1" w:themeShade="FF"/>
                <w:sz w:val="24"/>
                <w:szCs w:val="24"/>
                <w:lang w:eastAsia="sk-SK"/>
              </w:rPr>
              <w:t>4</w:t>
            </w:r>
            <w:r w:rsidRPr="0031728F" w:rsidR="0002017A">
              <w:rPr>
                <w:rFonts w:ascii="Times New Roman" w:hAnsi="Times New Roman"/>
                <w:b/>
                <w:bCs/>
                <w:color w:val="000000" w:themeColor="tx1" w:themeShade="FF"/>
                <w:sz w:val="24"/>
                <w:szCs w:val="24"/>
                <w:lang w:eastAsia="sk-SK"/>
              </w:rPr>
              <w:t xml:space="preserve"> </w:t>
            </w:r>
            <w:r w:rsidRPr="0031728F" w:rsidR="00A62D4B">
              <w:rPr>
                <w:rFonts w:ascii="Times New Roman" w:hAnsi="Times New Roman"/>
                <w:b/>
                <w:bCs/>
                <w:color w:val="000000" w:themeColor="tx1" w:themeShade="FF"/>
                <w:sz w:val="24"/>
                <w:szCs w:val="24"/>
                <w:lang w:eastAsia="sk-SK"/>
              </w:rPr>
              <w:t>0</w:t>
            </w:r>
            <w:r w:rsidRPr="0031728F" w:rsidR="004C5A57">
              <w:rPr>
                <w:rFonts w:ascii="Times New Roman" w:hAnsi="Times New Roman"/>
                <w:b/>
                <w:bCs/>
                <w:color w:val="000000" w:themeColor="tx1" w:themeShade="FF"/>
                <w:sz w:val="24"/>
                <w:szCs w:val="24"/>
                <w:lang w:eastAsia="sk-SK"/>
              </w:rPr>
              <w:t>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D5748" w:rsidRPr="0031728F" w:rsidP="007D57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bl>
    <w:p w:rsidR="007D5748" w:rsidRPr="0031728F" w:rsidP="007D5748">
      <w:pPr>
        <w:tabs>
          <w:tab w:val="num" w:pos="1080"/>
        </w:tabs>
        <w:bidi w:val="0"/>
        <w:spacing w:after="0" w:line="240" w:lineRule="auto"/>
        <w:ind w:left="-900"/>
        <w:jc w:val="both"/>
        <w:rPr>
          <w:rFonts w:ascii="Times New Roman" w:hAnsi="Times New Roman"/>
          <w:bCs/>
          <w:color w:val="000000" w:themeColor="tx1" w:themeShade="FF"/>
          <w:sz w:val="24"/>
          <w:szCs w:val="24"/>
          <w:lang w:eastAsia="sk-SK"/>
        </w:rPr>
      </w:pPr>
    </w:p>
    <w:p w:rsidR="003A647F" w:rsidRPr="0031728F" w:rsidP="007D5748">
      <w:pPr>
        <w:tabs>
          <w:tab w:val="num" w:pos="1080"/>
        </w:tabs>
        <w:bidi w:val="0"/>
        <w:spacing w:after="0" w:line="240" w:lineRule="auto"/>
        <w:ind w:left="-900"/>
        <w:jc w:val="both"/>
        <w:rPr>
          <w:rFonts w:ascii="Times New Roman" w:hAnsi="Times New Roman"/>
          <w:bCs/>
          <w:color w:val="000000" w:themeColor="tx1" w:themeShade="FF"/>
          <w:sz w:val="24"/>
          <w:szCs w:val="24"/>
          <w:lang w:eastAsia="sk-SK"/>
        </w:rPr>
      </w:pPr>
    </w:p>
    <w:p w:rsidR="003A647F" w:rsidRPr="0031728F" w:rsidP="00744D2B">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r w:rsidRPr="0031728F" w:rsidR="00744D2B">
        <w:rPr>
          <w:rFonts w:ascii="Times New Roman" w:hAnsi="Times New Roman"/>
          <w:bCs/>
          <w:color w:val="000000" w:themeColor="tx1" w:themeShade="FF"/>
          <w:sz w:val="24"/>
          <w:szCs w:val="24"/>
          <w:lang w:eastAsia="sk-SK"/>
        </w:rPr>
        <w:t>Tabuľka č. 4 – Slovenská správa ciest</w:t>
      </w:r>
    </w:p>
    <w:p w:rsidR="003A647F" w:rsidRPr="0031728F" w:rsidP="007D5748">
      <w:pPr>
        <w:tabs>
          <w:tab w:val="num" w:pos="1080"/>
        </w:tabs>
        <w:bidi w:val="0"/>
        <w:spacing w:after="0" w:line="240" w:lineRule="auto"/>
        <w:ind w:left="-900"/>
        <w:jc w:val="both"/>
        <w:rPr>
          <w:rFonts w:ascii="Times New Roman" w:hAnsi="Times New Roman"/>
          <w:bCs/>
          <w:color w:val="000000" w:themeColor="tx1" w:themeShade="FF"/>
          <w:sz w:val="24"/>
          <w:szCs w:val="24"/>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44D2B" w:rsidRPr="0031728F" w:rsidP="003C6D95">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44D2B" w:rsidRPr="0031728F" w:rsidP="003C6D95">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44D2B" w:rsidRPr="0031728F" w:rsidP="003C6D95">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44D2B" w:rsidRPr="0031728F" w:rsidP="003C6D95">
            <w:pPr>
              <w:bidi w:val="0"/>
              <w:spacing w:after="0" w:line="240" w:lineRule="auto"/>
              <w:rPr>
                <w:rFonts w:ascii="Times New Roman" w:hAnsi="Times New Roman"/>
                <w:b/>
                <w:bCs/>
                <w:color w:val="000000" w:themeColor="tx1" w:themeShade="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744D2B" w:rsidRPr="0031728F" w:rsidP="003C6D95">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2021</w:t>
            </w:r>
          </w:p>
        </w:tc>
        <w:tc>
          <w:tcPr>
            <w:tcW w:w="1540" w:type="dxa"/>
            <w:tcBorders>
              <w:top w:val="nil"/>
              <w:left w:val="nil"/>
              <w:bottom w:val="single" w:sz="4" w:space="0" w:color="auto"/>
              <w:right w:val="single" w:sz="4" w:space="0" w:color="auto"/>
            </w:tcBorders>
            <w:shd w:val="clear" w:color="auto" w:fill="BFBFBF"/>
            <w:textDirection w:val="lrTb"/>
            <w:vAlign w:val="top"/>
          </w:tcPr>
          <w:p w:rsidR="00744D2B" w:rsidRPr="0031728F" w:rsidP="003C6D95">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2022</w:t>
            </w:r>
          </w:p>
        </w:tc>
        <w:tc>
          <w:tcPr>
            <w:tcW w:w="1540" w:type="dxa"/>
            <w:tcBorders>
              <w:top w:val="nil"/>
              <w:left w:val="nil"/>
              <w:bottom w:val="single" w:sz="4" w:space="0" w:color="auto"/>
              <w:right w:val="single" w:sz="4" w:space="0" w:color="auto"/>
            </w:tcBorders>
            <w:shd w:val="clear" w:color="auto" w:fill="BFBFBF"/>
            <w:textDirection w:val="lrTb"/>
            <w:vAlign w:val="top"/>
          </w:tcPr>
          <w:p w:rsidR="00744D2B" w:rsidRPr="0031728F" w:rsidP="003C6D95">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2023</w:t>
            </w:r>
          </w:p>
        </w:tc>
        <w:tc>
          <w:tcPr>
            <w:tcW w:w="1540" w:type="dxa"/>
            <w:tcBorders>
              <w:top w:val="nil"/>
              <w:left w:val="nil"/>
              <w:bottom w:val="single" w:sz="4" w:space="0" w:color="auto"/>
              <w:right w:val="single" w:sz="4" w:space="0" w:color="auto"/>
            </w:tcBorders>
            <w:shd w:val="clear" w:color="auto" w:fill="BFBFBF"/>
            <w:textDirection w:val="lrTb"/>
            <w:vAlign w:val="top"/>
          </w:tcPr>
          <w:p w:rsidR="00744D2B" w:rsidRPr="0031728F" w:rsidP="003C6D95">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2024</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44D2B" w:rsidRPr="0031728F" w:rsidP="003C6D95">
            <w:pPr>
              <w:bidi w:val="0"/>
              <w:spacing w:after="0" w:line="240" w:lineRule="auto"/>
              <w:rPr>
                <w:rFonts w:ascii="Times New Roman" w:hAnsi="Times New Roman"/>
                <w:b/>
                <w:bCs/>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785844">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826AA0">
              <w:rPr>
                <w:rFonts w:ascii="Times New Roman" w:hAnsi="Times New Roman"/>
                <w:b/>
                <w:bCs/>
                <w:color w:val="000000" w:themeColor="tx1" w:themeShade="FF"/>
                <w:sz w:val="24"/>
                <w:szCs w:val="24"/>
                <w:lang w:eastAsia="sk-SK"/>
              </w:rPr>
              <w:t>1</w:t>
            </w:r>
            <w:r w:rsidRPr="0031728F" w:rsidR="00785844">
              <w:rPr>
                <w:rFonts w:ascii="Times New Roman" w:hAnsi="Times New Roman"/>
                <w:b/>
                <w:bCs/>
                <w:color w:val="000000" w:themeColor="tx1" w:themeShade="FF"/>
                <w:sz w:val="24"/>
                <w:szCs w:val="24"/>
                <w:lang w:eastAsia="sk-SK"/>
              </w:rPr>
              <w:t>50 000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A62D4B">
              <w:rPr>
                <w:rFonts w:ascii="Times New Roman" w:hAnsi="Times New Roman"/>
                <w:b/>
                <w:bCs/>
                <w:color w:val="000000" w:themeColor="tx1" w:themeShade="FF"/>
                <w:sz w:val="24"/>
                <w:szCs w:val="24"/>
                <w:lang w:eastAsia="sk-SK"/>
              </w:rPr>
              <w:t>574 260</w:t>
            </w: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color w:val="000000" w:themeColor="tx1" w:themeShade="FF"/>
                <w:sz w:val="24"/>
                <w:szCs w:val="24"/>
                <w:vertAlign w:val="superscript"/>
                <w:lang w:eastAsia="sk-SK"/>
              </w:rPr>
            </w:pPr>
            <w:r w:rsidRPr="0031728F">
              <w:rPr>
                <w:rFonts w:ascii="Times New Roman" w:hAnsi="Times New Roman"/>
                <w:color w:val="000000" w:themeColor="tx1" w:themeShade="FF"/>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color w:val="000000" w:themeColor="tx1" w:themeShade="FF"/>
                <w:sz w:val="24"/>
                <w:szCs w:val="24"/>
                <w:vertAlign w:val="superscript"/>
                <w:lang w:eastAsia="sk-SK"/>
              </w:rPr>
            </w:pPr>
            <w:r w:rsidRPr="0031728F">
              <w:rPr>
                <w:rFonts w:ascii="Times New Roman" w:hAnsi="Times New Roman"/>
                <w:color w:val="000000" w:themeColor="tx1" w:themeShade="FF"/>
                <w:sz w:val="24"/>
                <w:szCs w:val="24"/>
                <w:lang w:eastAsia="sk-SK"/>
              </w:rPr>
              <w:t xml:space="preserve">  Tovary a služby (630)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r w:rsidRPr="0031728F" w:rsidR="00785844">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r w:rsidRPr="0031728F" w:rsidR="00826AA0">
              <w:rPr>
                <w:rFonts w:ascii="Times New Roman" w:hAnsi="Times New Roman"/>
                <w:bCs/>
                <w:color w:val="000000" w:themeColor="tx1" w:themeShade="FF"/>
                <w:sz w:val="24"/>
                <w:szCs w:val="24"/>
                <w:lang w:eastAsia="sk-SK"/>
              </w:rPr>
              <w:t>1</w:t>
            </w:r>
            <w:r w:rsidRPr="0031728F" w:rsidR="00785844">
              <w:rPr>
                <w:rFonts w:ascii="Times New Roman" w:hAnsi="Times New Roman"/>
                <w:bCs/>
                <w:color w:val="000000" w:themeColor="tx1" w:themeShade="FF"/>
                <w:sz w:val="24"/>
                <w:szCs w:val="24"/>
                <w:lang w:eastAsia="sk-SK"/>
              </w:rPr>
              <w:t>50 000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r w:rsidRPr="0031728F" w:rsidR="00A62D4B">
              <w:rPr>
                <w:rFonts w:ascii="Times New Roman" w:hAnsi="Times New Roman"/>
                <w:b/>
                <w:bCs/>
                <w:color w:val="000000" w:themeColor="tx1" w:themeShade="FF"/>
                <w:sz w:val="24"/>
                <w:szCs w:val="24"/>
                <w:lang w:eastAsia="sk-SK"/>
              </w:rPr>
              <w:t>574 260</w:t>
            </w: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Bežné transfery (640)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Splácanie úrokov a ostatné platby súvisiace s </w:t>
            </w:r>
            <w:r w:rsidRPr="0031728F">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sz w:val="24"/>
                <w:szCs w:val="24"/>
                <w:lang w:eastAsia="sk-SK"/>
              </w:rPr>
              <w:t>úverom, pôžičkou, návratnou finančnou výpomocou a finančným prenájmom (650)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785844">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785844">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Obstarávanie kapitálových aktív (710)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Kapitálové transfery (720)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5948" w:rsidRPr="0031728F" w:rsidP="008059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05948" w:rsidRPr="0031728F" w:rsidP="0080594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785844">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05948" w:rsidRPr="0031728F" w:rsidP="00805948">
            <w:pPr>
              <w:bidi w:val="0"/>
              <w:spacing w:after="0" w:line="240" w:lineRule="auto"/>
              <w:jc w:val="right"/>
              <w:rPr>
                <w:rFonts w:ascii="Times New Roman" w:hAnsi="Times New Roman"/>
                <w:b/>
                <w:bCs/>
                <w:color w:val="000000" w:themeColor="tx1" w:themeShade="FF"/>
                <w:sz w:val="24"/>
                <w:szCs w:val="24"/>
                <w:lang w:eastAsia="sk-SK"/>
              </w:rPr>
            </w:pPr>
            <w:r w:rsidRPr="0031728F" w:rsidR="00826AA0">
              <w:rPr>
                <w:rFonts w:ascii="Times New Roman" w:hAnsi="Times New Roman"/>
                <w:b/>
                <w:bCs/>
                <w:color w:val="000000" w:themeColor="tx1" w:themeShade="FF"/>
                <w:sz w:val="24"/>
                <w:szCs w:val="24"/>
                <w:lang w:eastAsia="sk-SK"/>
              </w:rPr>
              <w:t>1</w:t>
            </w:r>
            <w:r w:rsidRPr="0031728F" w:rsidR="00785844">
              <w:rPr>
                <w:rFonts w:ascii="Times New Roman" w:hAnsi="Times New Roman"/>
                <w:b/>
                <w:bCs/>
                <w:color w:val="000000" w:themeColor="tx1" w:themeShade="FF"/>
                <w:sz w:val="24"/>
                <w:szCs w:val="24"/>
                <w:lang w:eastAsia="sk-SK"/>
              </w:rPr>
              <w:t>50 000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05948" w:rsidRPr="0031728F" w:rsidP="00A62D4B">
            <w:pPr>
              <w:bidi w:val="0"/>
              <w:spacing w:after="0" w:line="240" w:lineRule="auto"/>
              <w:jc w:val="right"/>
              <w:rPr>
                <w:rFonts w:ascii="Times New Roman" w:hAnsi="Times New Roman"/>
                <w:b/>
                <w:bCs/>
                <w:color w:val="000000" w:themeColor="tx1" w:themeShade="FF"/>
                <w:sz w:val="24"/>
                <w:szCs w:val="24"/>
                <w:lang w:eastAsia="sk-SK"/>
              </w:rPr>
            </w:pPr>
            <w:r w:rsidRPr="0031728F" w:rsidR="00A62D4B">
              <w:rPr>
                <w:rFonts w:ascii="Times New Roman" w:hAnsi="Times New Roman"/>
                <w:b/>
                <w:bCs/>
                <w:color w:val="000000" w:themeColor="tx1" w:themeShade="FF"/>
                <w:sz w:val="24"/>
                <w:szCs w:val="24"/>
                <w:lang w:eastAsia="sk-SK"/>
              </w:rPr>
              <w:t>574 260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805948" w:rsidRPr="0031728F" w:rsidP="0080594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bl>
    <w:p w:rsidR="007D5748" w:rsidRPr="0031728F" w:rsidP="00826AA0">
      <w:pPr>
        <w:tabs>
          <w:tab w:val="num" w:pos="1080"/>
        </w:tabs>
        <w:bidi w:val="0"/>
        <w:spacing w:after="0" w:line="240" w:lineRule="auto"/>
        <w:jc w:val="both"/>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787722"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p>
    <w:p w:rsidR="00826AA0" w:rsidRPr="0031728F" w:rsidP="00826AA0">
      <w:pPr>
        <w:tabs>
          <w:tab w:val="num" w:pos="1080"/>
        </w:tabs>
        <w:bidi w:val="0"/>
        <w:spacing w:after="0" w:line="240" w:lineRule="auto"/>
        <w:ind w:left="-900"/>
        <w:jc w:val="right"/>
        <w:rPr>
          <w:rFonts w:ascii="Times New Roman" w:hAnsi="Times New Roman"/>
          <w:bCs/>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Tabuľka č. 4 – MDV SR</w:t>
      </w:r>
    </w:p>
    <w:p w:rsidR="00826AA0" w:rsidRPr="0031728F" w:rsidP="00826AA0">
      <w:pPr>
        <w:tabs>
          <w:tab w:val="num" w:pos="1080"/>
        </w:tabs>
        <w:bidi w:val="0"/>
        <w:spacing w:after="0" w:line="240" w:lineRule="auto"/>
        <w:ind w:left="-900"/>
        <w:jc w:val="both"/>
        <w:rPr>
          <w:rFonts w:ascii="Times New Roman" w:hAnsi="Times New Roman"/>
          <w:bCs/>
          <w:color w:val="000000" w:themeColor="tx1" w:themeShade="FF"/>
          <w:sz w:val="24"/>
          <w:szCs w:val="24"/>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826AA0" w:rsidRPr="0031728F" w:rsidP="00A6715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26AA0" w:rsidRPr="0031728F" w:rsidP="00A67158">
            <w:pPr>
              <w:bidi w:val="0"/>
              <w:spacing w:after="0" w:line="240" w:lineRule="auto"/>
              <w:jc w:val="center"/>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826AA0" w:rsidRPr="0031728F" w:rsidP="00A67158">
            <w:pPr>
              <w:bidi w:val="0"/>
              <w:spacing w:after="0" w:line="240" w:lineRule="auto"/>
              <w:rPr>
                <w:rFonts w:ascii="Times New Roman" w:hAnsi="Times New Roman"/>
                <w:b/>
                <w:bCs/>
                <w:color w:val="000000" w:themeColor="tx1" w:themeShade="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2021</w:t>
            </w:r>
          </w:p>
        </w:tc>
        <w:tc>
          <w:tcPr>
            <w:tcW w:w="1540" w:type="dxa"/>
            <w:tcBorders>
              <w:top w:val="nil"/>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2022</w:t>
            </w:r>
          </w:p>
        </w:tc>
        <w:tc>
          <w:tcPr>
            <w:tcW w:w="1540" w:type="dxa"/>
            <w:tcBorders>
              <w:top w:val="nil"/>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2023</w:t>
            </w:r>
          </w:p>
        </w:tc>
        <w:tc>
          <w:tcPr>
            <w:tcW w:w="1540" w:type="dxa"/>
            <w:tcBorders>
              <w:top w:val="nil"/>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2024</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826AA0" w:rsidRPr="0031728F" w:rsidP="00A67158">
            <w:pPr>
              <w:bidi w:val="0"/>
              <w:spacing w:after="0" w:line="240" w:lineRule="auto"/>
              <w:rPr>
                <w:rFonts w:ascii="Times New Roman" w:hAnsi="Times New Roman"/>
                <w:b/>
                <w:bCs/>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100 000</w:t>
            </w:r>
          </w:p>
        </w:tc>
        <w:tc>
          <w:tcPr>
            <w:tcW w:w="1540" w:type="dxa"/>
            <w:tcBorders>
              <w:top w:val="nil"/>
              <w:left w:val="nil"/>
              <w:bottom w:val="single" w:sz="4" w:space="0" w:color="auto"/>
              <w:right w:val="single" w:sz="4" w:space="0" w:color="auto"/>
            </w:tcBorders>
            <w:textDirection w:val="lrTb"/>
            <w:vAlign w:val="top"/>
          </w:tcPr>
          <w:p w:rsidR="00826AA0" w:rsidRPr="0031728F" w:rsidP="00DF12FD">
            <w:pPr>
              <w:bidi w:val="0"/>
              <w:spacing w:after="0" w:line="240" w:lineRule="auto"/>
              <w:jc w:val="right"/>
              <w:rPr>
                <w:rFonts w:ascii="Times New Roman" w:hAnsi="Times New Roman"/>
                <w:b/>
                <w:bCs/>
                <w:color w:val="000000" w:themeColor="tx1" w:themeShade="FF"/>
                <w:sz w:val="24"/>
                <w:szCs w:val="24"/>
                <w:lang w:eastAsia="sk-SK"/>
              </w:rPr>
            </w:pPr>
            <w:r w:rsidRPr="0031728F" w:rsidR="00F655C1">
              <w:rPr>
                <w:rFonts w:ascii="Times New Roman" w:hAnsi="Times New Roman"/>
                <w:b/>
                <w:bCs/>
                <w:color w:val="000000" w:themeColor="tx1" w:themeShade="FF"/>
                <w:sz w:val="24"/>
                <w:szCs w:val="24"/>
                <w:lang w:eastAsia="sk-SK"/>
              </w:rPr>
              <w:t>2</w:t>
            </w:r>
            <w:r w:rsidRPr="0031728F" w:rsidR="007130DF">
              <w:rPr>
                <w:rFonts w:ascii="Times New Roman" w:hAnsi="Times New Roman"/>
                <w:b/>
                <w:bCs/>
                <w:color w:val="000000" w:themeColor="tx1" w:themeShade="FF"/>
                <w:sz w:val="24"/>
                <w:szCs w:val="24"/>
                <w:lang w:eastAsia="sk-SK"/>
              </w:rPr>
              <w:t>4</w:t>
            </w:r>
            <w:r w:rsidRPr="0031728F" w:rsidR="00DF12FD">
              <w:rPr>
                <w:rFonts w:ascii="Times New Roman" w:hAnsi="Times New Roman"/>
                <w:b/>
                <w:bCs/>
                <w:color w:val="000000" w:themeColor="tx1" w:themeShade="FF"/>
                <w:sz w:val="24"/>
                <w:szCs w:val="24"/>
                <w:lang w:eastAsia="sk-SK"/>
              </w:rPr>
              <w:t>4</w:t>
            </w:r>
            <w:r w:rsidRPr="0031728F" w:rsidR="007130DF">
              <w:rPr>
                <w:rFonts w:ascii="Times New Roman" w:hAnsi="Times New Roman"/>
                <w:b/>
                <w:bCs/>
                <w:color w:val="000000" w:themeColor="tx1" w:themeShade="FF"/>
                <w:sz w:val="24"/>
                <w:szCs w:val="24"/>
                <w:lang w:eastAsia="sk-SK"/>
              </w:rPr>
              <w:t xml:space="preserve"> </w:t>
            </w:r>
            <w:r w:rsidRPr="0031728F" w:rsidR="00DF12FD">
              <w:rPr>
                <w:rFonts w:ascii="Times New Roman" w:hAnsi="Times New Roman"/>
                <w:b/>
                <w:bCs/>
                <w:color w:val="000000" w:themeColor="tx1" w:themeShade="FF"/>
                <w:sz w:val="24"/>
                <w:szCs w:val="24"/>
                <w:lang w:eastAsia="sk-SK"/>
              </w:rPr>
              <w:t>0</w:t>
            </w:r>
            <w:r w:rsidRPr="0031728F" w:rsidR="007130DF">
              <w:rPr>
                <w:rFonts w:ascii="Times New Roman" w:hAnsi="Times New Roman"/>
                <w:b/>
                <w:bCs/>
                <w:color w:val="000000" w:themeColor="tx1" w:themeShade="FF"/>
                <w:sz w:val="24"/>
                <w:szCs w:val="24"/>
                <w:lang w:eastAsia="sk-SK"/>
              </w:rPr>
              <w:t>0</w:t>
            </w:r>
            <w:r w:rsidRPr="0031728F">
              <w:rPr>
                <w:rFonts w:ascii="Times New Roman" w:hAnsi="Times New Roman"/>
                <w:b/>
                <w:bCs/>
                <w:color w:val="000000" w:themeColor="tx1" w:themeShade="FF"/>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color w:val="000000" w:themeColor="tx1" w:themeShade="FF"/>
                <w:sz w:val="24"/>
                <w:szCs w:val="24"/>
                <w:vertAlign w:val="superscript"/>
                <w:lang w:eastAsia="sk-SK"/>
              </w:rPr>
            </w:pPr>
            <w:r w:rsidRPr="0031728F">
              <w:rPr>
                <w:rFonts w:ascii="Times New Roman" w:hAnsi="Times New Roman"/>
                <w:color w:val="000000" w:themeColor="tx1" w:themeShade="FF"/>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color w:val="000000" w:themeColor="tx1" w:themeShade="FF"/>
                <w:sz w:val="24"/>
                <w:szCs w:val="24"/>
                <w:vertAlign w:val="superscript"/>
                <w:lang w:eastAsia="sk-SK"/>
              </w:rPr>
            </w:pPr>
            <w:r w:rsidRPr="0031728F">
              <w:rPr>
                <w:rFonts w:ascii="Times New Roman" w:hAnsi="Times New Roman"/>
                <w:color w:val="000000" w:themeColor="tx1" w:themeShade="FF"/>
                <w:sz w:val="24"/>
                <w:szCs w:val="24"/>
                <w:lang w:eastAsia="sk-SK"/>
              </w:rPr>
              <w:t xml:space="preserve">  Tovary a služby (630)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bCs/>
                <w:color w:val="000000" w:themeColor="tx1" w:themeShade="FF"/>
                <w:sz w:val="24"/>
                <w:szCs w:val="24"/>
                <w:lang w:eastAsia="sk-SK"/>
              </w:rPr>
              <w:t>100 000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Bežné transfery (640)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DF12FD">
            <w:pPr>
              <w:bidi w:val="0"/>
              <w:spacing w:after="0" w:line="240" w:lineRule="auto"/>
              <w:jc w:val="right"/>
              <w:rPr>
                <w:rFonts w:ascii="Times New Roman" w:hAnsi="Times New Roman"/>
                <w:color w:val="000000" w:themeColor="tx1" w:themeShade="FF"/>
                <w:sz w:val="24"/>
                <w:szCs w:val="24"/>
                <w:lang w:eastAsia="sk-SK"/>
              </w:rPr>
            </w:pPr>
            <w:r w:rsidRPr="0031728F" w:rsidR="00F655C1">
              <w:rPr>
                <w:rFonts w:ascii="Times New Roman" w:hAnsi="Times New Roman"/>
                <w:color w:val="000000" w:themeColor="tx1" w:themeShade="FF"/>
                <w:sz w:val="24"/>
                <w:szCs w:val="24"/>
                <w:lang w:eastAsia="sk-SK"/>
              </w:rPr>
              <w:t>2</w:t>
            </w:r>
            <w:r w:rsidRPr="0031728F" w:rsidR="007130DF">
              <w:rPr>
                <w:rFonts w:ascii="Times New Roman" w:hAnsi="Times New Roman"/>
                <w:color w:val="000000" w:themeColor="tx1" w:themeShade="FF"/>
                <w:sz w:val="24"/>
                <w:szCs w:val="24"/>
                <w:lang w:eastAsia="sk-SK"/>
              </w:rPr>
              <w:t>4</w:t>
            </w:r>
            <w:r w:rsidRPr="0031728F" w:rsidR="00DF12FD">
              <w:rPr>
                <w:rFonts w:ascii="Times New Roman" w:hAnsi="Times New Roman"/>
                <w:color w:val="000000" w:themeColor="tx1" w:themeShade="FF"/>
                <w:sz w:val="24"/>
                <w:szCs w:val="24"/>
                <w:lang w:eastAsia="sk-SK"/>
              </w:rPr>
              <w:t>4 0</w:t>
            </w:r>
            <w:r w:rsidRPr="0031728F" w:rsidR="007130DF">
              <w:rPr>
                <w:rFonts w:ascii="Times New Roman" w:hAnsi="Times New Roman"/>
                <w:color w:val="000000" w:themeColor="tx1" w:themeShade="FF"/>
                <w:sz w:val="24"/>
                <w:szCs w:val="24"/>
                <w:lang w:eastAsia="sk-SK"/>
              </w:rPr>
              <w:t>00</w:t>
            </w: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Splácanie úrokov a ostatné platby súvisiace s </w:t>
            </w:r>
            <w:r w:rsidRPr="0031728F">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sz w:val="24"/>
                <w:szCs w:val="24"/>
                <w:lang w:eastAsia="sk-SK"/>
              </w:rPr>
              <w:t>úverom, pôžičkou, návratnou finančnou výpomocou a finančným prenájmom (650)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Obstarávanie kapitálových aktív (710)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  Kapitálové transfery (720)</w:t>
            </w:r>
            <w:r w:rsidRPr="0031728F">
              <w:rPr>
                <w:rFonts w:ascii="Times New Roman" w:hAnsi="Times New Roman"/>
                <w:color w:val="000000" w:themeColor="tx1" w:themeShade="FF"/>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color w:val="000000" w:themeColor="tx1" w:themeShade="FF"/>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26AA0" w:rsidRPr="0031728F" w:rsidP="00A6715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26AA0" w:rsidRPr="0031728F" w:rsidP="00A67158">
            <w:pPr>
              <w:bidi w:val="0"/>
              <w:spacing w:after="0" w:line="240" w:lineRule="auto"/>
              <w:jc w:val="right"/>
              <w:rPr>
                <w:rFonts w:ascii="Times New Roman" w:hAnsi="Times New Roman"/>
                <w:b/>
                <w:bCs/>
                <w:color w:val="000000" w:themeColor="tx1" w:themeShade="FF"/>
                <w:sz w:val="24"/>
                <w:szCs w:val="24"/>
                <w:lang w:eastAsia="sk-SK"/>
              </w:rPr>
            </w:pPr>
            <w:r w:rsidRPr="0031728F">
              <w:rPr>
                <w:rFonts w:ascii="Times New Roman" w:hAnsi="Times New Roman"/>
                <w:b/>
                <w:bCs/>
                <w:color w:val="000000" w:themeColor="tx1" w:themeShade="FF"/>
                <w:sz w:val="24"/>
                <w:szCs w:val="24"/>
                <w:lang w:eastAsia="sk-SK"/>
              </w:rPr>
              <w:t>100 000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26AA0" w:rsidRPr="0031728F" w:rsidP="00DF12FD">
            <w:pPr>
              <w:bidi w:val="0"/>
              <w:spacing w:after="0" w:line="240" w:lineRule="auto"/>
              <w:jc w:val="right"/>
              <w:rPr>
                <w:rFonts w:ascii="Times New Roman" w:hAnsi="Times New Roman"/>
                <w:b/>
                <w:bCs/>
                <w:color w:val="000000" w:themeColor="tx1" w:themeShade="FF"/>
                <w:sz w:val="24"/>
                <w:szCs w:val="24"/>
                <w:lang w:eastAsia="sk-SK"/>
              </w:rPr>
            </w:pPr>
            <w:r w:rsidRPr="0031728F" w:rsidR="00F655C1">
              <w:rPr>
                <w:rFonts w:ascii="Times New Roman" w:hAnsi="Times New Roman"/>
                <w:b/>
                <w:bCs/>
                <w:color w:val="000000" w:themeColor="tx1" w:themeShade="FF"/>
                <w:sz w:val="24"/>
                <w:szCs w:val="24"/>
                <w:lang w:eastAsia="sk-SK"/>
              </w:rPr>
              <w:t>2</w:t>
            </w:r>
            <w:r w:rsidRPr="0031728F" w:rsidR="007130DF">
              <w:rPr>
                <w:rFonts w:ascii="Times New Roman" w:hAnsi="Times New Roman"/>
                <w:b/>
                <w:bCs/>
                <w:color w:val="000000" w:themeColor="tx1" w:themeShade="FF"/>
                <w:sz w:val="24"/>
                <w:szCs w:val="24"/>
                <w:lang w:eastAsia="sk-SK"/>
              </w:rPr>
              <w:t>4</w:t>
            </w:r>
            <w:r w:rsidRPr="0031728F" w:rsidR="00DF12FD">
              <w:rPr>
                <w:rFonts w:ascii="Times New Roman" w:hAnsi="Times New Roman"/>
                <w:b/>
                <w:bCs/>
                <w:color w:val="000000" w:themeColor="tx1" w:themeShade="FF"/>
                <w:sz w:val="24"/>
                <w:szCs w:val="24"/>
                <w:lang w:eastAsia="sk-SK"/>
              </w:rPr>
              <w:t>4</w:t>
            </w:r>
            <w:r w:rsidRPr="0031728F" w:rsidR="007130DF">
              <w:rPr>
                <w:rFonts w:ascii="Times New Roman" w:hAnsi="Times New Roman"/>
                <w:b/>
                <w:bCs/>
                <w:color w:val="000000" w:themeColor="tx1" w:themeShade="FF"/>
                <w:sz w:val="24"/>
                <w:szCs w:val="24"/>
                <w:lang w:eastAsia="sk-SK"/>
              </w:rPr>
              <w:t xml:space="preserve"> </w:t>
            </w:r>
            <w:r w:rsidRPr="0031728F" w:rsidR="00DF12FD">
              <w:rPr>
                <w:rFonts w:ascii="Times New Roman" w:hAnsi="Times New Roman"/>
                <w:b/>
                <w:bCs/>
                <w:color w:val="000000" w:themeColor="tx1" w:themeShade="FF"/>
                <w:sz w:val="24"/>
                <w:szCs w:val="24"/>
                <w:lang w:eastAsia="sk-SK"/>
              </w:rPr>
              <w:t>0</w:t>
            </w:r>
            <w:r w:rsidRPr="0031728F" w:rsidR="007130DF">
              <w:rPr>
                <w:rFonts w:ascii="Times New Roman" w:hAnsi="Times New Roman"/>
                <w:b/>
                <w:bCs/>
                <w:color w:val="000000" w:themeColor="tx1" w:themeShade="FF"/>
                <w:sz w:val="24"/>
                <w:szCs w:val="24"/>
                <w:lang w:eastAsia="sk-SK"/>
              </w:rPr>
              <w:t>0</w:t>
            </w:r>
            <w:r w:rsidRPr="0031728F">
              <w:rPr>
                <w:rFonts w:ascii="Times New Roman" w:hAnsi="Times New Roman"/>
                <w:b/>
                <w:bCs/>
                <w:color w:val="000000" w:themeColor="tx1" w:themeShade="FF"/>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826AA0" w:rsidRPr="0031728F" w:rsidP="00A67158">
            <w:pPr>
              <w:bidi w:val="0"/>
              <w:spacing w:after="0" w:line="240" w:lineRule="auto"/>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w:t>
            </w:r>
          </w:p>
        </w:tc>
      </w:tr>
    </w:tbl>
    <w:p w:rsidR="007D5748" w:rsidRPr="0031728F" w:rsidP="007D5748">
      <w:pPr>
        <w:bidi w:val="0"/>
        <w:spacing w:after="0" w:line="240" w:lineRule="auto"/>
        <w:rPr>
          <w:rFonts w:ascii="Times New Roman" w:hAnsi="Times New Roman"/>
          <w:b/>
          <w:bCs/>
          <w:color w:val="000000" w:themeColor="tx1" w:themeShade="FF"/>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 xml:space="preserve">Analýza vplyvov na podnikateľské prostredie </w:t>
            </w:r>
          </w:p>
          <w:p w:rsidR="00B50DE9" w:rsidRPr="0031728F" w:rsidP="002221D3">
            <w:pPr>
              <w:bidi w:val="0"/>
              <w:spacing w:after="0" w:line="240" w:lineRule="auto"/>
              <w:jc w:val="center"/>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Mincho" w:hAnsi="Segoe UI Symbol" w:cs="Segoe UI Symbol" w:hint="default"/>
                      <w:color w:val="000000" w:themeColor="tx1" w:themeShade="FF"/>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B50DE9" w:rsidRPr="0031728F" w:rsidP="002221D3">
                  <w:pPr>
                    <w:bidi w:val="0"/>
                    <w:spacing w:after="0" w:line="240" w:lineRule="auto"/>
                    <w:jc w:val="center"/>
                    <w:rPr>
                      <w:rFonts w:ascii="Times New Roman" w:hAnsi="Times New Roman"/>
                      <w:color w:val="000000" w:themeColor="tx1" w:themeShade="FF"/>
                      <w:sz w:val="24"/>
                      <w:szCs w:val="24"/>
                    </w:rPr>
                  </w:pPr>
                  <w:r w:rsidRPr="0031728F">
                    <w:rPr>
                      <w:rFonts w:ascii="Segoe UI Symbol" w:eastAsia="MS Gothic" w:hAnsi="Segoe UI Symbol" w:cs="Segoe UI Symbol" w:hint="default"/>
                      <w:color w:val="000000" w:themeColor="tx1" w:themeShade="FF"/>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b/>
                      <w:color w:val="000000" w:themeColor="tx1" w:themeShade="FF"/>
                      <w:sz w:val="24"/>
                      <w:szCs w:val="24"/>
                    </w:rPr>
                    <w:t>na všetky kategórie podnikov</w:t>
                  </w:r>
                </w:p>
              </w:tc>
            </w:tr>
          </w:tbl>
          <w:p w:rsidR="00B50DE9" w:rsidRPr="0031728F" w:rsidP="002221D3">
            <w:pPr>
              <w:bidi w:val="0"/>
              <w:spacing w:after="0" w:line="240" w:lineRule="auto"/>
              <w:rPr>
                <w:rFonts w:ascii="Times New Roman" w:hAnsi="Times New Roman"/>
                <w:b/>
                <w:color w:val="000000" w:themeColor="tx1" w:themeShade="FF"/>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3.1 Dotknuté podnikateľské subjekty</w:t>
            </w:r>
          </w:p>
          <w:p w:rsidR="00B50DE9" w:rsidRPr="0031728F" w:rsidP="002221D3">
            <w:pPr>
              <w:bidi w:val="0"/>
              <w:spacing w:after="0" w:line="240" w:lineRule="auto"/>
              <w:ind w:left="284"/>
              <w:rPr>
                <w:rFonts w:ascii="Times New Roman" w:hAnsi="Times New Roman"/>
                <w:b/>
                <w:color w:val="000000" w:themeColor="tx1" w:themeShade="FF"/>
                <w:sz w:val="24"/>
                <w:szCs w:val="24"/>
              </w:rPr>
            </w:pPr>
            <w:r w:rsidRPr="0031728F">
              <w:rPr>
                <w:rFonts w:ascii="Times New Roman" w:hAnsi="Times New Roman"/>
                <w:color w:val="000000" w:themeColor="tx1" w:themeShade="FF"/>
                <w:sz w:val="24"/>
                <w:szCs w:val="24"/>
              </w:rPr>
              <w:t xml:space="preserve"> - </w:t>
            </w:r>
            <w:r w:rsidRPr="0031728F">
              <w:rPr>
                <w:rFonts w:ascii="Times New Roman" w:hAnsi="Times New Roman"/>
                <w:b/>
                <w:color w:val="000000" w:themeColor="tx1" w:themeShade="FF"/>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Uveďte, aké podnikateľské subjekty budú predkladaným návrhom ovplyvnené.</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Aký je ich počet?</w:t>
            </w:r>
          </w:p>
        </w:tc>
      </w:tr>
      <w:tr>
        <w:tblPrEx>
          <w:tblW w:w="0" w:type="auto"/>
          <w:tblLook w:val="04A0"/>
        </w:tblPrEx>
        <w:trPr>
          <w:trHeight w:val="43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color w:val="000000" w:themeColor="tx1" w:themeShade="FF"/>
                <w:sz w:val="24"/>
                <w:szCs w:val="24"/>
              </w:rPr>
              <w:t>MSP – slobodné povolanie – Audítori bezpečnosti pozemnej komunikácie</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3.2 Vyhodnotenie konzultácií</w:t>
            </w:r>
          </w:p>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color w:val="000000" w:themeColor="tx1" w:themeShade="FF"/>
                <w:sz w:val="24"/>
                <w:szCs w:val="24"/>
              </w:rPr>
              <w:t xml:space="preserve">       - </w:t>
            </w:r>
            <w:r w:rsidRPr="0031728F">
              <w:rPr>
                <w:rFonts w:ascii="Times New Roman" w:hAnsi="Times New Roman"/>
                <w:b/>
                <w:color w:val="000000" w:themeColor="tx1" w:themeShade="FF"/>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Uveďte, akou formou (verejné alebo cielené konzultácie a prečo) a s kým bol návrh konzultovaný.</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Ako dlho trvali konzultácie?</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 xml:space="preserve">Uveďte hlavné body konzultácií a výsledky konzultácií. </w:t>
            </w:r>
          </w:p>
        </w:tc>
      </w:tr>
      <w:tr>
        <w:tblPrEx>
          <w:tblW w:w="0" w:type="auto"/>
          <w:tblLook w:val="04A0"/>
        </w:tblPrEx>
        <w:trPr>
          <w:trHeight w:val="861"/>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Konzultácie s podnikateľským prostredím – vykonané verejne na základe zverejnenia predbežnej informácie. Bez odozvy zo strany podnikateľských subjektov. Trvanie od 12.3.2021 v trvaní v zmysle Jednotnej metodiky na posudzovanie vybraných vplyvov.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3.3 Náklady regulácie</w:t>
            </w:r>
          </w:p>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color w:val="000000" w:themeColor="tx1" w:themeShade="FF"/>
                <w:sz w:val="24"/>
                <w:szCs w:val="24"/>
              </w:rPr>
              <w:t xml:space="preserve">      - </w:t>
            </w:r>
            <w:r w:rsidRPr="0031728F">
              <w:rPr>
                <w:rFonts w:ascii="Times New Roman" w:hAnsi="Times New Roman"/>
                <w:b/>
                <w:color w:val="000000" w:themeColor="tx1" w:themeShade="FF"/>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b/>
                <w:i/>
                <w:color w:val="000000" w:themeColor="tx1" w:themeShade="FF"/>
                <w:sz w:val="24"/>
                <w:szCs w:val="24"/>
              </w:rPr>
            </w:pPr>
            <w:r w:rsidRPr="0031728F">
              <w:rPr>
                <w:rFonts w:ascii="Times New Roman" w:hAnsi="Times New Roman"/>
                <w:b/>
                <w:i/>
                <w:color w:val="000000" w:themeColor="tx1" w:themeShade="FF"/>
                <w:sz w:val="24"/>
                <w:szCs w:val="24"/>
              </w:rPr>
              <w:t>3.3.1 Priame finančné náklady</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Poplatok za vydanie osvedčenia bezpečnostného audítora v predpokladanej výške 200 EUR. </w:t>
            </w:r>
          </w:p>
          <w:p w:rsidR="00B50DE9" w:rsidRPr="0031728F" w:rsidP="002221D3">
            <w:pPr>
              <w:bidi w:val="0"/>
              <w:spacing w:after="0" w:line="240" w:lineRule="auto"/>
              <w:rPr>
                <w:rFonts w:ascii="Times New Roman" w:hAnsi="Times New Roman"/>
                <w:b/>
                <w:i/>
                <w:color w:val="000000" w:themeColor="tx1" w:themeShade="FF"/>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b/>
                <w:i/>
                <w:color w:val="000000" w:themeColor="tx1" w:themeShade="FF"/>
                <w:sz w:val="24"/>
                <w:szCs w:val="24"/>
              </w:rPr>
            </w:pPr>
            <w:r w:rsidRPr="0031728F">
              <w:rPr>
                <w:rFonts w:ascii="Times New Roman" w:hAnsi="Times New Roman"/>
                <w:b/>
                <w:i/>
                <w:color w:val="000000" w:themeColor="tx1" w:themeShade="FF"/>
                <w:sz w:val="24"/>
                <w:szCs w:val="24"/>
              </w:rPr>
              <w:t>3.3.2 Nepriame finančné náklady</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rPr>
          <w:trHeight w:val="39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Nevyžaduje.</w:t>
            </w:r>
          </w:p>
          <w:p w:rsidR="00B50DE9" w:rsidRPr="0031728F" w:rsidP="002221D3">
            <w:pPr>
              <w:bidi w:val="0"/>
              <w:spacing w:after="0" w:line="240" w:lineRule="auto"/>
              <w:rPr>
                <w:rFonts w:ascii="Times New Roman" w:hAnsi="Times New Roman"/>
                <w:b/>
                <w:i/>
                <w:color w:val="000000" w:themeColor="tx1" w:themeShade="FF"/>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b/>
                <w:i/>
                <w:color w:val="000000" w:themeColor="tx1" w:themeShade="FF"/>
                <w:sz w:val="24"/>
                <w:szCs w:val="24"/>
              </w:rPr>
            </w:pPr>
            <w:r w:rsidRPr="0031728F">
              <w:rPr>
                <w:rFonts w:ascii="Times New Roman" w:hAnsi="Times New Roman"/>
                <w:b/>
                <w:i/>
                <w:color w:val="000000" w:themeColor="tx1" w:themeShade="FF"/>
                <w:sz w:val="24"/>
                <w:szCs w:val="24"/>
              </w:rPr>
              <w:t>3.3.3 Administratívne náklady</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Zvýšenie administratívnych nákladov MSP - audítorov bezpečnosti pozemných komunikácií v súvislosti s absolvovaním vzdelávania. Kalkulácia na základe malej kalkulačky MH SR nasledovne:</w:t>
            </w:r>
          </w:p>
          <w:p w:rsidR="00B50DE9" w:rsidRPr="0031728F" w:rsidP="002221D3">
            <w:pPr>
              <w:bidi w:val="0"/>
              <w:spacing w:after="0" w:line="240" w:lineRule="auto"/>
              <w:jc w:val="both"/>
              <w:rPr>
                <w:rFonts w:ascii="Times New Roman" w:hAnsi="Times New Roman"/>
                <w:color w:val="000000" w:themeColor="tx1" w:themeShade="FF"/>
                <w:sz w:val="24"/>
                <w:szCs w:val="24"/>
              </w:rPr>
            </w:pPr>
          </w:p>
          <w:p w:rsidR="00B50DE9" w:rsidRPr="0031728F" w:rsidP="002221D3">
            <w:pPr>
              <w:bidi w:val="0"/>
              <w:spacing w:after="0" w:line="240" w:lineRule="auto"/>
              <w:ind w:hanging="109"/>
              <w:jc w:val="both"/>
              <w:rPr>
                <w:rFonts w:ascii="Times New Roman" w:hAnsi="Times New Roman"/>
                <w:color w:val="000000" w:themeColor="tx1" w:themeShade="FF"/>
                <w:sz w:val="24"/>
                <w:szCs w:val="24"/>
              </w:rPr>
            </w:pPr>
            <w:r>
              <w:rPr>
                <w:rFonts w:ascii="Times New Roman" w:hAnsi="Times New Roman"/>
                <w:noProof/>
                <w:color w:val="000000" w:themeColor="tx1" w:themeShade="FF"/>
                <w:sz w:val="24"/>
                <w:szCs w:val="24"/>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4" o:spid="_x0000_i1025" type="#_x0000_t75" style="width:446.37pt;height:69.6pt;visibility:visible" filled="f" stroked="f">
                  <v:fill o:detectmouseclick="f"/>
                  <v:imagedata r:id="rId11" o:title=""/>
                  <o:lock v:ext="edit" aspectratio="t"/>
                </v:shape>
              </w:pict>
            </w:r>
          </w:p>
          <w:p w:rsidR="00B50DE9" w:rsidRPr="0031728F" w:rsidP="002221D3">
            <w:pPr>
              <w:bidi w:val="0"/>
              <w:spacing w:after="0" w:line="240" w:lineRule="auto"/>
              <w:rPr>
                <w:rFonts w:ascii="Times New Roman" w:hAnsi="Times New Roman"/>
                <w:b/>
                <w:i/>
                <w:color w:val="000000" w:themeColor="tx1" w:themeShade="FF"/>
                <w:sz w:val="24"/>
                <w:szCs w:val="24"/>
              </w:rPr>
            </w:pPr>
          </w:p>
          <w:p w:rsidR="00B50DE9" w:rsidRPr="0031728F" w:rsidP="002221D3">
            <w:pPr>
              <w:bidi w:val="0"/>
              <w:spacing w:after="0" w:line="240" w:lineRule="auto"/>
              <w:rPr>
                <w:rFonts w:ascii="Times New Roman" w:hAnsi="Times New Roman"/>
                <w:b/>
                <w:i/>
                <w:color w:val="000000" w:themeColor="tx1" w:themeShade="FF"/>
                <w:sz w:val="24"/>
                <w:szCs w:val="24"/>
              </w:rPr>
            </w:pPr>
            <w:r>
              <w:rPr>
                <w:rFonts w:ascii="Times New Roman" w:hAnsi="Times New Roman"/>
                <w:b/>
                <w:i/>
                <w:noProof/>
                <w:color w:val="000000" w:themeColor="tx1" w:themeShade="FF"/>
                <w:sz w:val="24"/>
                <w:szCs w:val="24"/>
                <w:rtl w:val="0"/>
                <w:lang w:eastAsia="sk-SK"/>
              </w:rPr>
              <w:pict>
                <v:shape id="Obrázok 2" o:spid="_x0000_i1026" type="#_x0000_t75" style="width:390.19pt;height:126.07pt;visibility:visible" filled="f" stroked="f">
                  <v:fill o:detectmouseclick="f"/>
                  <v:imagedata r:id="rId12" o:title=""/>
                  <o:lock v:ext="edit" aspectratio="t"/>
                </v:shape>
              </w:pict>
            </w:r>
          </w:p>
          <w:p w:rsidR="00B50DE9" w:rsidRPr="0031728F" w:rsidP="002221D3">
            <w:pPr>
              <w:bidi w:val="0"/>
              <w:spacing w:after="0" w:line="240" w:lineRule="auto"/>
              <w:rPr>
                <w:rFonts w:ascii="Times New Roman" w:hAnsi="Times New Roman"/>
                <w:b/>
                <w:i/>
                <w:color w:val="000000" w:themeColor="tx1" w:themeShade="FF"/>
                <w:sz w:val="24"/>
                <w:szCs w:val="24"/>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b/>
                <w:i/>
                <w:color w:val="000000" w:themeColor="tx1" w:themeShade="FF"/>
                <w:sz w:val="24"/>
                <w:szCs w:val="24"/>
              </w:rPr>
              <w:t>3.3.4 Súhrnná tabuľka nákladov regulácie</w:t>
            </w:r>
          </w:p>
          <w:p w:rsidR="00B50DE9" w:rsidRPr="0031728F" w:rsidP="002221D3">
            <w:pPr>
              <w:bidi w:val="0"/>
              <w:spacing w:after="0" w:line="240" w:lineRule="auto"/>
              <w:rPr>
                <w:rFonts w:ascii="Times New Roman" w:hAnsi="Times New Roman"/>
                <w:i/>
                <w:color w:val="000000" w:themeColor="tx1" w:themeShade="FF"/>
                <w:sz w:val="24"/>
                <w:szCs w:val="24"/>
              </w:rPr>
            </w:pPr>
          </w:p>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Súhrn pre MSP – audítorov bezpečnosti pozemnej komunikácie:</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200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7600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109,20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 xml:space="preserve">4149,60 </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b/>
                      <w:i/>
                      <w:color w:val="000000" w:themeColor="tx1" w:themeShade="FF"/>
                      <w:sz w:val="24"/>
                      <w:szCs w:val="24"/>
                    </w:rPr>
                  </w:pPr>
                  <w:r w:rsidRPr="0031728F">
                    <w:rPr>
                      <w:rFonts w:ascii="Times New Roman" w:hAnsi="Times New Roman"/>
                      <w:b/>
                      <w:i/>
                      <w:color w:val="000000" w:themeColor="tx1" w:themeShade="FF"/>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b/>
                      <w:i/>
                      <w:color w:val="000000" w:themeColor="tx1" w:themeShade="FF"/>
                      <w:sz w:val="24"/>
                      <w:szCs w:val="24"/>
                    </w:rPr>
                  </w:pPr>
                  <w:r w:rsidRPr="0031728F">
                    <w:rPr>
                      <w:rFonts w:ascii="Times New Roman" w:hAnsi="Times New Roman"/>
                      <w:b/>
                      <w:i/>
                      <w:color w:val="000000" w:themeColor="tx1" w:themeShade="FF"/>
                      <w:sz w:val="24"/>
                      <w:szCs w:val="24"/>
                    </w:rPr>
                    <w:t>309,20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jc w:val="center"/>
                    <w:rPr>
                      <w:rFonts w:ascii="Times New Roman" w:hAnsi="Times New Roman"/>
                      <w:b/>
                      <w:i/>
                      <w:color w:val="000000" w:themeColor="tx1" w:themeShade="FF"/>
                      <w:sz w:val="24"/>
                      <w:szCs w:val="24"/>
                    </w:rPr>
                  </w:pPr>
                  <w:r w:rsidRPr="0031728F">
                    <w:rPr>
                      <w:rFonts w:ascii="Times New Roman" w:hAnsi="Times New Roman"/>
                      <w:b/>
                      <w:i/>
                      <w:color w:val="000000" w:themeColor="tx1" w:themeShade="FF"/>
                      <w:sz w:val="24"/>
                      <w:szCs w:val="24"/>
                    </w:rPr>
                    <w:t>11749,60</w:t>
                  </w:r>
                </w:p>
              </w:tc>
            </w:tr>
          </w:tbl>
          <w:p w:rsidR="00B50DE9" w:rsidRPr="0031728F" w:rsidP="002221D3">
            <w:pPr>
              <w:bidi w:val="0"/>
              <w:spacing w:after="0" w:line="240" w:lineRule="auto"/>
              <w:rPr>
                <w:rFonts w:ascii="Times New Roman" w:hAnsi="Times New Roman"/>
                <w:i/>
                <w:color w:val="000000" w:themeColor="tx1" w:themeShade="FF"/>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3.4 Konkurencieschopnosť a správanie sa podnikov na trhu</w:t>
            </w:r>
          </w:p>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b/>
                <w:color w:val="000000" w:themeColor="tx1" w:themeShade="FF"/>
                <w:sz w:val="24"/>
                <w:szCs w:val="24"/>
              </w:rPr>
              <w:t xml:space="preserve">       </w:t>
            </w:r>
            <w:r w:rsidRPr="0031728F">
              <w:rPr>
                <w:rFonts w:ascii="Times New Roman" w:hAnsi="Times New Roman"/>
                <w:color w:val="000000" w:themeColor="tx1" w:themeShade="FF"/>
                <w:sz w:val="24"/>
                <w:szCs w:val="24"/>
              </w:rPr>
              <w:t xml:space="preserve">- </w:t>
            </w:r>
            <w:r w:rsidRPr="0031728F">
              <w:rPr>
                <w:rFonts w:ascii="Times New Roman" w:hAnsi="Times New Roman"/>
                <w:b/>
                <w:color w:val="000000" w:themeColor="tx1" w:themeShade="FF"/>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Ako ovplyvní cenu alebo dostupnosť základných zdrojov (suroviny, mechanizmy, pracovná sila, energie atď.)?</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Navrhovaná zmena nebude mať vplyv na konkurencieschopnosť a správanie sa podnikov na trhu, vrátane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 xml:space="preserve">3.5 Inovácie </w:t>
            </w:r>
          </w:p>
          <w:p w:rsidR="00B50DE9" w:rsidRPr="0031728F" w:rsidP="002221D3">
            <w:pPr>
              <w:bidi w:val="0"/>
              <w:spacing w:after="0" w:line="240" w:lineRule="auto"/>
              <w:rPr>
                <w:rFonts w:ascii="Times New Roman" w:hAnsi="Times New Roman"/>
                <w:b/>
                <w:color w:val="000000" w:themeColor="tx1" w:themeShade="FF"/>
                <w:sz w:val="24"/>
                <w:szCs w:val="24"/>
              </w:rPr>
            </w:pPr>
            <w:r w:rsidRPr="0031728F">
              <w:rPr>
                <w:rFonts w:ascii="Times New Roman" w:hAnsi="Times New Roman"/>
                <w:color w:val="000000" w:themeColor="tx1" w:themeShade="FF"/>
                <w:sz w:val="24"/>
                <w:szCs w:val="24"/>
              </w:rPr>
              <w:t xml:space="preserve">       - </w:t>
            </w:r>
            <w:r w:rsidRPr="0031728F">
              <w:rPr>
                <w:rFonts w:ascii="Times New Roman" w:hAnsi="Times New Roman"/>
                <w:b/>
                <w:color w:val="000000" w:themeColor="tx1" w:themeShade="FF"/>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Uveďte, ako podporuje navrhovaná zmena inovácie.</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Zjednodušuje uvedenie alebo rozšírenie nových výrobných metód, technológií a výrobkov na trh?</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Uveďte, ako vplýva navrhovaná zmena na jednotlivé práva duševného vlastníctva (napr. patenty, ochranné známky, autorské práva, vlastníctvo know-how).</w:t>
            </w:r>
          </w:p>
          <w:p w:rsidR="00B50DE9" w:rsidRPr="0031728F" w:rsidP="002221D3">
            <w:pPr>
              <w:bidi w:val="0"/>
              <w:spacing w:after="0" w:line="240" w:lineRule="auto"/>
              <w:rPr>
                <w:rFonts w:ascii="Times New Roman" w:hAnsi="Times New Roman"/>
                <w:i/>
                <w:color w:val="000000" w:themeColor="tx1" w:themeShade="FF"/>
                <w:sz w:val="24"/>
                <w:szCs w:val="24"/>
              </w:rPr>
            </w:pPr>
            <w:r w:rsidRPr="0031728F">
              <w:rPr>
                <w:rFonts w:ascii="Times New Roman" w:hAnsi="Times New Roman"/>
                <w:i/>
                <w:color w:val="000000" w:themeColor="tx1" w:themeShade="FF"/>
                <w:sz w:val="24"/>
                <w:szCs w:val="24"/>
              </w:rPr>
              <w:t>Podporuje vyššiu efektivitu výroby/využívania zdrojov? Ak áno, ako?</w:t>
            </w:r>
          </w:p>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i/>
                <w:color w:val="000000" w:themeColor="tx1" w:themeShade="FF"/>
                <w:sz w:val="24"/>
                <w:szCs w:val="24"/>
              </w:rPr>
              <w:t>Vytvorí zmena nové pracovné miesta pre zamestnancov výskumu a vývoja v SR?</w:t>
            </w:r>
          </w:p>
        </w:tc>
      </w:tr>
      <w:tr>
        <w:tblPrEx>
          <w:tblW w:w="0" w:type="auto"/>
          <w:tblLook w:val="04A0"/>
        </w:tblPrEx>
        <w:trPr>
          <w:trHeight w:val="70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50DE9" w:rsidRPr="0031728F" w:rsidP="002221D3">
            <w:pPr>
              <w:bidi w:val="0"/>
              <w:spacing w:after="0" w:line="240" w:lineRule="auto"/>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Navrhovaná zmena nebude mať vplyv na inovácie.</w:t>
            </w:r>
          </w:p>
        </w:tc>
      </w:tr>
    </w:tbl>
    <w:p w:rsidR="008D6174" w:rsidRPr="0031728F" w:rsidP="00787722">
      <w:pPr>
        <w:bidi w:val="0"/>
        <w:spacing w:after="0" w:line="240" w:lineRule="auto"/>
        <w:jc w:val="center"/>
        <w:rPr>
          <w:rFonts w:ascii="Times New Roman" w:hAnsi="Times New Roman"/>
          <w:b/>
          <w:bCs/>
          <w:color w:val="000000" w:themeColor="tx1" w:themeShade="FF"/>
          <w:sz w:val="24"/>
          <w:szCs w:val="24"/>
        </w:rPr>
      </w:pPr>
      <w:r w:rsidR="00787722">
        <w:rPr>
          <w:rFonts w:ascii="Times New Roman" w:hAnsi="Times New Roman"/>
          <w:b/>
          <w:bCs/>
          <w:color w:val="000000" w:themeColor="tx1" w:themeShade="FF"/>
          <w:sz w:val="24"/>
          <w:szCs w:val="24"/>
        </w:rPr>
        <w:t>DOLOŽKA ZLUČITEĽNOSTI</w:t>
      </w:r>
    </w:p>
    <w:p w:rsidR="00135A11" w:rsidRPr="0031728F" w:rsidP="008D6174">
      <w:pPr>
        <w:bidi w:val="0"/>
        <w:spacing w:after="0" w:line="240" w:lineRule="auto"/>
        <w:jc w:val="center"/>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právneho predpisu s právom Európskej únie</w:t>
      </w:r>
    </w:p>
    <w:p w:rsidR="008D6174" w:rsidRPr="0031728F" w:rsidP="008D6174">
      <w:pPr>
        <w:bidi w:val="0"/>
        <w:spacing w:after="0" w:line="240" w:lineRule="auto"/>
        <w:jc w:val="center"/>
        <w:rPr>
          <w:rFonts w:ascii="Times New Roman" w:hAnsi="Times New Roman"/>
          <w:b/>
          <w:bCs/>
          <w:color w:val="000000" w:themeColor="tx1" w:themeShade="FF"/>
          <w:sz w:val="24"/>
          <w:szCs w:val="24"/>
        </w:rPr>
      </w:pPr>
    </w:p>
    <w:p w:rsidR="00135A11" w:rsidRPr="0031728F" w:rsidP="00135A11">
      <w:pPr>
        <w:bidi w:val="0"/>
        <w:spacing w:after="0" w:line="240" w:lineRule="auto"/>
        <w:jc w:val="both"/>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 xml:space="preserve">1. Navrhovateľ právneho predpisu: </w:t>
      </w:r>
    </w:p>
    <w:p w:rsidR="00135A11" w:rsidRPr="0031728F" w:rsidP="00135A11">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Ministerstvo dopravy a výstavby Slovenskej republiky.</w:t>
      </w:r>
    </w:p>
    <w:p w:rsidR="00135A11" w:rsidRPr="0031728F" w:rsidP="00135A11">
      <w:pPr>
        <w:bidi w:val="0"/>
        <w:spacing w:after="0" w:line="240" w:lineRule="auto"/>
        <w:jc w:val="both"/>
        <w:rPr>
          <w:rFonts w:ascii="Times New Roman" w:hAnsi="Times New Roman"/>
          <w:color w:val="000000" w:themeColor="tx1" w:themeShade="FF"/>
          <w:sz w:val="24"/>
          <w:szCs w:val="24"/>
        </w:rPr>
      </w:pPr>
    </w:p>
    <w:p w:rsidR="00135A11" w:rsidRPr="0031728F" w:rsidP="00135A11">
      <w:pPr>
        <w:numPr>
          <w:numId w:val="7"/>
        </w:numPr>
        <w:tabs>
          <w:tab w:val="num" w:pos="284"/>
          <w:tab w:val="num" w:pos="567"/>
          <w:tab w:val="clear" w:pos="720"/>
        </w:tabs>
        <w:bidi w:val="0"/>
        <w:spacing w:after="0" w:line="240" w:lineRule="auto"/>
        <w:ind w:hanging="720"/>
        <w:jc w:val="both"/>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Názov návrhu právneho predpisu:</w:t>
      </w:r>
    </w:p>
    <w:p w:rsidR="00135A11" w:rsidRPr="0031728F" w:rsidP="00135A11">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Návrh zákona, </w:t>
      </w:r>
      <w:r w:rsidRPr="0031728F">
        <w:rPr>
          <w:rFonts w:ascii="Times New Roman" w:hAnsi="Times New Roman"/>
          <w:color w:val="000000" w:themeColor="tx1" w:themeShade="FF"/>
          <w:sz w:val="24"/>
          <w:szCs w:val="24"/>
          <w:lang w:eastAsia="cs-CZ"/>
        </w:rPr>
        <w:t xml:space="preserve">ktorým </w:t>
      </w:r>
      <w:r w:rsidRPr="0031728F">
        <w:rPr>
          <w:rStyle w:val="PlaceholderText"/>
          <w:rFonts w:ascii="Times New Roman" w:hAnsi="Times New Roman"/>
          <w:color w:val="000000" w:themeColor="tx1" w:themeShade="FF"/>
          <w:sz w:val="24"/>
          <w:szCs w:val="24"/>
        </w:rPr>
        <w:t xml:space="preserve">sa mení a dopĺňa zákon č. 249/2011  Z. z. o riadení bezpečnosti pozemných komunikácií a o zmene a doplnení niektorých zákonov </w:t>
      </w:r>
      <w:r w:rsidRPr="0031728F">
        <w:rPr>
          <w:rFonts w:ascii="Times New Roman" w:hAnsi="Times New Roman"/>
          <w:bCs/>
          <w:color w:val="000000" w:themeColor="tx1" w:themeShade="FF"/>
          <w:sz w:val="24"/>
          <w:szCs w:val="24"/>
        </w:rPr>
        <w:t xml:space="preserve">v znení zákona </w:t>
      </w:r>
      <w:r w:rsidR="00787722">
        <w:rPr>
          <w:rFonts w:ascii="Times New Roman" w:hAnsi="Times New Roman"/>
          <w:bCs/>
          <w:color w:val="000000" w:themeColor="tx1" w:themeShade="FF"/>
          <w:sz w:val="24"/>
          <w:szCs w:val="24"/>
        </w:rPr>
        <w:br/>
      </w:r>
      <w:r w:rsidRPr="0031728F">
        <w:rPr>
          <w:rFonts w:ascii="Times New Roman" w:hAnsi="Times New Roman"/>
          <w:bCs/>
          <w:color w:val="000000" w:themeColor="tx1" w:themeShade="FF"/>
          <w:sz w:val="24"/>
          <w:szCs w:val="24"/>
        </w:rPr>
        <w:t>č. 177/2018</w:t>
      </w:r>
      <w:r w:rsidRPr="0031728F">
        <w:rPr>
          <w:rFonts w:ascii="Times New Roman" w:hAnsi="Times New Roman"/>
          <w:color w:val="000000" w:themeColor="tx1" w:themeShade="FF"/>
          <w:sz w:val="24"/>
          <w:szCs w:val="24"/>
        </w:rPr>
        <w:t xml:space="preserve"> Z. z. a ktorým sa menia a dopĺňajú niektoré zákony.</w:t>
      </w:r>
    </w:p>
    <w:p w:rsidR="00135A11" w:rsidRPr="0031728F" w:rsidP="00135A11">
      <w:pPr>
        <w:bidi w:val="0"/>
        <w:spacing w:after="0" w:line="240" w:lineRule="auto"/>
        <w:jc w:val="both"/>
        <w:rPr>
          <w:rFonts w:ascii="Times New Roman" w:hAnsi="Times New Roman"/>
          <w:color w:val="000000" w:themeColor="tx1" w:themeShade="FF"/>
          <w:sz w:val="24"/>
          <w:szCs w:val="24"/>
        </w:rPr>
      </w:pPr>
    </w:p>
    <w:p w:rsidR="00135A11" w:rsidRPr="0031728F" w:rsidP="00135A11">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b/>
          <w:color w:val="000000" w:themeColor="tx1" w:themeShade="FF"/>
          <w:sz w:val="24"/>
          <w:szCs w:val="24"/>
        </w:rPr>
        <w:t>3. Predmet návrhu právneho predpisu je upravený v práve Európskej únie:</w:t>
      </w:r>
    </w:p>
    <w:p w:rsidR="00E80B13" w:rsidRPr="0031728F" w:rsidP="00E80B13">
      <w:pPr>
        <w:bidi w:val="0"/>
        <w:spacing w:after="0" w:line="240" w:lineRule="auto"/>
        <w:jc w:val="both"/>
        <w:rPr>
          <w:rFonts w:ascii="Times New Roman" w:hAnsi="Times New Roman"/>
          <w:color w:val="000000" w:themeColor="tx1" w:themeShade="FF"/>
          <w:sz w:val="24"/>
          <w:szCs w:val="24"/>
        </w:rPr>
      </w:pPr>
      <w:r w:rsidR="00787722">
        <w:rPr>
          <w:rFonts w:ascii="Times New Roman" w:hAnsi="Times New Roman"/>
          <w:color w:val="000000" w:themeColor="tx1" w:themeShade="FF"/>
          <w:sz w:val="24"/>
          <w:szCs w:val="24"/>
        </w:rPr>
        <w:t>a)      v primárnom práve:  </w:t>
      </w:r>
    </w:p>
    <w:p w:rsidR="00135A11" w:rsidRPr="0031728F" w:rsidP="00E80B13">
      <w:pPr>
        <w:pStyle w:val="ListParagraph"/>
        <w:numPr>
          <w:numId w:val="8"/>
        </w:num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Čl. 4 ods. 2 písm. g), Čl. 91 ods. 1 písm. c) a Hlava VI Zmluvy o fungovaní Európskej únie v platnom znení</w:t>
      </w:r>
    </w:p>
    <w:p w:rsidR="00E80B13" w:rsidRPr="0031728F" w:rsidP="00787722">
      <w:pPr>
        <w:pStyle w:val="ListParagraph"/>
        <w:bidi w:val="0"/>
        <w:spacing w:after="0" w:line="240" w:lineRule="auto"/>
        <w:jc w:val="both"/>
        <w:rPr>
          <w:rFonts w:ascii="Times New Roman" w:hAnsi="Times New Roman"/>
          <w:color w:val="000000" w:themeColor="tx1" w:themeShade="FF"/>
          <w:sz w:val="24"/>
          <w:szCs w:val="24"/>
        </w:rPr>
      </w:pPr>
    </w:p>
    <w:p w:rsidR="00135A11" w:rsidRPr="0031728F" w:rsidP="00E80B13">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b)      v sekundárnom práve: </w:t>
      </w:r>
    </w:p>
    <w:p w:rsidR="00135A11" w:rsidRPr="0031728F" w:rsidP="00135A11">
      <w:pPr>
        <w:pStyle w:val="ListParagraph"/>
        <w:numPr>
          <w:numId w:val="10"/>
        </w:numPr>
        <w:bidi w:val="0"/>
        <w:spacing w:after="0" w:line="240" w:lineRule="auto"/>
        <w:jc w:val="both"/>
        <w:rPr>
          <w:rFonts w:ascii="Times New Roman" w:eastAsia="SimSun" w:hAnsi="Times New Roman"/>
          <w:color w:val="000000" w:themeColor="tx1" w:themeShade="FF"/>
          <w:sz w:val="24"/>
          <w:szCs w:val="24"/>
        </w:rPr>
      </w:pPr>
      <w:r w:rsidRPr="0031728F">
        <w:rPr>
          <w:rFonts w:ascii="Times New Roman" w:eastAsia="SimSun" w:hAnsi="Times New Roman"/>
          <w:color w:val="000000" w:themeColor="tx1" w:themeShade="FF"/>
          <w:sz w:val="24"/>
          <w:szCs w:val="24"/>
        </w:rPr>
        <w:t>smernica</w:t>
      </w:r>
      <w:r w:rsidRPr="0031728F">
        <w:rPr>
          <w:rFonts w:ascii="Times New Roman" w:hAnsi="Times New Roman"/>
          <w:color w:val="000000" w:themeColor="tx1" w:themeShade="FF"/>
          <w:sz w:val="24"/>
          <w:szCs w:val="24"/>
          <w:shd w:val="clear" w:color="auto" w:fill="FFFFFF"/>
        </w:rPr>
        <w:t xml:space="preserve"> </w:t>
      </w:r>
      <w:r w:rsidRPr="0031728F">
        <w:rPr>
          <w:rFonts w:ascii="Times New Roman" w:hAnsi="Times New Roman"/>
          <w:color w:val="000000" w:themeColor="tx1" w:themeShade="FF"/>
          <w:sz w:val="24"/>
          <w:szCs w:val="24"/>
        </w:rPr>
        <w:t xml:space="preserve">Európskeho Parlamentu a Rady (EÚ) 2019/1936 z 23. októbra 2019, ktorou sa mení smernica 2008/96/ES o riadení bezpečnosti cestnej infraštruktúry </w:t>
      </w:r>
      <w:r w:rsidRPr="0031728F">
        <w:rPr>
          <w:rFonts w:ascii="Times New Roman" w:hAnsi="Times New Roman"/>
          <w:i/>
          <w:color w:val="000000" w:themeColor="tx1" w:themeShade="FF"/>
          <w:sz w:val="24"/>
          <w:szCs w:val="24"/>
          <w:shd w:val="clear" w:color="auto" w:fill="FFFFFF"/>
        </w:rPr>
        <w:t>(Ú. v. EÚ L 305, 26.11.2019)</w:t>
      </w:r>
      <w:r w:rsidRPr="0031728F">
        <w:rPr>
          <w:rFonts w:ascii="Times New Roman" w:eastAsia="SimSun" w:hAnsi="Times New Roman"/>
          <w:color w:val="000000" w:themeColor="tx1" w:themeShade="FF"/>
          <w:sz w:val="24"/>
          <w:szCs w:val="24"/>
        </w:rPr>
        <w:t xml:space="preserve"> </w:t>
      </w:r>
      <w:r w:rsidRPr="0031728F">
        <w:rPr>
          <w:rFonts w:ascii="Times New Roman" w:hAnsi="Times New Roman"/>
          <w:color w:val="000000" w:themeColor="tx1" w:themeShade="FF"/>
          <w:sz w:val="24"/>
          <w:szCs w:val="24"/>
        </w:rPr>
        <w:t>– gestor MDV SR</w:t>
      </w:r>
      <w:r w:rsidRPr="0031728F">
        <w:rPr>
          <w:rFonts w:ascii="Times New Roman" w:eastAsia="SimSun" w:hAnsi="Times New Roman"/>
          <w:color w:val="000000" w:themeColor="tx1" w:themeShade="FF"/>
          <w:sz w:val="24"/>
          <w:szCs w:val="24"/>
        </w:rPr>
        <w:t>, spolugestor MV SR</w:t>
      </w:r>
    </w:p>
    <w:p w:rsidR="00135A11" w:rsidRPr="0031728F" w:rsidP="00135A11">
      <w:pPr>
        <w:pStyle w:val="ListParagraph"/>
        <w:numPr>
          <w:numId w:val="10"/>
        </w:numPr>
        <w:bidi w:val="0"/>
        <w:spacing w:after="0" w:line="240" w:lineRule="auto"/>
        <w:jc w:val="both"/>
        <w:rPr>
          <w:rFonts w:ascii="Times New Roman" w:eastAsia="SimSun" w:hAnsi="Times New Roman" w:hint="default"/>
          <w:color w:val="000000" w:themeColor="tx1" w:themeShade="FF"/>
          <w:sz w:val="24"/>
          <w:szCs w:val="24"/>
        </w:rPr>
      </w:pPr>
      <w:r w:rsidRPr="0031728F">
        <w:rPr>
          <w:rFonts w:ascii="Times New Roman" w:eastAsia="SimSun" w:hAnsi="Times New Roman" w:hint="default"/>
          <w:color w:val="000000" w:themeColor="tx1" w:themeShade="FF"/>
          <w:sz w:val="24"/>
          <w:szCs w:val="24"/>
        </w:rPr>
        <w:t>smernica Euró</w:t>
      </w:r>
      <w:r w:rsidRPr="0031728F">
        <w:rPr>
          <w:rFonts w:ascii="Times New Roman" w:eastAsia="SimSun" w:hAnsi="Times New Roman" w:hint="default"/>
          <w:color w:val="000000" w:themeColor="tx1" w:themeShade="FF"/>
          <w:sz w:val="24"/>
          <w:szCs w:val="24"/>
        </w:rPr>
        <w:t>pskeho parlamentu a Rady 2008/96/ES z 19. novembra 2008 o riadení</w:t>
      </w:r>
      <w:r w:rsidRPr="0031728F">
        <w:rPr>
          <w:rFonts w:ascii="Times New Roman" w:eastAsia="SimSun" w:hAnsi="Times New Roman" w:hint="default"/>
          <w:color w:val="000000" w:themeColor="tx1" w:themeShade="FF"/>
          <w:sz w:val="24"/>
          <w:szCs w:val="24"/>
        </w:rPr>
        <w:t xml:space="preserve"> bezpeč</w:t>
      </w:r>
      <w:r w:rsidRPr="0031728F">
        <w:rPr>
          <w:rFonts w:ascii="Times New Roman" w:eastAsia="SimSun" w:hAnsi="Times New Roman" w:hint="default"/>
          <w:color w:val="000000" w:themeColor="tx1" w:themeShade="FF"/>
          <w:sz w:val="24"/>
          <w:szCs w:val="24"/>
        </w:rPr>
        <w:t>nosti cestnej infraš</w:t>
      </w:r>
      <w:r w:rsidRPr="0031728F">
        <w:rPr>
          <w:rFonts w:ascii="Times New Roman" w:eastAsia="SimSun" w:hAnsi="Times New Roman" w:hint="default"/>
          <w:color w:val="000000" w:themeColor="tx1" w:themeShade="FF"/>
          <w:sz w:val="24"/>
          <w:szCs w:val="24"/>
        </w:rPr>
        <w:t>truktú</w:t>
      </w:r>
      <w:r w:rsidRPr="0031728F">
        <w:rPr>
          <w:rFonts w:ascii="Times New Roman" w:eastAsia="SimSun" w:hAnsi="Times New Roman" w:hint="default"/>
          <w:color w:val="000000" w:themeColor="tx1" w:themeShade="FF"/>
          <w:sz w:val="24"/>
          <w:szCs w:val="24"/>
        </w:rPr>
        <w:t>ry (Ú</w:t>
      </w:r>
      <w:r w:rsidRPr="0031728F">
        <w:rPr>
          <w:rFonts w:ascii="Times New Roman" w:eastAsia="SimSun" w:hAnsi="Times New Roman" w:hint="default"/>
          <w:color w:val="000000" w:themeColor="tx1" w:themeShade="FF"/>
          <w:sz w:val="24"/>
          <w:szCs w:val="24"/>
        </w:rPr>
        <w:t>. v. ES L 319 29.11.2008) v platnom znení</w:t>
      </w:r>
      <w:r w:rsidRPr="0031728F">
        <w:rPr>
          <w:rFonts w:ascii="Times New Roman" w:eastAsia="SimSun" w:hAnsi="Times New Roman" w:hint="default"/>
          <w:color w:val="000000" w:themeColor="tx1" w:themeShade="FF"/>
          <w:sz w:val="24"/>
          <w:szCs w:val="24"/>
        </w:rPr>
        <w:t xml:space="preserve"> </w:t>
      </w:r>
      <w:r w:rsidRPr="0031728F">
        <w:rPr>
          <w:rFonts w:ascii="Times New Roman" w:eastAsia="SimSun" w:hAnsi="Times New Roman" w:hint="default"/>
          <w:color w:val="000000" w:themeColor="tx1" w:themeShade="FF"/>
          <w:sz w:val="24"/>
          <w:szCs w:val="24"/>
        </w:rPr>
        <w:t>–</w:t>
      </w:r>
      <w:r w:rsidRPr="0031728F">
        <w:rPr>
          <w:rFonts w:ascii="Times New Roman" w:eastAsia="SimSun" w:hAnsi="Times New Roman" w:hint="default"/>
          <w:color w:val="000000" w:themeColor="tx1" w:themeShade="FF"/>
          <w:sz w:val="24"/>
          <w:szCs w:val="24"/>
        </w:rPr>
        <w:t xml:space="preserve"> gestor MDV SR</w:t>
      </w:r>
    </w:p>
    <w:p w:rsidR="00135A11" w:rsidRPr="0031728F" w:rsidP="00E80B13">
      <w:pPr>
        <w:pStyle w:val="ListParagraph"/>
        <w:numPr>
          <w:numId w:val="10"/>
        </w:numPr>
        <w:bidi w:val="0"/>
        <w:spacing w:after="0" w:line="240" w:lineRule="auto"/>
        <w:jc w:val="both"/>
        <w:rPr>
          <w:rFonts w:ascii="Times New Roman" w:eastAsia="SimSun" w:hAnsi="Times New Roman" w:hint="default"/>
          <w:color w:val="000000" w:themeColor="tx1" w:themeShade="FF"/>
          <w:sz w:val="24"/>
          <w:szCs w:val="24"/>
        </w:rPr>
      </w:pPr>
      <w:r w:rsidRPr="0031728F">
        <w:rPr>
          <w:rFonts w:ascii="Times New Roman" w:eastAsia="SimSun" w:hAnsi="Times New Roman" w:hint="default"/>
          <w:color w:val="000000" w:themeColor="tx1" w:themeShade="FF"/>
          <w:sz w:val="24"/>
          <w:szCs w:val="24"/>
        </w:rPr>
        <w:t>nariadenie Euró</w:t>
      </w:r>
      <w:r w:rsidRPr="0031728F">
        <w:rPr>
          <w:rFonts w:ascii="Times New Roman" w:eastAsia="SimSun" w:hAnsi="Times New Roman" w:hint="default"/>
          <w:color w:val="000000" w:themeColor="tx1" w:themeShade="FF"/>
          <w:sz w:val="24"/>
          <w:szCs w:val="24"/>
        </w:rPr>
        <w:t>pskeho parlamentu a Rady (EÚ</w:t>
      </w:r>
      <w:r w:rsidRPr="0031728F">
        <w:rPr>
          <w:rFonts w:ascii="Times New Roman" w:eastAsia="SimSun" w:hAnsi="Times New Roman" w:hint="default"/>
          <w:color w:val="000000" w:themeColor="tx1" w:themeShade="FF"/>
          <w:sz w:val="24"/>
          <w:szCs w:val="24"/>
        </w:rPr>
        <w:t>) č</w:t>
      </w:r>
      <w:r w:rsidRPr="0031728F">
        <w:rPr>
          <w:rFonts w:ascii="Times New Roman" w:eastAsia="SimSun" w:hAnsi="Times New Roman" w:hint="default"/>
          <w:color w:val="000000" w:themeColor="tx1" w:themeShade="FF"/>
          <w:sz w:val="24"/>
          <w:szCs w:val="24"/>
        </w:rPr>
        <w:t>. 1315/2013 z 11. decembra 2013 o usmerneniach Ú</w:t>
      </w:r>
      <w:r w:rsidRPr="0031728F">
        <w:rPr>
          <w:rFonts w:ascii="Times New Roman" w:eastAsia="SimSun" w:hAnsi="Times New Roman" w:hint="default"/>
          <w:color w:val="000000" w:themeColor="tx1" w:themeShade="FF"/>
          <w:sz w:val="24"/>
          <w:szCs w:val="24"/>
        </w:rPr>
        <w:t>nie pre rozvoj transeuró</w:t>
      </w:r>
      <w:r w:rsidRPr="0031728F">
        <w:rPr>
          <w:rFonts w:ascii="Times New Roman" w:eastAsia="SimSun" w:hAnsi="Times New Roman" w:hint="default"/>
          <w:color w:val="000000" w:themeColor="tx1" w:themeShade="FF"/>
          <w:sz w:val="24"/>
          <w:szCs w:val="24"/>
        </w:rPr>
        <w:t>pskej dopravnej siete a o zruš</w:t>
      </w:r>
      <w:r w:rsidRPr="0031728F">
        <w:rPr>
          <w:rFonts w:ascii="Times New Roman" w:eastAsia="SimSun" w:hAnsi="Times New Roman" w:hint="default"/>
          <w:color w:val="000000" w:themeColor="tx1" w:themeShade="FF"/>
          <w:sz w:val="24"/>
          <w:szCs w:val="24"/>
        </w:rPr>
        <w:t>ení</w:t>
      </w:r>
      <w:r w:rsidRPr="0031728F">
        <w:rPr>
          <w:rFonts w:ascii="Times New Roman" w:eastAsia="SimSun" w:hAnsi="Times New Roman" w:hint="default"/>
          <w:color w:val="000000" w:themeColor="tx1" w:themeShade="FF"/>
          <w:sz w:val="24"/>
          <w:szCs w:val="24"/>
        </w:rPr>
        <w:t xml:space="preserve"> rozhod</w:t>
      </w:r>
      <w:r w:rsidRPr="0031728F">
        <w:rPr>
          <w:rFonts w:ascii="Times New Roman" w:eastAsia="SimSun" w:hAnsi="Times New Roman" w:hint="default"/>
          <w:color w:val="000000" w:themeColor="tx1" w:themeShade="FF"/>
          <w:sz w:val="24"/>
          <w:szCs w:val="24"/>
        </w:rPr>
        <w:t>nutia č</w:t>
      </w:r>
      <w:r w:rsidRPr="0031728F">
        <w:rPr>
          <w:rFonts w:ascii="Times New Roman" w:eastAsia="SimSun" w:hAnsi="Times New Roman" w:hint="default"/>
          <w:color w:val="000000" w:themeColor="tx1" w:themeShade="FF"/>
          <w:sz w:val="24"/>
          <w:szCs w:val="24"/>
        </w:rPr>
        <w:t>. 661/2010/EÚ</w:t>
      </w:r>
      <w:r w:rsidRPr="0031728F">
        <w:rPr>
          <w:rFonts w:ascii="Times New Roman" w:eastAsia="SimSun" w:hAnsi="Times New Roman" w:hint="default"/>
          <w:color w:val="000000" w:themeColor="tx1" w:themeShade="FF"/>
          <w:sz w:val="24"/>
          <w:szCs w:val="24"/>
        </w:rPr>
        <w:t xml:space="preserve"> (Ú</w:t>
      </w:r>
      <w:r w:rsidRPr="0031728F">
        <w:rPr>
          <w:rFonts w:ascii="Times New Roman" w:eastAsia="SimSun" w:hAnsi="Times New Roman" w:hint="default"/>
          <w:color w:val="000000" w:themeColor="tx1" w:themeShade="FF"/>
          <w:sz w:val="24"/>
          <w:szCs w:val="24"/>
        </w:rPr>
        <w:t>. v. EÚ</w:t>
      </w:r>
      <w:r w:rsidRPr="0031728F">
        <w:rPr>
          <w:rFonts w:ascii="Times New Roman" w:eastAsia="SimSun" w:hAnsi="Times New Roman" w:hint="default"/>
          <w:color w:val="000000" w:themeColor="tx1" w:themeShade="FF"/>
          <w:sz w:val="24"/>
          <w:szCs w:val="24"/>
        </w:rPr>
        <w:t xml:space="preserve"> L 348, 20.12.2013) v platnom znení</w:t>
      </w:r>
      <w:r w:rsidRPr="0031728F">
        <w:rPr>
          <w:rFonts w:ascii="Times New Roman" w:eastAsia="SimSun" w:hAnsi="Times New Roman" w:hint="default"/>
          <w:color w:val="000000" w:themeColor="tx1" w:themeShade="FF"/>
          <w:sz w:val="24"/>
          <w:szCs w:val="24"/>
        </w:rPr>
        <w:t xml:space="preserve"> </w:t>
      </w:r>
      <w:r w:rsidRPr="0031728F">
        <w:rPr>
          <w:rFonts w:ascii="Times New Roman" w:eastAsia="SimSun" w:hAnsi="Times New Roman" w:hint="default"/>
          <w:color w:val="000000" w:themeColor="tx1" w:themeShade="FF"/>
          <w:sz w:val="24"/>
          <w:szCs w:val="24"/>
        </w:rPr>
        <w:t>–</w:t>
      </w:r>
      <w:r w:rsidRPr="0031728F">
        <w:rPr>
          <w:rFonts w:ascii="Times New Roman" w:eastAsia="SimSun" w:hAnsi="Times New Roman" w:hint="default"/>
          <w:color w:val="000000" w:themeColor="tx1" w:themeShade="FF"/>
          <w:sz w:val="24"/>
          <w:szCs w:val="24"/>
        </w:rPr>
        <w:t xml:space="preserve"> gestor MDV SR.</w:t>
      </w:r>
    </w:p>
    <w:p w:rsidR="00E80B13" w:rsidRPr="0031728F" w:rsidP="00E80B13">
      <w:pPr>
        <w:pStyle w:val="ListParagraph"/>
        <w:bidi w:val="0"/>
        <w:spacing w:after="0" w:line="240" w:lineRule="auto"/>
        <w:ind w:left="1428"/>
        <w:jc w:val="both"/>
        <w:rPr>
          <w:rFonts w:ascii="Times New Roman" w:eastAsia="SimSun" w:hAnsi="Times New Roman"/>
          <w:color w:val="000000" w:themeColor="tx1" w:themeShade="FF"/>
          <w:sz w:val="24"/>
          <w:szCs w:val="24"/>
        </w:rPr>
      </w:pPr>
    </w:p>
    <w:p w:rsidR="00135A11" w:rsidRPr="0031728F" w:rsidP="00787722">
      <w:pPr>
        <w:bidi w:val="0"/>
        <w:spacing w:after="0" w:line="240" w:lineRule="auto"/>
        <w:ind w:left="480" w:hanging="480"/>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c)        v judikatúre Súdneho dvora Európskej únie:</w:t>
      </w:r>
    </w:p>
    <w:p w:rsidR="00135A11" w:rsidRPr="0031728F" w:rsidP="00B50DE9">
      <w:pPr>
        <w:bidi w:val="0"/>
        <w:spacing w:after="0" w:line="240" w:lineRule="auto"/>
        <w:ind w:left="480" w:hanging="480"/>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ab/>
        <w:t>- predmet návrhu zákona nie je upravený v judikatú</w:t>
      </w:r>
      <w:r w:rsidRPr="0031728F" w:rsidR="00B50DE9">
        <w:rPr>
          <w:rFonts w:ascii="Times New Roman" w:hAnsi="Times New Roman"/>
          <w:color w:val="000000" w:themeColor="tx1" w:themeShade="FF"/>
          <w:sz w:val="24"/>
          <w:szCs w:val="24"/>
        </w:rPr>
        <w:t>re Súdneho dvora Európskej únie</w:t>
      </w:r>
    </w:p>
    <w:p w:rsidR="00B50DE9" w:rsidRPr="0031728F" w:rsidP="00B50DE9">
      <w:pPr>
        <w:bidi w:val="0"/>
        <w:spacing w:after="0" w:line="240" w:lineRule="auto"/>
        <w:ind w:left="480" w:hanging="480"/>
        <w:jc w:val="both"/>
        <w:rPr>
          <w:rFonts w:ascii="Times New Roman" w:hAnsi="Times New Roman"/>
          <w:color w:val="000000" w:themeColor="tx1" w:themeShade="FF"/>
          <w:sz w:val="24"/>
          <w:szCs w:val="24"/>
        </w:rPr>
      </w:pPr>
    </w:p>
    <w:p w:rsidR="00135A11" w:rsidRPr="0031728F" w:rsidP="00B50DE9">
      <w:pPr>
        <w:bidi w:val="0"/>
        <w:spacing w:after="0" w:line="240" w:lineRule="auto"/>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4. Záväzky Slovenskej republiky vo vzťahu k  Európskej únii:</w:t>
      </w:r>
    </w:p>
    <w:p w:rsidR="00135A11" w:rsidRPr="0031728F" w:rsidP="00B50DE9">
      <w:pPr>
        <w:autoSpaceDE w:val="0"/>
        <w:autoSpaceDN w:val="0"/>
        <w:bidi w:val="0"/>
        <w:spacing w:after="0" w:line="240" w:lineRule="auto"/>
        <w:contextualSpacing/>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a)  lehota na prebratie príslušného právneho aktu Európskej únie:</w:t>
      </w:r>
    </w:p>
    <w:p w:rsidR="00135A11" w:rsidP="00135A11">
      <w:pPr>
        <w:numPr>
          <w:numId w:val="8"/>
        </w:numPr>
        <w:bidi w:val="0"/>
        <w:spacing w:after="0" w:line="240" w:lineRule="auto"/>
        <w:jc w:val="both"/>
        <w:rPr>
          <w:rFonts w:ascii="Times New Roman" w:eastAsia="SimSun" w:hAnsi="Times New Roman"/>
          <w:color w:val="000000" w:themeColor="tx1" w:themeShade="FF"/>
          <w:sz w:val="24"/>
          <w:szCs w:val="24"/>
        </w:rPr>
      </w:pPr>
      <w:r w:rsidRPr="0031728F">
        <w:rPr>
          <w:rFonts w:ascii="Times New Roman" w:eastAsia="SimSun" w:hAnsi="Times New Roman"/>
          <w:color w:val="000000" w:themeColor="tx1" w:themeShade="FF"/>
          <w:sz w:val="24"/>
          <w:szCs w:val="24"/>
        </w:rPr>
        <w:t xml:space="preserve">smernicu </w:t>
      </w:r>
      <w:r w:rsidRPr="0031728F">
        <w:rPr>
          <w:rFonts w:ascii="Times New Roman" w:hAnsi="Times New Roman"/>
          <w:color w:val="000000" w:themeColor="tx1" w:themeShade="FF"/>
          <w:sz w:val="24"/>
          <w:szCs w:val="24"/>
        </w:rPr>
        <w:t xml:space="preserve">Európskeho Parlamentu a Rady (EÚ) 2019/1936 z 23. októbra 2019, ktorou sa mení smernica 2008/96/ES o riadení bezpečnosti cestnej infraštruktúry </w:t>
      </w:r>
      <w:r w:rsidRPr="0031728F">
        <w:rPr>
          <w:rFonts w:ascii="Times New Roman" w:hAnsi="Times New Roman"/>
          <w:color w:val="000000" w:themeColor="tx1" w:themeShade="FF"/>
          <w:sz w:val="24"/>
          <w:szCs w:val="24"/>
          <w:shd w:val="clear" w:color="auto" w:fill="FFFFFF"/>
        </w:rPr>
        <w:t xml:space="preserve">(Ú. v. EÚ L 305, 26.11.2019) </w:t>
      </w:r>
      <w:r w:rsidRPr="0031728F">
        <w:rPr>
          <w:rFonts w:ascii="Times New Roman" w:eastAsia="SimSun" w:hAnsi="Times New Roman" w:hint="default"/>
          <w:color w:val="000000" w:themeColor="tx1" w:themeShade="FF"/>
          <w:sz w:val="24"/>
          <w:szCs w:val="24"/>
        </w:rPr>
        <w:t>je Slovenská</w:t>
      </w:r>
      <w:r w:rsidRPr="0031728F">
        <w:rPr>
          <w:rFonts w:ascii="Times New Roman" w:eastAsia="SimSun" w:hAnsi="Times New Roman" w:hint="default"/>
          <w:color w:val="000000" w:themeColor="tx1" w:themeShade="FF"/>
          <w:sz w:val="24"/>
          <w:szCs w:val="24"/>
        </w:rPr>
        <w:t xml:space="preserve"> republika povinná</w:t>
      </w:r>
      <w:r w:rsidRPr="0031728F">
        <w:rPr>
          <w:rFonts w:ascii="Times New Roman" w:eastAsia="SimSun" w:hAnsi="Times New Roman" w:hint="default"/>
          <w:color w:val="000000" w:themeColor="tx1" w:themeShade="FF"/>
          <w:sz w:val="24"/>
          <w:szCs w:val="24"/>
        </w:rPr>
        <w:t xml:space="preserve"> transponovať</w:t>
      </w:r>
      <w:r w:rsidRPr="0031728F">
        <w:rPr>
          <w:rFonts w:ascii="Times New Roman" w:eastAsia="SimSun" w:hAnsi="Times New Roman" w:hint="default"/>
          <w:color w:val="000000" w:themeColor="tx1" w:themeShade="FF"/>
          <w:sz w:val="24"/>
          <w:szCs w:val="24"/>
        </w:rPr>
        <w:t xml:space="preserve"> do 17. decembra 2021,</w:t>
      </w:r>
    </w:p>
    <w:p w:rsidR="00787722" w:rsidRPr="00787722" w:rsidP="00787722">
      <w:pPr>
        <w:bidi w:val="0"/>
        <w:spacing w:after="0" w:line="240" w:lineRule="auto"/>
        <w:ind w:left="720"/>
        <w:jc w:val="both"/>
        <w:rPr>
          <w:rFonts w:ascii="Times New Roman" w:eastAsia="SimSun" w:hAnsi="Times New Roman"/>
          <w:color w:val="000000" w:themeColor="tx1" w:themeShade="FF"/>
          <w:sz w:val="24"/>
          <w:szCs w:val="24"/>
        </w:rPr>
      </w:pPr>
    </w:p>
    <w:p w:rsidR="00E80B13" w:rsidRPr="0031728F" w:rsidP="00787722">
      <w:pPr>
        <w:bidi w:val="0"/>
        <w:spacing w:after="0" w:line="240" w:lineRule="auto"/>
        <w:ind w:left="284" w:hanging="284"/>
        <w:jc w:val="both"/>
        <w:rPr>
          <w:rFonts w:ascii="Times New Roman" w:hAnsi="Times New Roman"/>
          <w:color w:val="000000" w:themeColor="tx1" w:themeShade="FF"/>
          <w:sz w:val="24"/>
          <w:szCs w:val="24"/>
        </w:rPr>
      </w:pPr>
      <w:r w:rsidRPr="0031728F" w:rsidR="00135A11">
        <w:rPr>
          <w:rFonts w:ascii="Times New Roman" w:hAnsi="Times New Roman"/>
          <w:color w:val="000000" w:themeColor="tx1" w:themeShade="FF"/>
          <w:sz w:val="24"/>
          <w:szCs w:val="24"/>
        </w:rPr>
        <w:t>b) informácia o začatí konania v rámci „EÚ Pilot“ alebo o začatí postupu Európskej komisie, alebo o konaní Súdneho dvora Európskej únie proti Slovenskej republike podľa čl. 258  a 260 Zmluv</w:t>
      </w:r>
      <w:r w:rsidR="00787722">
        <w:rPr>
          <w:rFonts w:ascii="Times New Roman" w:hAnsi="Times New Roman"/>
          <w:color w:val="000000" w:themeColor="tx1" w:themeShade="FF"/>
          <w:sz w:val="24"/>
          <w:szCs w:val="24"/>
        </w:rPr>
        <w:t>y o fungovaní Európskej únie:</w:t>
      </w:r>
    </w:p>
    <w:p w:rsidR="00135A11" w:rsidRPr="0031728F" w:rsidP="00E80B13">
      <w:pPr>
        <w:bidi w:val="0"/>
        <w:spacing w:after="0" w:line="240" w:lineRule="auto"/>
        <w:ind w:firstLine="284"/>
        <w:jc w:val="both"/>
        <w:rPr>
          <w:rFonts w:ascii="Times New Roman" w:hAnsi="Times New Roman"/>
          <w:color w:val="000000" w:themeColor="tx1" w:themeShade="FF"/>
          <w:sz w:val="24"/>
          <w:szCs w:val="24"/>
        </w:rPr>
      </w:pPr>
      <w:r w:rsidRPr="0031728F" w:rsidR="00E80B13">
        <w:rPr>
          <w:rFonts w:ascii="Times New Roman" w:hAnsi="Times New Roman"/>
          <w:color w:val="000000" w:themeColor="tx1" w:themeShade="FF"/>
          <w:sz w:val="24"/>
          <w:szCs w:val="24"/>
        </w:rPr>
        <w:t>- bezpredmetné</w:t>
      </w:r>
    </w:p>
    <w:p w:rsidR="00E80B13" w:rsidRPr="0031728F" w:rsidP="00E80B13">
      <w:pPr>
        <w:bidi w:val="0"/>
        <w:spacing w:after="0" w:line="240" w:lineRule="auto"/>
        <w:ind w:firstLine="284"/>
        <w:jc w:val="both"/>
        <w:rPr>
          <w:rFonts w:ascii="Times New Roman" w:hAnsi="Times New Roman"/>
          <w:color w:val="000000" w:themeColor="tx1" w:themeShade="FF"/>
          <w:sz w:val="24"/>
          <w:szCs w:val="24"/>
        </w:rPr>
      </w:pPr>
    </w:p>
    <w:p w:rsidR="00135A11" w:rsidRPr="0031728F" w:rsidP="00E80B13">
      <w:pPr>
        <w:pStyle w:val="BodyTextIndent2"/>
        <w:bidi w:val="0"/>
        <w:spacing w:after="0" w:line="240" w:lineRule="auto"/>
        <w:ind w:left="284" w:hanging="284"/>
        <w:jc w:val="both"/>
        <w:rPr>
          <w:rFonts w:ascii="Times New Roman" w:hAnsi="Times New Roman" w:cs="Times New Roman"/>
          <w:color w:val="000000" w:themeColor="tx1" w:themeShade="FF"/>
          <w:sz w:val="24"/>
          <w:szCs w:val="24"/>
        </w:rPr>
      </w:pPr>
      <w:r w:rsidRPr="0031728F">
        <w:rPr>
          <w:rFonts w:ascii="Times New Roman" w:hAnsi="Times New Roman" w:cs="Times New Roman"/>
          <w:color w:val="000000" w:themeColor="tx1" w:themeShade="FF"/>
          <w:sz w:val="24"/>
          <w:szCs w:val="24"/>
        </w:rPr>
        <w:t xml:space="preserve">c) informácia o právnych predpisoch, v ktorých sú uvádzané právne akty Európskej únie prebrané spolu s uvedením rozsahu ich prebrania: </w:t>
      </w:r>
    </w:p>
    <w:p w:rsidR="00135A11" w:rsidRPr="0031728F" w:rsidP="00135A11">
      <w:pPr>
        <w:pStyle w:val="BodyTextIndent2"/>
        <w:bidi w:val="0"/>
        <w:spacing w:after="0" w:line="240" w:lineRule="auto"/>
        <w:ind w:left="284" w:hanging="284"/>
        <w:jc w:val="both"/>
        <w:rPr>
          <w:rFonts w:ascii="Times New Roman" w:hAnsi="Times New Roman" w:cs="Times New Roman"/>
          <w:color w:val="000000" w:themeColor="tx1" w:themeShade="FF"/>
          <w:sz w:val="24"/>
          <w:szCs w:val="24"/>
        </w:rPr>
      </w:pPr>
      <w:r w:rsidRPr="0031728F">
        <w:rPr>
          <w:rFonts w:ascii="Times New Roman" w:hAnsi="Times New Roman" w:cs="Times New Roman"/>
          <w:color w:val="000000" w:themeColor="tx1" w:themeShade="FF"/>
          <w:sz w:val="24"/>
          <w:szCs w:val="24"/>
        </w:rPr>
        <w:t xml:space="preserve">     Smernica Európskeho parlamentu a Rady (EÚ) 2019/1936 z 23. októbra 2019, ktorou sa mení smernica 2008/96/ES o riadení bezpečnosti cestnej infraštruktúry, ešte nebola prebratá do žiadneho všeobecne záväzného právneho predpisu a k čiastočnej transpozícií dochádza predkladaným návrhom zákona.</w:t>
      </w:r>
    </w:p>
    <w:p w:rsidR="00135A11" w:rsidRPr="0031728F" w:rsidP="00135A11">
      <w:pPr>
        <w:pStyle w:val="BodyTextIndent2"/>
        <w:bidi w:val="0"/>
        <w:spacing w:after="0" w:line="240" w:lineRule="auto"/>
        <w:ind w:left="284" w:hanging="284"/>
        <w:jc w:val="both"/>
        <w:rPr>
          <w:rFonts w:ascii="Times New Roman" w:hAnsi="Times New Roman" w:cs="Times New Roman"/>
          <w:color w:val="000000" w:themeColor="tx1" w:themeShade="FF"/>
          <w:sz w:val="24"/>
          <w:szCs w:val="24"/>
        </w:rPr>
      </w:pPr>
    </w:p>
    <w:p w:rsidR="00135A11" w:rsidRPr="0031728F" w:rsidP="00135A11">
      <w:pPr>
        <w:numPr>
          <w:numId w:val="9"/>
        </w:num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Zákon č. 249/2011 Z. z. o riadení bezpečnosti pozemných komunikácií a o zmene a doplnení niektorých zákonov v znení zákona č. 177/2018 Z. z.</w:t>
      </w:r>
    </w:p>
    <w:p w:rsidR="00135A11" w:rsidRPr="0031728F" w:rsidP="00135A11">
      <w:pPr>
        <w:numPr>
          <w:numId w:val="9"/>
        </w:num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Zákon č. </w:t>
      </w:r>
      <w:r w:rsidRPr="0031728F">
        <w:rPr>
          <w:rFonts w:ascii="Times New Roman" w:hAnsi="Times New Roman"/>
          <w:bCs/>
          <w:color w:val="000000" w:themeColor="tx1" w:themeShade="FF"/>
          <w:sz w:val="24"/>
          <w:szCs w:val="24"/>
        </w:rPr>
        <w:t xml:space="preserve">135/1961 Zb. o pozemných komunikáciách (cestný zákon) </w:t>
      </w:r>
      <w:r w:rsidRPr="0031728F">
        <w:rPr>
          <w:rFonts w:ascii="Times New Roman" w:hAnsi="Times New Roman"/>
          <w:color w:val="000000" w:themeColor="tx1" w:themeShade="FF"/>
          <w:sz w:val="24"/>
          <w:szCs w:val="24"/>
        </w:rPr>
        <w:t>v znení neskorších predpisov.</w:t>
      </w:r>
    </w:p>
    <w:p w:rsidR="00135A11" w:rsidRPr="0031728F" w:rsidP="00135A11">
      <w:pPr>
        <w:numPr>
          <w:numId w:val="9"/>
        </w:num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Zákon č. 8/2009 Z. z. o cestnej premávke a o zmene a doplnení niektorých zákonov v znení neskorších predpisov.</w:t>
      </w:r>
    </w:p>
    <w:p w:rsidR="00135A11" w:rsidRPr="0031728F" w:rsidP="00135A11">
      <w:pPr>
        <w:numPr>
          <w:numId w:val="9"/>
        </w:num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Vyhláška Ministerstva dopravy, výstavby a regionálneho rozvoja Slovenskej republiky č. 251/2011 Z. z., ktorou sa upravujú podrobnosti riadenia bezpečnosti pozemných komunikácií.</w:t>
      </w:r>
    </w:p>
    <w:p w:rsidR="00135A11" w:rsidRPr="0031728F" w:rsidP="00135A11">
      <w:pPr>
        <w:numPr>
          <w:numId w:val="9"/>
        </w:num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Vyhláška Ministerstva dopravy, výstavby a regionálneho rozvoja Slovenskej republiky č. 135/2012 Z. z., ktorou sa ustanovujú podrobnosti o odbornej príprave, o odbornej skúške a o výkone činnosti audítora bezpečnosti pozemnej komunikácie, o zápise do zoznamu audítorov bezpečnosti pozemných komunikácií a o zápise do zoznamu vzdelávacích inštitúcií akreditovaných v odbore riadenia bezpečnosti pozemných komunikácií.</w:t>
      </w:r>
    </w:p>
    <w:p w:rsidR="00135A11" w:rsidRPr="0031728F" w:rsidP="00135A11">
      <w:pPr>
        <w:pStyle w:val="BodyTextIndent3"/>
        <w:bidi w:val="0"/>
        <w:spacing w:after="0"/>
        <w:ind w:left="0"/>
        <w:rPr>
          <w:rFonts w:ascii="Times New Roman" w:hAnsi="Times New Roman"/>
          <w:b/>
          <w:bCs/>
          <w:color w:val="000000" w:themeColor="tx1" w:themeShade="FF"/>
          <w:sz w:val="24"/>
          <w:szCs w:val="24"/>
        </w:rPr>
      </w:pPr>
    </w:p>
    <w:p w:rsidR="00135A11" w:rsidRPr="0031728F" w:rsidP="00135A11">
      <w:pPr>
        <w:pStyle w:val="BodyTextIndent3"/>
        <w:bidi w:val="0"/>
        <w:spacing w:after="0"/>
        <w:ind w:left="0"/>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5.  Návrh právneho predpisu je zlučiteľný s právom Európskej únie:</w:t>
      </w:r>
    </w:p>
    <w:p w:rsidR="00135A11" w:rsidRPr="0031728F" w:rsidP="00135A11">
      <w:pPr>
        <w:bidi w:val="0"/>
        <w:spacing w:line="240" w:lineRule="auto"/>
        <w:ind w:firstLine="284"/>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úplne</w:t>
      </w:r>
    </w:p>
    <w:p w:rsidR="005C0240"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B50DE9" w:rsidRPr="0031728F" w:rsidP="002A2E2B">
      <w:pPr>
        <w:bidi w:val="0"/>
        <w:rPr>
          <w:rFonts w:ascii="Times New Roman" w:hAnsi="Times New Roman"/>
          <w:color w:val="000000" w:themeColor="tx1" w:themeShade="FF"/>
          <w:sz w:val="24"/>
          <w:szCs w:val="24"/>
        </w:rPr>
      </w:pPr>
    </w:p>
    <w:p w:rsidR="002806BA" w:rsidRPr="0031728F" w:rsidP="002A2E2B">
      <w:pPr>
        <w:bidi w:val="0"/>
        <w:rPr>
          <w:rFonts w:ascii="Times New Roman" w:hAnsi="Times New Roman"/>
          <w:color w:val="000000" w:themeColor="tx1" w:themeShade="FF"/>
          <w:sz w:val="24"/>
          <w:szCs w:val="24"/>
        </w:rPr>
      </w:pPr>
    </w:p>
    <w:p w:rsidR="002806BA" w:rsidRPr="0031728F" w:rsidP="002A2E2B">
      <w:pPr>
        <w:bidi w:val="0"/>
        <w:rPr>
          <w:rFonts w:ascii="Times New Roman" w:hAnsi="Times New Roman"/>
          <w:color w:val="000000" w:themeColor="tx1" w:themeShade="FF"/>
          <w:sz w:val="24"/>
          <w:szCs w:val="24"/>
        </w:rPr>
      </w:pPr>
    </w:p>
    <w:p w:rsidR="002806BA" w:rsidRPr="0031728F" w:rsidP="002A2E2B">
      <w:pPr>
        <w:bidi w:val="0"/>
        <w:rPr>
          <w:rFonts w:ascii="Times New Roman" w:hAnsi="Times New Roman"/>
          <w:color w:val="000000" w:themeColor="tx1" w:themeShade="FF"/>
          <w:sz w:val="24"/>
          <w:szCs w:val="24"/>
        </w:rPr>
      </w:pPr>
    </w:p>
    <w:p w:rsidR="002806BA" w:rsidRPr="0031728F" w:rsidP="002A2E2B">
      <w:pPr>
        <w:bidi w:val="0"/>
        <w:rPr>
          <w:rFonts w:ascii="Times New Roman" w:hAnsi="Times New Roman"/>
          <w:color w:val="000000" w:themeColor="tx1" w:themeShade="FF"/>
          <w:sz w:val="24"/>
          <w:szCs w:val="24"/>
        </w:rPr>
      </w:pPr>
    </w:p>
    <w:p w:rsidR="002806BA" w:rsidP="002A2E2B">
      <w:pPr>
        <w:bidi w:val="0"/>
        <w:rPr>
          <w:rFonts w:ascii="Times New Roman" w:hAnsi="Times New Roman"/>
          <w:color w:val="000000" w:themeColor="tx1" w:themeShade="FF"/>
          <w:sz w:val="24"/>
          <w:szCs w:val="24"/>
        </w:rPr>
      </w:pPr>
    </w:p>
    <w:p w:rsidR="00787722" w:rsidP="002A2E2B">
      <w:pPr>
        <w:bidi w:val="0"/>
        <w:rPr>
          <w:rFonts w:ascii="Times New Roman" w:hAnsi="Times New Roman"/>
          <w:color w:val="000000" w:themeColor="tx1" w:themeShade="FF"/>
          <w:sz w:val="24"/>
          <w:szCs w:val="24"/>
        </w:rPr>
      </w:pPr>
    </w:p>
    <w:p w:rsidR="00787722" w:rsidP="002A2E2B">
      <w:pPr>
        <w:bidi w:val="0"/>
        <w:rPr>
          <w:rFonts w:ascii="Times New Roman" w:hAnsi="Times New Roman"/>
          <w:color w:val="000000" w:themeColor="tx1" w:themeShade="FF"/>
          <w:sz w:val="24"/>
          <w:szCs w:val="24"/>
        </w:rPr>
      </w:pPr>
    </w:p>
    <w:p w:rsidR="00787722" w:rsidRPr="0031728F" w:rsidP="002A2E2B">
      <w:pPr>
        <w:bidi w:val="0"/>
        <w:rPr>
          <w:rFonts w:ascii="Times New Roman" w:hAnsi="Times New Roman"/>
          <w:color w:val="000000" w:themeColor="tx1" w:themeShade="FF"/>
          <w:sz w:val="24"/>
          <w:szCs w:val="24"/>
        </w:rPr>
      </w:pPr>
    </w:p>
    <w:p w:rsidR="00B50DE9" w:rsidP="00B50DE9">
      <w:pPr>
        <w:tabs>
          <w:tab w:val="left" w:pos="360"/>
        </w:tabs>
        <w:bidi w:val="0"/>
        <w:spacing w:after="0" w:line="240" w:lineRule="auto"/>
        <w:jc w:val="both"/>
        <w:rPr>
          <w:rFonts w:ascii="Times New Roman" w:hAnsi="Times New Roman"/>
          <w:b/>
          <w:bCs/>
          <w:color w:val="000000" w:themeColor="tx1" w:themeShade="FF"/>
          <w:sz w:val="24"/>
          <w:szCs w:val="24"/>
        </w:rPr>
      </w:pPr>
      <w:r w:rsidRPr="0031728F">
        <w:rPr>
          <w:rFonts w:ascii="Times New Roman" w:hAnsi="Times New Roman"/>
          <w:b/>
          <w:bCs/>
          <w:color w:val="000000" w:themeColor="tx1" w:themeShade="FF"/>
          <w:sz w:val="24"/>
          <w:szCs w:val="24"/>
        </w:rPr>
        <w:t>B. Osobitná časť</w:t>
      </w:r>
    </w:p>
    <w:p w:rsidR="0031728F" w:rsidRPr="0031728F" w:rsidP="00B50DE9">
      <w:pPr>
        <w:tabs>
          <w:tab w:val="left" w:pos="360"/>
        </w:tabs>
        <w:bidi w:val="0"/>
        <w:spacing w:after="0" w:line="240" w:lineRule="auto"/>
        <w:jc w:val="both"/>
        <w:rPr>
          <w:rFonts w:ascii="Times New Roman" w:hAnsi="Times New Roman"/>
          <w:b/>
          <w:bCs/>
          <w:color w:val="000000" w:themeColor="tx1" w:themeShade="FF"/>
          <w:sz w:val="24"/>
          <w:szCs w:val="24"/>
        </w:rPr>
      </w:pPr>
    </w:p>
    <w:p w:rsidR="00152C98" w:rsidRPr="0031728F" w:rsidP="00B50DE9">
      <w:pPr>
        <w:bidi w:val="0"/>
        <w:spacing w:after="0" w:line="240" w:lineRule="auto"/>
        <w:rPr>
          <w:rFonts w:ascii="Times New Roman" w:hAnsi="Times New Roman"/>
          <w:b/>
          <w:bCs/>
          <w:color w:val="000000" w:themeColor="tx1" w:themeShade="FF"/>
          <w:kern w:val="36"/>
          <w:sz w:val="24"/>
          <w:szCs w:val="24"/>
          <w:lang w:eastAsia="sk-SK"/>
        </w:rPr>
      </w:pPr>
      <w:r w:rsidR="0031728F">
        <w:rPr>
          <w:rFonts w:ascii="Times New Roman" w:hAnsi="Times New Roman"/>
          <w:b/>
          <w:bCs/>
          <w:color w:val="000000" w:themeColor="tx1" w:themeShade="FF"/>
          <w:kern w:val="36"/>
          <w:sz w:val="24"/>
          <w:szCs w:val="24"/>
          <w:lang w:eastAsia="sk-SK"/>
        </w:rPr>
        <w:t>K čl. I</w:t>
      </w:r>
    </w:p>
    <w:p w:rsidR="00B50DE9" w:rsidRPr="0031728F" w:rsidP="00B50DE9">
      <w:pPr>
        <w:bidi w:val="0"/>
        <w:spacing w:after="0" w:line="240" w:lineRule="auto"/>
        <w:rPr>
          <w:rFonts w:ascii="Times New Roman" w:hAnsi="Times New Roman"/>
          <w:bCs/>
          <w:color w:val="000000" w:themeColor="tx1" w:themeShade="FF"/>
          <w:kern w:val="36"/>
          <w:sz w:val="24"/>
          <w:szCs w:val="24"/>
          <w:u w:val="single"/>
          <w:lang w:eastAsia="sk-SK"/>
        </w:rPr>
      </w:pPr>
      <w:r w:rsidRPr="0031728F">
        <w:rPr>
          <w:rFonts w:ascii="Times New Roman" w:hAnsi="Times New Roman"/>
          <w:bCs/>
          <w:color w:val="000000" w:themeColor="tx1" w:themeShade="FF"/>
          <w:kern w:val="36"/>
          <w:sz w:val="24"/>
          <w:szCs w:val="24"/>
          <w:u w:val="single"/>
          <w:lang w:eastAsia="sk-SK"/>
        </w:rPr>
        <w:t>K čl. I bodom 1 a 2</w:t>
      </w:r>
    </w:p>
    <w:p w:rsidR="00B50DE9" w:rsidRPr="0031728F" w:rsidP="00B50DE9">
      <w:pPr>
        <w:bidi w:val="0"/>
        <w:spacing w:after="0" w:line="240" w:lineRule="auto"/>
        <w:jc w:val="both"/>
        <w:rPr>
          <w:rFonts w:ascii="Times New Roman" w:hAnsi="Times New Roman"/>
          <w:bCs/>
          <w:color w:val="000000" w:themeColor="tx1" w:themeShade="FF"/>
          <w:kern w:val="36"/>
          <w:sz w:val="24"/>
          <w:szCs w:val="24"/>
          <w:lang w:eastAsia="sk-SK"/>
        </w:rPr>
      </w:pPr>
      <w:r w:rsidRPr="0031728F">
        <w:rPr>
          <w:rFonts w:ascii="Times New Roman" w:hAnsi="Times New Roman"/>
          <w:bCs/>
          <w:color w:val="000000" w:themeColor="tx1" w:themeShade="FF"/>
          <w:kern w:val="36"/>
          <w:sz w:val="24"/>
          <w:szCs w:val="24"/>
          <w:lang w:eastAsia="sk-SK"/>
        </w:rPr>
        <w:t xml:space="preserve">Dochádza k drobným legislatívno-technickým úpravám v súvislosti so zavedením legislatívnej skratky </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 xml:space="preserve">K čl. I bodu 3 </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Regulácia Európskej únie doposiaľ znela výlučne na pozemné komunikácie zaradené to transeurópskej cestnej siete TEN-T koridorov. Novelou smernice sa pôsobnosť rozšírila aj na iné hlavné cestné ťahy a úseky ciest, vrátane úsekov ciest vo fáze projektovania, ktoré sa nachádzajú mimo mestských oblastí, neslúžia na obsluhu s nimi susediacich nehnuteľností a sú vybudované s použitím prostriedkov Európskej Únie. Dôvodom rozšírenia regulácie je snaha o zvýšenie bezpečnosti na pozemných komunikáciách a hospodárne využitie prostriedkov únie tak, aby neboli vynakladané na investície do nebezpečných úsekov ciest. </w:t>
      </w:r>
    </w:p>
    <w:p w:rsidR="00B50DE9" w:rsidRPr="0031728F" w:rsidP="00B50DE9">
      <w:pPr>
        <w:bidi w:val="0"/>
        <w:spacing w:after="0" w:line="240" w:lineRule="auto"/>
        <w:rPr>
          <w:rFonts w:ascii="Times New Roman" w:hAnsi="Times New Roman"/>
          <w:color w:val="000000" w:themeColor="tx1" w:themeShade="FF"/>
          <w:kern w:val="36"/>
          <w:sz w:val="24"/>
          <w:szCs w:val="24"/>
          <w:lang w:eastAsia="sk-SK"/>
        </w:rPr>
      </w:pP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S ohľadom na tieto skutočnosti sa v § 1 ods. 2 ustanovujú pozemné komunikácie, na ktoré sa bude zákon vzťahovať, a to nasledovne:</w:t>
      </w:r>
    </w:p>
    <w:p w:rsidR="00B50DE9" w:rsidRPr="0031728F" w:rsidP="00B50DE9">
      <w:pPr>
        <w:numPr>
          <w:numId w:val="12"/>
        </w:num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pozemné komunikácie zaradené do transeurópskej cestnej siete v zmysle Nariadenia Európskeho parlamentu a Rady (EÚ) č. 1315/2013 o hlavných smeroch Únie pre rozvoj transeurópskej dopravnej siete a o zrušení rozhodnutí č. 661/2010/EÚ v platnom znení, </w:t>
      </w:r>
    </w:p>
    <w:p w:rsidR="00B50DE9" w:rsidRPr="0031728F" w:rsidP="00B50DE9">
      <w:pPr>
        <w:numPr>
          <w:numId w:val="12"/>
        </w:num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diaľnice</w:t>
      </w:r>
    </w:p>
    <w:p w:rsidR="00B50DE9" w:rsidRPr="0031728F" w:rsidP="00B50DE9">
      <w:pPr>
        <w:numPr>
          <w:numId w:val="12"/>
        </w:num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hlavné cestné ťahy s medzinárodným a celoštátnym dopravným významom, ktoré predstavujú diaľkové trasy a trasy ciest I. triedy súbežné s diaľnicami a úseky pozemných komunikácií, ktoré vzájomne prepájajú dopravné centrá vyššej úrovne, určené Ministerstvom v zmysle Koncepcie cestnej siete. </w:t>
      </w:r>
    </w:p>
    <w:p w:rsidR="00B50DE9" w:rsidRPr="0031728F" w:rsidP="00B50DE9">
      <w:pPr>
        <w:bidi w:val="0"/>
        <w:spacing w:after="0" w:line="240" w:lineRule="auto"/>
        <w:ind w:left="720"/>
        <w:jc w:val="both"/>
        <w:rPr>
          <w:rFonts w:ascii="Times New Roman" w:hAnsi="Times New Roman"/>
          <w:color w:val="000000" w:themeColor="tx1" w:themeShade="FF"/>
          <w:kern w:val="36"/>
          <w:sz w:val="24"/>
          <w:szCs w:val="24"/>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lang w:eastAsia="sk-SK"/>
        </w:rPr>
      </w:pP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Vyššie uvedená regulácia sa nebude týkať miestnych a účelových ciest.</w:t>
      </w:r>
      <w:r w:rsidRPr="0031728F">
        <w:rPr>
          <w:rFonts w:ascii="Times New Roman" w:hAnsi="Times New Roman"/>
          <w:color w:val="000000" w:themeColor="tx1" w:themeShade="FF"/>
          <w:sz w:val="24"/>
          <w:szCs w:val="24"/>
        </w:rPr>
        <w:t xml:space="preserve"> </w:t>
      </w:r>
      <w:r w:rsidRPr="0031728F">
        <w:rPr>
          <w:rFonts w:ascii="Times New Roman" w:hAnsi="Times New Roman"/>
          <w:color w:val="000000" w:themeColor="tx1" w:themeShade="FF"/>
          <w:kern w:val="36"/>
          <w:sz w:val="24"/>
          <w:szCs w:val="24"/>
          <w:lang w:eastAsia="sk-SK"/>
        </w:rPr>
        <w:t>V zmysle transponovanej smernice sa zákon neuplatní ani na úseky, ktoré nie sú svojim účelom určené na bežnú premávku motorových vozidiel (napríklad cyklistické cestičky, chodníky).</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bodom 4 a 5</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Novelou smernice sa ukladá členským štátom Európskej Únie (čl. 1 ods. 4 smernice) povinnosť oznámiť Komisii zoznam diaľnic a hlavných cestných ťahov, na ktoré sa uplatňuje tento zákon, a zoznam úsekov, ktoré sú vyňaté z rozsahu pôsobnosti stanoveného smernicou (čl. 1 bod 2 smernice). Ministerstvo vhodným spôsobom sprístupní zoznam pre všetkých dotknutých správcov pozemných komunikácií. Následne ministerstvo oznámi Komisii každú zmenu v zozname. </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bodom 6 a 7</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Dochádza k spresneniu pojmológie  v súvislosti s posudzovaní bezpečnosti pozemných komunikácií. </w:t>
      </w:r>
      <w:r w:rsidRPr="0031728F">
        <w:rPr>
          <w:rFonts w:ascii="Times New Roman" w:hAnsi="Times New Roman"/>
          <w:color w:val="000000" w:themeColor="tx1" w:themeShade="FF"/>
          <w:sz w:val="24"/>
          <w:szCs w:val="24"/>
          <w:lang w:eastAsia="sk-SK"/>
        </w:rPr>
        <w:t xml:space="preserve">Obdobné technické špecifikácie predstavujú súbor </w:t>
      </w:r>
      <w:r w:rsidRPr="0031728F">
        <w:rPr>
          <w:rFonts w:ascii="Times New Roman" w:hAnsi="Times New Roman"/>
          <w:color w:val="000000" w:themeColor="tx1" w:themeShade="FF"/>
          <w:sz w:val="24"/>
          <w:szCs w:val="24"/>
        </w:rPr>
        <w:t>overených expertných poznatkov vedy, techniky a praxe, ktorých cieľom je priniesť optimálne a racionálne riešenia najmä z hľadiska kvality, životnosti a bezpečnosti pozemných komunikácií.</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8</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Novela smernice ukladá členským štátom Európskej Únie (čl. 5 smernice) povinnosť vykonať bezpečnostné posúdenie cestnej siete ako celku pre všetky vymedzené úseky pozemnej komunikácie v užívaní (čl. 1 ods. 3 smernice). Povinnosť vykonania prvého posúdenia cestnej siete je smernicou ustanovená najneskôr do roku 2024. Na túto povinnosť reflektuje zákon v § 4, v ktorom ustanovuje rozsah povinnosti klasifikácie bezpečnosti cestnej siete a kontrolu bezpečnosti cesty (ďalej aj ako „inšpekcia“) pre úseky pozemných komunikácií uvedené v  § 1 ods. 2 tohto návrhu zákona. Súčasťou ustanovenia § 4 je vymedzenie doby splnenia tejto povinnosti pre správcov pozemných komunikácií, vrátane definovania 5-ročnej periodicity pre vykonanie inšpekcie. Prvý termín vykonania inšpekcie je pre správcov pozemných komunikácií u</w:t>
      </w:r>
      <w:r w:rsidRPr="0031728F" w:rsidR="00152C98">
        <w:rPr>
          <w:rFonts w:ascii="Times New Roman" w:hAnsi="Times New Roman"/>
          <w:color w:val="000000" w:themeColor="tx1" w:themeShade="FF"/>
          <w:kern w:val="36"/>
          <w:sz w:val="24"/>
          <w:szCs w:val="24"/>
          <w:lang w:eastAsia="sk-SK"/>
        </w:rPr>
        <w:t>stanovený do 31. decembra 2023.</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V § 4 zákon definuje osobu oprávnenú vykonávať bezpečnostné posúdenie cestnej siete, ktorou je bezpečnostný audítor a rovnako definuje v ods. 2 klasifikáciu bezpečnosti cestnej siete, ktorá musí byť súčasťou bezpečnostného posúdenia, a na základe ktorej bude spracovaná výsledná správa audítora o vykonanej inšpekcii. Audítor v správe zapracuje vykonané posúdenie a do obsahu správy zahrnie taktiež hodnotenie posudzovaného úseku pozemnej komunikácie podľa zistenej úrovne bezpečnosti (napr. úseky s nízkou, strednou alebo vysokou úrovňou bezpečnosti). Úseky budú následne klasifikované ako úseky s vysokou, strednou a nízkou úrovňou bezpečnosti. Audítor správu spracuje na základe prehliadky skutočného stavu pozemnej komunikácie vykonanej na mieste a na základe informácií od správcu pozemnej komunikácie o úsekoch pozemných komunikácií, ktoré sú v užívaní dlhšie ako 3 roky, a na ktorých došlo v pomere k intenzite užívania týchto komunikácií k vysokému počtu dopravných nehôd, ktoré mali za následok usmrten</w:t>
      </w:r>
      <w:r w:rsidRPr="0031728F" w:rsidR="00152C98">
        <w:rPr>
          <w:rFonts w:ascii="Times New Roman" w:hAnsi="Times New Roman"/>
          <w:color w:val="000000" w:themeColor="tx1" w:themeShade="FF"/>
          <w:kern w:val="36"/>
          <w:sz w:val="24"/>
          <w:szCs w:val="24"/>
          <w:lang w:eastAsia="sk-SK"/>
        </w:rPr>
        <w:t xml:space="preserve">ie alebo ťažkú ujmu na zdraví. </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Za účelom splnenia povinnosti kontroly bezpečnosti cestnej premávky a zabezpečenia primeranej úrovne bezpečnosti v zmysle článku 6 ods. 3 smernice, sa podľa § 4 ods. 3 vykoná kontrola a zhodnotenie bezpečnosti cestnej premávky na </w:t>
      </w:r>
      <w:r w:rsidRPr="0031728F">
        <w:rPr>
          <w:rFonts w:ascii="Times New Roman" w:hAnsi="Times New Roman"/>
          <w:color w:val="000000" w:themeColor="tx1" w:themeShade="FF"/>
          <w:sz w:val="24"/>
          <w:szCs w:val="24"/>
        </w:rPr>
        <w:t>priľahlých úsekoch cestného tunela, spolu s inšpekciou podľa osobitného predpisu (</w:t>
      </w:r>
      <w:r w:rsidRPr="0031728F">
        <w:rPr>
          <w:rFonts w:ascii="Times New Roman" w:hAnsi="Times New Roman"/>
          <w:color w:val="000000" w:themeColor="tx1" w:themeShade="FF"/>
          <w:kern w:val="36"/>
          <w:sz w:val="24"/>
          <w:szCs w:val="24"/>
          <w:lang w:eastAsia="sk-SK"/>
        </w:rPr>
        <w:t>Nariadenie vlády Slovenskej republiky č. 344/2006 Z. z. o minimálnych bezpečnostných požiadavkách na tunely v cestnej sieti (ďalej aj „nariadenie“). Periodicita kontroly a hodnotenia predmetných úsekov sa uskutoční v zmysle smernice každých 6 rokov. Posúdenie podľa tohto zákona sa nevzťahuje na samotný cestný tunel, ktorého bezpečnostné požiadavky a podmienky posúdenia sa spravujú nariadením. Správca pozemnej komunikácie alebo bezpečnostný audítor bude koordinovať výkon posúdenia bezpečnosti cestnej premávky na týchto úsekoch so subjektami zapojenými do kontroly cestných tunelov v zmysle implementovanej Smernice Európskeho parlamentu a Rady 2004/54/ES z 29. apríla 2004 o minimálnych bezpečnostných požiadavkách na tunely v transeurópskej cestnej sieti a nariadenia. Postup bezpečnostného audítora a obsahové náležitosti inšpekcie a hodnotenia priľahlých úsekov cestného tune</w:t>
      </w:r>
      <w:r w:rsidRPr="0031728F" w:rsidR="00152C98">
        <w:rPr>
          <w:rFonts w:ascii="Times New Roman" w:hAnsi="Times New Roman"/>
          <w:color w:val="000000" w:themeColor="tx1" w:themeShade="FF"/>
          <w:kern w:val="36"/>
          <w:sz w:val="24"/>
          <w:szCs w:val="24"/>
          <w:lang w:eastAsia="sk-SK"/>
        </w:rPr>
        <w:t>la ustanoví vykonávací predpis.</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Súčasťou povinnosti správcu pozemnej komunikácie je podľa § 4 ods. 5 novozavedená povinnosť predkladať ministerstvu výslednú správu o vykonanej inšpekcii v danom kalendárnom roku za každý z hodnotených úsekov. Na základe doručených správ bude ministerstvo pravidelne, každých 5 rokov, predkladať Komisii súhrnnú správu o klasifikácii celej siete. Na základe súhrnných správ od členských štátov únie vypracuje Komisia správu o vykonaní smernice, ktorú bude rovnako aktualizovať v intervaloch každých</w:t>
      </w:r>
      <w:r w:rsidRPr="0031728F" w:rsidR="00152C98">
        <w:rPr>
          <w:rFonts w:ascii="Times New Roman" w:hAnsi="Times New Roman"/>
          <w:color w:val="000000" w:themeColor="tx1" w:themeShade="FF"/>
          <w:kern w:val="36"/>
          <w:sz w:val="24"/>
          <w:szCs w:val="24"/>
          <w:lang w:eastAsia="sk-SK"/>
        </w:rPr>
        <w:t xml:space="preserve"> 5 rokov, počnúc októbrom 2027.</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V odseku 6 zákon ponechal povinnosť správcom pozemných komunikácií vykonať nápravné opatrenia, ktoré sú uvedené vo výslednej správe audítora o vykonanej inšpekcii. Predmetné ustanovenie berie ohľad na faktory ovplyvňujúce vykonanie nápravných opatrení, a to najmä ďalšie činnosti správcov pozemných komunikácií, ktorými je najmä riadna správa a údržba im zverených úsekov pozemných komunikácii ako aj technické možnosti a ekonomickú únosnosť realizácie opatrení. Návrhom zákona bol odsek 7 doplnený o lehotu 2 rokov, v ktorej má správca pozemnej komunikácie nápravné opatrenia vykonať. V odôvodnených prípadoch môže správca pozemnej komunikácie požiadať ministerstvo o predĺženie lehoty na realizáciu nápravných opatrení. Odôvodneným prípadom môže byť najmä prioritizácia nápravných opatrení v zmysle Akčného plánu nápravných opatrení, ktorý vydá ministerstvo na základe posúdenia celej cestnej siete. Ministerstvo môže predĺžiť lehotu na vykonanie nápravných opatrení až o 2 roky, a to aj opakovane. Ministerstvo nie je povinné žiadosti správcu pozemnej komunikácie vyhovieť. Z hľadiska procesnej stránky sa režim predkladania žiadosti správcu pozemnej komunikácie o predĺženie lehoty na vykonanie nápravných opatrení nespravuje všeobecným predpisom o správnom konaní (zákon č. 71/1967 Zb. o správnom konaní (správny poriadok) a voči zamietavému stanovisku ministerstva nie sú prípustné žiadne opravné prostriedky.</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V odseku 8 sa ustanovuje povinnosť správcu pozemnej komunikácie predkladať ministerstvu každoročne správu o nápravných opatreniach vykonaných v predchádzajúcom roku. </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9</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Regulácia Európskej Únie ukladá členským štátom novú povinnosť cielenej kontroly bezpečnosti ciest alebo priamych nápravných opatrení (čl. 6a smernice), v zmysle ktorej má po klasifikácii bezpečnosti cestnej siete a jej jednotlivých úsekov upravenej v § 4 zákona, nasledovať cielená kontrola týchto úsekov alebo priamo výkon nápravných opatrení v zmysle zistených nedostatkov a na</w:t>
      </w:r>
      <w:r w:rsidRPr="0031728F" w:rsidR="00152C98">
        <w:rPr>
          <w:rFonts w:ascii="Times New Roman" w:hAnsi="Times New Roman"/>
          <w:color w:val="000000" w:themeColor="tx1" w:themeShade="FF"/>
          <w:kern w:val="36"/>
          <w:sz w:val="24"/>
          <w:szCs w:val="24"/>
          <w:lang w:eastAsia="sk-SK"/>
        </w:rPr>
        <w:t xml:space="preserve">vrhnutých nápravných opatrení. </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Predmetnú povinnosť reflektuje nové ustanovenie § 4a</w:t>
      </w:r>
      <w:r w:rsidRPr="0031728F">
        <w:rPr>
          <w:rFonts w:ascii="Times New Roman" w:hAnsi="Times New Roman"/>
          <w:i/>
          <w:iCs/>
          <w:color w:val="000000" w:themeColor="tx1" w:themeShade="FF"/>
          <w:kern w:val="36"/>
          <w:sz w:val="24"/>
          <w:szCs w:val="24"/>
          <w:lang w:eastAsia="sk-SK"/>
        </w:rPr>
        <w:t xml:space="preserve"> Cielené prehliadky, plánovanie a výkon nápravných opatrení</w:t>
      </w:r>
      <w:r w:rsidRPr="0031728F">
        <w:rPr>
          <w:rFonts w:ascii="Times New Roman" w:hAnsi="Times New Roman"/>
          <w:color w:val="000000" w:themeColor="tx1" w:themeShade="FF"/>
          <w:kern w:val="36"/>
          <w:sz w:val="24"/>
          <w:szCs w:val="24"/>
          <w:lang w:eastAsia="sk-SK"/>
        </w:rPr>
        <w:t xml:space="preserve">, ktorého obsahom je definovanie povinnosti označenej ako „cielená prehliadka“. Zabezpečenie cielenej prehliadky je povinnosťou správcov pozemných komunikácií, pričom cielená prehliadka sa má vykonať po uplynutí obdobia na vykonanie nápravných opatrení. Na základe požiadaviek únie je cielenú prehliadku oprávnená vykonávať skupina expertov, z ktorých aspoň jeden musí byť audítorom bezpečnosti pozemnej komunikácie a spĺňať podmienky podľa tohto zákona. Cielená prehliadka sa vykoná ohliadkou na mieste a zameriava sa na posúdenie najmä stavebných, technických a prevádzkových vlastností pozemnej komunikácie a jej bezpečnosti. Cieľom cielenej prehliadky je identifikácia nebezpečných podmienok, vád a problémov, ktoré zvyšujú riziko nehôd a zranení. Vykonanie cielenej prehliadky by malo poskytnúť komplexný a dostatočný podklad pre správnu identifikáciu nápravných opatrení. Výsledkom cielenej prehliadky môže byť aj záver skupiny expertov, že nápravné opatrenia na danom úseku pozemnej komunikácie nie sú potrebné, a to v závislosti od zistení a odôvodnených záverov skupiny expertov. Úseky pozemných komunikácií, ktoré budú na základe cielenej prehliadky vyhodnotené ako úseky s potrebou vykonania nápravných opatrení budú následne zaradené do zoznamu úsekov, ktoré vedie ministerstvo. Zoznam týchto úsekov s určením priorít vypracuje ministerstvo na základe prvého vykonania inšpekcie podľa § 4 a nadväzujúcej cielenej prehliadky podľa § 4a. </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Ustanovenie obsahuje základné požiadavky na vykonanie cielenej prehliadky a na spracovanie správy o výsledku cielenej prehliadky, ktorá predstavuje zavŕšenie procesu tak cielenej prehliadky ako aj celkového posúdenia a klasifikácie bezpečnosti vybraného úseku pozemnej komunikácie v užívaní. Správu o výsledku cielenej prehliadky spracuje audítor bezpečnosti pozemnej komunikácie, ktorý bol členom skupiny expertov.</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Obsah cielenej prehliadky a kritériá pre posudzovanie úsekov pozemných komunikácií budú ustanovené vykonávacím právnym predpisom (podľa § 4a ods. 4). Pri formulácii vykonávacieho právneho predpisu sa bude vychádzať z prílohy IIa transponovanej smernice.</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 xml:space="preserve"> </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10</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Novelou zákona sa mení pôvodné pomenovanie audítor bezpečnosti pozemnej komunikácie a ustanovuje sa pomenovanie bezpečnostný audítor. </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11</w:t>
      </w:r>
    </w:p>
    <w:p w:rsidR="00B50DE9" w:rsidRPr="0031728F" w:rsidP="00B50DE9">
      <w:pPr>
        <w:bidi w:val="0"/>
        <w:spacing w:after="0" w:line="240" w:lineRule="auto"/>
        <w:jc w:val="both"/>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sz w:val="24"/>
          <w:szCs w:val="24"/>
        </w:rPr>
        <w:t>Legislatívno-technická úprava a rozšírenie zoznamu povinností podľa § 12 ods. 1 písm. c), ktoré sú v prípade ich nedodržania, t. j. nevykonania správcom pozemnej komunikácie, považované za správny delikt podľa tohto zákona. Rozšírenie sa týka povinnosti správcu pozemnej komunikácie podľa § 4 a § 4a.</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 xml:space="preserve"> </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bodom 12 a 13</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Legislatívno-technická úprava a rozšírenie zoznamu povinností podľa § 12 ods. 1 písm. d), ktoré sú v prípade ich nedodržania, t. j. nepredloženia správy zo strany správcu pozemnej komunikácie, považované za správny delikt podľa tohto zákona. Rozšírenie sa týka povinnosti správcu pozemnej komunikácie podľa § 4 ods. 5 predložiť správu o výsledku inšpekcie, podľa § 4 ods. 8 predložiť správu o nápravných opatreniach a povinnosť správcu pozemnej komunikácie podľa § 4a ods. 7 predložiť správu o nápravných opatreniach na základe výsledkov cielenej prehliadky. </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 xml:space="preserve"> </w:t>
      </w:r>
    </w:p>
    <w:p w:rsidR="00B50DE9" w:rsidRPr="0031728F" w:rsidP="00B50DE9">
      <w:pPr>
        <w:bidi w:val="0"/>
        <w:spacing w:after="0" w:line="240" w:lineRule="auto"/>
        <w:jc w:val="both"/>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14</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V súlade s požiadavkami smernice sa upravujú povinnosti ministerstva na úseku bezpečnosti pozemných komunikácií.</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15</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Upravuje sa splnomocňovacie ustanovenie a dopĺňa sa obsahové znenie vo vykonávacích predpisoch.</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16</w:t>
      </w:r>
    </w:p>
    <w:p w:rsidR="00B50DE9" w:rsidRPr="0031728F" w:rsidP="00B50DE9">
      <w:pPr>
        <w:bidi w:val="0"/>
        <w:spacing w:after="0" w:line="240" w:lineRule="auto"/>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 xml:space="preserve">Legislatívno-technická úprava v súlade s Legislatívnymi pravidlami vlády. </w:t>
      </w: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p>
    <w:p w:rsidR="00B50DE9" w:rsidRPr="0031728F" w:rsidP="00B50DE9">
      <w:pPr>
        <w:bidi w:val="0"/>
        <w:spacing w:after="0" w:line="240" w:lineRule="auto"/>
        <w:rPr>
          <w:rFonts w:ascii="Times New Roman" w:hAnsi="Times New Roman"/>
          <w:color w:val="000000" w:themeColor="tx1" w:themeShade="FF"/>
          <w:kern w:val="36"/>
          <w:sz w:val="24"/>
          <w:szCs w:val="24"/>
          <w:u w:val="single"/>
          <w:lang w:eastAsia="sk-SK"/>
        </w:rPr>
      </w:pPr>
      <w:r w:rsidRPr="0031728F">
        <w:rPr>
          <w:rFonts w:ascii="Times New Roman" w:hAnsi="Times New Roman"/>
          <w:color w:val="000000" w:themeColor="tx1" w:themeShade="FF"/>
          <w:kern w:val="36"/>
          <w:sz w:val="24"/>
          <w:szCs w:val="24"/>
          <w:u w:val="single"/>
          <w:lang w:eastAsia="sk-SK"/>
        </w:rPr>
        <w:t>K čl. I bodu 17</w:t>
      </w:r>
    </w:p>
    <w:p w:rsidR="00B50DE9" w:rsidRPr="0031728F" w:rsidP="00B50DE9">
      <w:pPr>
        <w:bidi w:val="0"/>
        <w:spacing w:after="0" w:line="240" w:lineRule="auto"/>
        <w:jc w:val="both"/>
        <w:rPr>
          <w:rFonts w:ascii="Times New Roman" w:hAnsi="Times New Roman"/>
          <w:color w:val="000000" w:themeColor="tx1" w:themeShade="FF"/>
          <w:kern w:val="36"/>
          <w:sz w:val="24"/>
          <w:szCs w:val="24"/>
          <w:lang w:eastAsia="sk-SK"/>
        </w:rPr>
      </w:pPr>
      <w:r w:rsidRPr="0031728F">
        <w:rPr>
          <w:rFonts w:ascii="Times New Roman" w:hAnsi="Times New Roman"/>
          <w:color w:val="000000" w:themeColor="tx1" w:themeShade="FF"/>
          <w:kern w:val="36"/>
          <w:sz w:val="24"/>
          <w:szCs w:val="24"/>
          <w:lang w:eastAsia="sk-SK"/>
        </w:rPr>
        <w:t>Ustanovujú sa prechodné ustanovenia k úpravám účinným od 1. apríla 2022. Súčasťou prechodných ustanovení je prvý termín vykonania inšpekcie, prvý termín predloženia záverečnej správy o klasifikácii cestnej siete Komisii, termín oznamovacej povinnosti ministerstva podľa § 1 ods. 3 písm. a), prvý termín predloženia správy o vykonanej inšpekcii  podľa § 4 ods. 5 a začiatok vykonávania povinnosti podľa § 4a počnúc kalendárnym rokom 2024.</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p>
    <w:p w:rsidR="00B50DE9" w:rsidRPr="0031728F" w:rsidP="00B50DE9">
      <w:pPr>
        <w:bidi w:val="0"/>
        <w:spacing w:after="0" w:line="240" w:lineRule="auto"/>
        <w:rPr>
          <w:rFonts w:ascii="Times New Roman" w:hAnsi="Times New Roman"/>
          <w:color w:val="000000" w:themeColor="tx1" w:themeShade="FF"/>
          <w:sz w:val="24"/>
          <w:szCs w:val="24"/>
          <w:u w:val="single"/>
        </w:rPr>
      </w:pPr>
      <w:r w:rsidRPr="0031728F">
        <w:rPr>
          <w:rFonts w:ascii="Times New Roman" w:hAnsi="Times New Roman"/>
          <w:color w:val="000000" w:themeColor="tx1" w:themeShade="FF"/>
          <w:sz w:val="24"/>
          <w:szCs w:val="24"/>
          <w:u w:val="single"/>
        </w:rPr>
        <w:t>K čl. I bodu 18</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r w:rsidRPr="0031728F">
        <w:rPr>
          <w:rFonts w:ascii="Times New Roman" w:hAnsi="Times New Roman"/>
          <w:color w:val="000000" w:themeColor="tx1" w:themeShade="FF"/>
          <w:sz w:val="24"/>
          <w:szCs w:val="24"/>
        </w:rPr>
        <w:t>Ustanovením sa dopĺňa transpozičná príloha.</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r w:rsidR="0031728F">
        <w:rPr>
          <w:rFonts w:ascii="Times New Roman" w:hAnsi="Times New Roman"/>
          <w:b/>
          <w:bCs/>
          <w:color w:val="000000" w:themeColor="tx1" w:themeShade="FF"/>
          <w:kern w:val="36"/>
          <w:sz w:val="24"/>
          <w:szCs w:val="24"/>
          <w:lang w:eastAsia="sk-SK"/>
        </w:rPr>
        <w:t>K čl. II</w:t>
      </w:r>
    </w:p>
    <w:p w:rsidR="00B50DE9" w:rsidRPr="0031728F" w:rsidP="00B50DE9">
      <w:pPr>
        <w:bidi w:val="0"/>
        <w:spacing w:after="0" w:line="240" w:lineRule="auto"/>
        <w:rPr>
          <w:rFonts w:ascii="Times New Roman" w:hAnsi="Times New Roman"/>
          <w:b/>
          <w:color w:val="000000" w:themeColor="tx1" w:themeShade="FF"/>
          <w:sz w:val="24"/>
          <w:szCs w:val="24"/>
        </w:rPr>
      </w:pPr>
      <w:r w:rsidRPr="0031728F">
        <w:rPr>
          <w:rFonts w:ascii="Times New Roman" w:hAnsi="Times New Roman"/>
          <w:color w:val="000000" w:themeColor="tx1" w:themeShade="FF"/>
          <w:sz w:val="24"/>
          <w:szCs w:val="24"/>
          <w:u w:val="single"/>
        </w:rPr>
        <w:t>K čl. II bodom 1, 2, 4 až 7</w:t>
      </w:r>
    </w:p>
    <w:p w:rsidR="00B50DE9" w:rsidRPr="0031728F" w:rsidP="00B50DE9">
      <w:pPr>
        <w:bidi w:val="0"/>
        <w:spacing w:after="0" w:line="240" w:lineRule="auto"/>
        <w:jc w:val="both"/>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rPr>
        <w:t xml:space="preserve">V súlade s poznatkami aplikačnej praxe a princípmi správneho trestania sa pristupuje k zmene úpravy systému sankčného mechanizmu na úseku nadmernej a nadrozmernej dopravy tak, že výber dodatočne zvýšených správnych poplatkov za nesplnenie povinnosti disponovať povolením na zvláštne užívanie pozemných komunikácií v prípade, ak má dôjsť </w:t>
        <w:br/>
        <w:t xml:space="preserve">k prekročeniu povolených hmotnostných a rozmerových limitov podľa vyhlášky č. 134/2018 Z. z., ktorou sa ustanovujú podrobnosti o prevádzke vozidiel v cestnej premávke v znení neskorších predpisov (ďalej len „vyhláška č. 134/2018 Z. z.“), sa nahrádza sankciou v podobe udelenia pokuty, pričom nesplnenie uvedenej povinnosti sa považuje za správny delikt. Výška pokút za predmetný správny delikt je odstupňovaná podľa závažnosti, resp. intenzity správneho deliktu, t. j. miery nepovoleného prekročenia hmotnosti (resp. rozmerov) vozidla alebo jazdnej súpravy, pričom vo výške pokuty je zohľadnená aj miera neželaného stupňa degradácie vozovky. Treba uviesť, že ochrana stavu cestnej infraštruktúry je hlavným účelom sankcionovania a je zároveň objektom tohto správneho deliktu. Navrhovaná výška pokút zodpovedá súčasnej hladine nastavenia výberu dodatočných správnych poplatkov za nepovolené dopravy z hľadiska ich výšky, čiže pre dopravcov sa prechodom na systém výberu pokút sankcionovanie nepovolenej dopravy zásadným spôsobom nemení. Zároveň sa, s cieľom predísť pochybnostiam, ustanovuje, že povolenie na zvláštne užívanie je povinný vybaviť prevádzkovateľ vozidla, ktorým je </w:t>
      </w:r>
      <w:r w:rsidRPr="0031728F">
        <w:rPr>
          <w:rFonts w:ascii="Times New Roman" w:hAnsi="Times New Roman"/>
          <w:color w:val="000000" w:themeColor="tx1" w:themeShade="FF"/>
          <w:sz w:val="24"/>
          <w:szCs w:val="24"/>
          <w:lang w:eastAsia="sk-SK"/>
        </w:rPr>
        <w:t>prevádzkovateľ vozidla alebo prevádzkovateľ jazdnej súpravy, ktorý je zapísaný v osvedčení o evidencii motorového vozidla časť I a časť II ako držiteľ osvedčenia alebo takáto osoba zapísaná v osvedčení o evidencii motorového vozidla vydanom v cudzine a zároveň sa ustanovuje, že vodič vozidla je pri vykonávaní nadmernej dopravy a nadrozmernej dopravy povinný preukázať sa orgánu Policajného zboru pri kontrole povolením na zvláštne užívanie podľa § 8 zákona č. 135/1961 Zb. o pozemných komunikáciách v znení neskorších predpisov (ďalej len „cestný zákon“).</w:t>
      </w:r>
    </w:p>
    <w:p w:rsidR="00B50DE9" w:rsidRPr="0031728F" w:rsidP="00B50DE9">
      <w:pPr>
        <w:bidi w:val="0"/>
        <w:spacing w:after="0" w:line="240" w:lineRule="auto"/>
        <w:ind w:firstLine="360"/>
        <w:jc w:val="both"/>
        <w:rPr>
          <w:rFonts w:ascii="Times New Roman" w:hAnsi="Times New Roman"/>
          <w:color w:val="000000" w:themeColor="tx1" w:themeShade="FF"/>
          <w:sz w:val="24"/>
          <w:szCs w:val="24"/>
          <w:lang w:eastAsia="sk-SK"/>
        </w:rPr>
      </w:pPr>
    </w:p>
    <w:p w:rsidR="00B50DE9" w:rsidRPr="0031728F" w:rsidP="00B50DE9">
      <w:pPr>
        <w:bidi w:val="0"/>
        <w:spacing w:after="0" w:line="240" w:lineRule="auto"/>
        <w:jc w:val="both"/>
        <w:rPr>
          <w:rFonts w:ascii="Times New Roman" w:hAnsi="Times New Roman"/>
          <w:color w:val="000000" w:themeColor="tx1" w:themeShade="FF"/>
          <w:sz w:val="24"/>
          <w:szCs w:val="24"/>
          <w:u w:val="single"/>
          <w:lang w:eastAsia="sk-SK"/>
        </w:rPr>
      </w:pPr>
      <w:r w:rsidRPr="0031728F">
        <w:rPr>
          <w:rFonts w:ascii="Times New Roman" w:hAnsi="Times New Roman"/>
          <w:color w:val="000000" w:themeColor="tx1" w:themeShade="FF"/>
          <w:sz w:val="24"/>
          <w:szCs w:val="24"/>
          <w:u w:val="single"/>
          <w:lang w:eastAsia="sk-SK"/>
        </w:rPr>
        <w:t>K čl. II bodu 3</w:t>
      </w:r>
    </w:p>
    <w:p w:rsidR="00B50DE9" w:rsidRPr="0031728F" w:rsidP="00B50DE9">
      <w:pPr>
        <w:bidi w:val="0"/>
        <w:spacing w:after="0" w:line="240" w:lineRule="auto"/>
        <w:jc w:val="both"/>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 xml:space="preserve">Organizovanie športových podujatí na diaľniciach je v rozpore s funkciou, ktorú diaľnice plnia v rámci cestného dopravného systému v SR, keďže majú celoštátny význam a slúžia ako koridory v rámci </w:t>
      </w:r>
      <w:r w:rsidRPr="0031728F">
        <w:rPr>
          <w:rFonts w:ascii="Times New Roman" w:hAnsi="Times New Roman"/>
          <w:color w:val="000000" w:themeColor="tx1" w:themeShade="FF"/>
          <w:sz w:val="24"/>
          <w:szCs w:val="24"/>
        </w:rPr>
        <w:t>transeurópskej dopravnej siete</w:t>
      </w:r>
      <w:r w:rsidRPr="0031728F">
        <w:rPr>
          <w:rFonts w:ascii="Times New Roman" w:hAnsi="Times New Roman"/>
          <w:color w:val="000000" w:themeColor="tx1" w:themeShade="FF"/>
          <w:sz w:val="24"/>
          <w:szCs w:val="24"/>
          <w:lang w:eastAsia="sk-SK"/>
        </w:rPr>
        <w:t xml:space="preserve"> a plnia nezastupiteľnú funkciu pre medzinárodný tranzit. Organizovanie športových podujatí na diaľniciach vytvára potrebu presmerovania osobnej, a tiež nákladnej dopravy na pozemné komunikácie nižšej kategórie (predovšetkým na cesty I. triedy a II. triedy), ktoré však nie sú vždy stavebnotechnicky a kapacitne spôsobilé na užívanie ťažkej nákladnej dopravy a prijatie intenzít dopravy, ktoré sú bežné na diaľniciach. Navyše užívanie diaľnic podlieha spoplatneniu podľa zákona č. 488/2013 Z. z. o diaľničnej známke a o zmene niektorých zákonov v znení neskorších predpisov (ďalej len „zákon č. 488/2013 Z. z.“) a je vo verejnom záujme, aby motoristi mali diaľničnú infraštruktúru k dispozícii podľa možností bez obmedzení (okrem správy a údržby a diaľnic).</w:t>
      </w:r>
    </w:p>
    <w:p w:rsidR="00B50DE9" w:rsidRPr="0031728F" w:rsidP="00B50DE9">
      <w:pPr>
        <w:bidi w:val="0"/>
        <w:spacing w:after="0" w:line="240" w:lineRule="auto"/>
        <w:ind w:firstLine="360"/>
        <w:jc w:val="both"/>
        <w:rPr>
          <w:rFonts w:ascii="Times New Roman" w:hAnsi="Times New Roman"/>
          <w:color w:val="000000" w:themeColor="tx1" w:themeShade="FF"/>
          <w:sz w:val="24"/>
          <w:szCs w:val="24"/>
          <w:lang w:eastAsia="sk-SK"/>
        </w:rPr>
      </w:pPr>
    </w:p>
    <w:p w:rsidR="00B50DE9" w:rsidRPr="0031728F" w:rsidP="00B50DE9">
      <w:pPr>
        <w:bidi w:val="0"/>
        <w:spacing w:after="0" w:line="240" w:lineRule="auto"/>
        <w:jc w:val="both"/>
        <w:rPr>
          <w:rStyle w:val="PlaceholderText"/>
          <w:rFonts w:ascii="Times New Roman" w:hAnsi="Times New Roman"/>
          <w:b/>
          <w:color w:val="000000" w:themeColor="tx1" w:themeShade="FF"/>
          <w:sz w:val="24"/>
          <w:szCs w:val="24"/>
        </w:rPr>
      </w:pPr>
      <w:r w:rsidRPr="0031728F">
        <w:rPr>
          <w:rFonts w:ascii="Times New Roman" w:hAnsi="Times New Roman"/>
          <w:color w:val="000000" w:themeColor="tx1" w:themeShade="FF"/>
          <w:sz w:val="24"/>
          <w:szCs w:val="24"/>
          <w:u w:val="single"/>
        </w:rPr>
        <w:t>K čl. II bodu 8</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Style w:val="PlaceholderText"/>
          <w:rFonts w:ascii="Times New Roman" w:hAnsi="Times New Roman"/>
          <w:color w:val="000000" w:themeColor="tx1" w:themeShade="FF"/>
          <w:sz w:val="24"/>
          <w:szCs w:val="24"/>
        </w:rPr>
        <w:t>Ustanovením sa dopĺňa textové znenie a odkaz na osobitný zákon č. 249/2011 Z. z., ktorý je novelizovaný v článku I . Doplnením odkazu dochádza k prepojeniu oboch zákonov a </w:t>
        <w:br/>
        <w:t xml:space="preserve">k transponovaniu príslušného ustanovenia smernice, pričom sa tým zabezpečí jednoznačnosť </w:t>
        <w:br/>
        <w:t>pri výkone  novoustanovených povinností podľa § 4 a § 4a zákona č. 249/2011 Z. z. správcami pozemných komunikácií.</w:t>
      </w:r>
    </w:p>
    <w:p w:rsidR="00B50DE9" w:rsidRPr="0031728F" w:rsidP="00B50DE9">
      <w:pPr>
        <w:bidi w:val="0"/>
        <w:spacing w:after="0" w:line="240" w:lineRule="auto"/>
        <w:jc w:val="both"/>
        <w:rPr>
          <w:rStyle w:val="PlaceholderText"/>
          <w:rFonts w:ascii="Times New Roman" w:hAnsi="Times New Roman"/>
          <w:color w:val="000000" w:themeColor="tx1" w:themeShade="FF"/>
          <w:sz w:val="24"/>
          <w:szCs w:val="24"/>
        </w:rPr>
      </w:pPr>
    </w:p>
    <w:p w:rsidR="00B50DE9" w:rsidRPr="0031728F" w:rsidP="00B50DE9">
      <w:pPr>
        <w:bidi w:val="0"/>
        <w:spacing w:after="0" w:line="240" w:lineRule="auto"/>
        <w:jc w:val="both"/>
        <w:rPr>
          <w:rFonts w:ascii="Times New Roman" w:hAnsi="Times New Roman"/>
          <w:color w:val="000000" w:themeColor="tx1" w:themeShade="FF"/>
          <w:sz w:val="24"/>
          <w:szCs w:val="24"/>
          <w:u w:val="single"/>
        </w:rPr>
      </w:pPr>
      <w:r w:rsidRPr="0031728F">
        <w:rPr>
          <w:rFonts w:ascii="Times New Roman" w:hAnsi="Times New Roman"/>
          <w:color w:val="000000" w:themeColor="tx1" w:themeShade="FF"/>
          <w:sz w:val="24"/>
          <w:szCs w:val="24"/>
          <w:u w:val="single"/>
        </w:rPr>
        <w:t>K čl. II bodom 9 a 10</w:t>
      </w:r>
    </w:p>
    <w:p w:rsidR="00B50DE9" w:rsidRPr="0031728F" w:rsidP="00B50DE9">
      <w:pPr>
        <w:bidi w:val="0"/>
        <w:spacing w:after="0" w:line="240" w:lineRule="auto"/>
        <w:jc w:val="both"/>
        <w:rPr>
          <w:rStyle w:val="PlaceholderText"/>
          <w:rFonts w:ascii="Times New Roman" w:hAnsi="Times New Roman"/>
          <w:color w:val="000000" w:themeColor="tx1" w:themeShade="FF"/>
          <w:spacing w:val="-2"/>
          <w:sz w:val="24"/>
          <w:szCs w:val="24"/>
        </w:rPr>
      </w:pPr>
      <w:r w:rsidRPr="0031728F">
        <w:rPr>
          <w:rStyle w:val="PlaceholderText"/>
          <w:rFonts w:ascii="Times New Roman" w:hAnsi="Times New Roman"/>
          <w:color w:val="000000" w:themeColor="tx1" w:themeShade="FF"/>
          <w:spacing w:val="-2"/>
          <w:sz w:val="24"/>
          <w:szCs w:val="24"/>
        </w:rPr>
        <w:t>V súvislosti so zavedením vysokorýchlostnej dynamickej kontroly vozidie</w:t>
      </w:r>
      <w:r w:rsidR="0031728F">
        <w:rPr>
          <w:rStyle w:val="PlaceholderText"/>
          <w:rFonts w:ascii="Times New Roman" w:hAnsi="Times New Roman"/>
          <w:color w:val="000000" w:themeColor="tx1" w:themeShade="FF"/>
          <w:spacing w:val="-2"/>
          <w:sz w:val="24"/>
          <w:szCs w:val="24"/>
        </w:rPr>
        <w:t xml:space="preserve">l a jazdných súprav </w:t>
        <w:br/>
        <w:t xml:space="preserve">v </w:t>
      </w:r>
      <w:r w:rsidRPr="0031728F">
        <w:rPr>
          <w:rStyle w:val="PlaceholderText"/>
          <w:rFonts w:ascii="Times New Roman" w:hAnsi="Times New Roman"/>
          <w:color w:val="000000" w:themeColor="tx1" w:themeShade="FF"/>
          <w:spacing w:val="-2"/>
          <w:sz w:val="24"/>
          <w:szCs w:val="24"/>
        </w:rPr>
        <w:t xml:space="preserve">SR sa na účely sankcionovania porušenia povinnosti disponovať povolením </w:t>
        <w:br/>
        <w:t>na zvláštne užívanie pozemných komunikácií v prípade, ak ide o nadmernú alebo nadrozmernú dopravu podľa vyhlášky č. 134/2018 Z. z.</w:t>
      </w:r>
      <w:r w:rsidRPr="0031728F">
        <w:rPr>
          <w:rFonts w:ascii="Times New Roman" w:hAnsi="Times New Roman"/>
          <w:color w:val="000000" w:themeColor="tx1" w:themeShade="FF"/>
          <w:sz w:val="24"/>
          <w:szCs w:val="24"/>
        </w:rPr>
        <w:t xml:space="preserve">, sa zavádza inštitút objektívnej zodpovednosti. </w:t>
      </w:r>
      <w:r w:rsidRPr="0031728F">
        <w:rPr>
          <w:rStyle w:val="PlaceholderText"/>
          <w:rFonts w:ascii="Times New Roman" w:hAnsi="Times New Roman"/>
          <w:color w:val="000000" w:themeColor="tx1" w:themeShade="FF"/>
          <w:spacing w:val="-2"/>
          <w:sz w:val="24"/>
          <w:szCs w:val="24"/>
        </w:rPr>
        <w:t xml:space="preserve"> </w:t>
      </w:r>
    </w:p>
    <w:p w:rsidR="00B50DE9" w:rsidRPr="0031728F" w:rsidP="00B50DE9">
      <w:pPr>
        <w:bidi w:val="0"/>
        <w:spacing w:after="0" w:line="240" w:lineRule="auto"/>
        <w:jc w:val="both"/>
        <w:rPr>
          <w:rStyle w:val="PlaceholderText"/>
          <w:rFonts w:ascii="Times New Roman" w:hAnsi="Times New Roman"/>
          <w:color w:val="000000" w:themeColor="tx1" w:themeShade="FF"/>
          <w:sz w:val="24"/>
          <w:szCs w:val="24"/>
        </w:rPr>
      </w:pPr>
      <w:r w:rsidRPr="0031728F">
        <w:rPr>
          <w:rStyle w:val="PlaceholderText"/>
          <w:rFonts w:ascii="Times New Roman" w:hAnsi="Times New Roman"/>
          <w:color w:val="000000" w:themeColor="tx1" w:themeShade="FF"/>
          <w:spacing w:val="-2"/>
          <w:sz w:val="24"/>
          <w:szCs w:val="24"/>
        </w:rPr>
        <w:t xml:space="preserve">Hlavným účelom zavedenia objektívnej zodpovednosti prevádzkovateľa vozidla alebo jazdnej súpravy za spáchanie správneho deliktu je dodržiavanie povinnosti disponovať povolením </w:t>
        <w:br/>
        <w:t xml:space="preserve">na zvláštne užívanie pozemných komunikácií a tiež posilnenie </w:t>
      </w:r>
      <w:r w:rsidRPr="0031728F">
        <w:rPr>
          <w:rFonts w:ascii="Times New Roman" w:hAnsi="Times New Roman"/>
          <w:color w:val="000000" w:themeColor="tx1" w:themeShade="FF"/>
          <w:sz w:val="24"/>
          <w:szCs w:val="24"/>
        </w:rPr>
        <w:t xml:space="preserve">ochrany pozemných komunikácií pred negatívnymi (deštrukčnými) vplyvmi nadmerného zaťaženia vozidiel a jazdných súprav prostredníctvom náležitého trestania.  </w:t>
      </w:r>
    </w:p>
    <w:p w:rsidR="00B50DE9" w:rsidRPr="0031728F" w:rsidP="00B50DE9">
      <w:pPr>
        <w:bidi w:val="0"/>
        <w:spacing w:after="0" w:line="240" w:lineRule="auto"/>
        <w:jc w:val="both"/>
        <w:rPr>
          <w:rFonts w:ascii="Times New Roman" w:hAnsi="Times New Roman"/>
          <w:color w:val="000000" w:themeColor="tx1" w:themeShade="FF"/>
          <w:spacing w:val="-2"/>
          <w:sz w:val="24"/>
          <w:szCs w:val="24"/>
        </w:rPr>
      </w:pPr>
      <w:r w:rsidRPr="0031728F">
        <w:rPr>
          <w:rStyle w:val="PlaceholderText"/>
          <w:rFonts w:ascii="Times New Roman" w:hAnsi="Times New Roman"/>
          <w:color w:val="000000" w:themeColor="tx1" w:themeShade="FF"/>
          <w:spacing w:val="-2"/>
          <w:sz w:val="24"/>
          <w:szCs w:val="24"/>
        </w:rPr>
        <w:t xml:space="preserve">Ustanovuje sa pevná výška pokuty za spáchanie správneho deliktu, a to v závislosti </w:t>
        <w:br/>
        <w:t xml:space="preserve">od rozsahu prekročenia povolených hmotnostných a rozmerových limitov. Umožňuje sa </w:t>
      </w:r>
      <w:r w:rsidRPr="0031728F">
        <w:rPr>
          <w:rFonts w:ascii="Times New Roman" w:hAnsi="Times New Roman"/>
          <w:color w:val="000000" w:themeColor="tx1" w:themeShade="FF"/>
          <w:sz w:val="24"/>
          <w:szCs w:val="24"/>
        </w:rPr>
        <w:t xml:space="preserve">upustiť od zaplatenia časti pokuty v prípade, ak sa v lehote na podanie odporu uhradia 2/3 pokuty (pozitívna motivácia). </w:t>
      </w:r>
    </w:p>
    <w:p w:rsidR="00B50DE9" w:rsidRPr="0031728F" w:rsidP="00B50DE9">
      <w:pPr>
        <w:bidi w:val="0"/>
        <w:spacing w:after="0" w:line="240" w:lineRule="auto"/>
        <w:jc w:val="both"/>
        <w:rPr>
          <w:rStyle w:val="PlaceholderText"/>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Pokutu bude prevádzkovateľ vozidla alebo jazdnej súpravy povinný uhradiť </w:t>
        <w:br/>
        <w:t>na príslušný bankový účet; platba v hotovosti je vylúčená zo systémových dôvodov. Pokuty uložené za správne delikt</w:t>
      </w:r>
      <w:r w:rsidRPr="0031728F" w:rsidR="00152C98">
        <w:rPr>
          <w:rFonts w:ascii="Times New Roman" w:hAnsi="Times New Roman"/>
          <w:color w:val="000000" w:themeColor="tx1" w:themeShade="FF"/>
          <w:sz w:val="24"/>
          <w:szCs w:val="24"/>
        </w:rPr>
        <w:t>y sú príjmom štátneho rozpočtu.</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Niektoré protiprávne skutky z rôznych dôvodov, ako napr. znečistená, neexistujúca, nečitateľná tabuľka s evidenčným číslom alebo rozmazaný, nekvalitný záznam (snímok) a pod., bude okresný úrad v sídle kraja odkladať záznamom z dôvodu, že sa nepodarilo zistiť skutočnosti svedčiace o tom, že skutok spáchala konkrétna osoba – prevádzkovateľ vozidla.</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Odloženie veci z dôvodu zániku zodpovednosti za porušenie povinností prichádza </w:t>
        <w:br/>
        <w:t>do úvahy napr. pri úmrtí prevádzkovateľa vozidla alebo jazdnej súpravy (fyzická osoba) alebo jeho zániku (právnická osoba) alebo po uplynutí dvoch rokov od spáchania správneho deliktu.</w:t>
      </w:r>
    </w:p>
    <w:p w:rsidR="00B50DE9" w:rsidRPr="0031728F" w:rsidP="00152C98">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O odložení veci záznamom v spise nie je potrebné upovedomovať účastníka konania </w:t>
        <w:br/>
        <w:t xml:space="preserve">s poukazom na základnú zásadu všeobecného predpisu o správnom konaní (§ 3 ods. 3 správneho poriadku); ak nemá prevádzkovateľ vozidla alebo jazdnej súpravy vedomosť </w:t>
        <w:br/>
        <w:t>o možnom konaní voči nemu, z logického dôvodu nie je potreb</w:t>
      </w:r>
      <w:r w:rsidRPr="0031728F" w:rsidR="00152C98">
        <w:rPr>
          <w:rFonts w:ascii="Times New Roman" w:hAnsi="Times New Roman"/>
          <w:color w:val="000000" w:themeColor="tx1" w:themeShade="FF"/>
          <w:sz w:val="24"/>
          <w:szCs w:val="24"/>
        </w:rPr>
        <w:t>né mu oznamovať odloženie veci.</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Na zabezpečenie požiadavky vyplývajúcej z § 3 ods. 3 správneho poriadku vybaviť vec včas a bez zbytočných prieťahov, ako aj použiť najvhodnejšie prostriedky na dosiahnutie účelu, pričom sa má dbať na hospodárny priebeh konania, bez zbytočného zaťažovania osôb, sa navrhuje rozhodovať o správnom delikte zjednodušenou formou konania – aplikáciou inštitútu rozkazného konania, ktoré v súčasnej dobe upravuje zákon č. 8/2009 Z. z., zákon č. 474/213 Z. z. či zákon č. 488/2013 Z. z. Jeho nespornou výhodou je jeho rýchlosť a výrazná hospodárnosť; nevzniká tu potreba doručovania najprv upovedomenia o začatí konania s prípadným nariadením ústneho pojednávania vo veci, ktorého výsledkom by malo byť vydanie rozhodnutia.</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Pri riešení správneho deliktu prevádzkovateľa vozidla sa vo väčšine prípadov nepredpokladá náročné dokazovanie tohto skutku, pretože samotným vyhotovením dôkazu, overením dôkazov a následnou lustráciou prevádzkovateľa v informačných systémoch je dokazovanie ukončené. </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Ak je nepochybne zistené, že správny delikt bol spáchaný vozidlom alebo jazdnou súpravou konkrétneho prevádzkovateľa, okresný úrad v sídle kraja bez ďalšieho konania bezodkladne vydá rozkaz o uložení pokuty za správny delikt, na ktorého obsahové náležitosti sa bude primerane vzťahovať § 47 správneho poriadku. </w:t>
      </w:r>
    </w:p>
    <w:p w:rsidR="00B50DE9" w:rsidRPr="0031728F" w:rsidP="00152C98">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Z dôvodu objektivity konania a zaručenia právnej istoty sa navrhuje možnosť podať odpor. Podaný odpor musí obsahovať všeobecné náležitosti podania podľa § 19 správneho poriadku, t. j. z odporu musí byť zrejmé, kto ho podáva, akej veci sa týka, čo sa navrhuje a musí sa náležite odôvodniť. V odôvodnení uvedie prevádzkovateľ vozidla rozhodujúce skutočnosti, </w:t>
        <w:br/>
        <w:t xml:space="preserve">o ktoré opiera svoju obranu a zároveň označí dôkazy na preukázanie svojich tvrdení. Rozhodujúcou skutočnosťou však nie je uvedenie výlučne vodiča, ktorý v čase porušenia povinnosti viedol vozidlo, uvedenie nakladajúcej organizácie podľa zákona č. 106/2018 Z. z. alebo uvedenie inej osoby ako osoby zodpovednej za porušenie povinnosti. Účastník konania </w:t>
        <w:br/>
        <w:t>v prípade neúspechu v ďalšom konaní o správnom delikte po podaní odporu, bude musieť uhradiť aj paušálne</w:t>
      </w:r>
      <w:r w:rsidRPr="0031728F" w:rsidR="00152C98">
        <w:rPr>
          <w:rFonts w:ascii="Times New Roman" w:hAnsi="Times New Roman"/>
          <w:color w:val="000000" w:themeColor="tx1" w:themeShade="FF"/>
          <w:sz w:val="24"/>
          <w:szCs w:val="24"/>
        </w:rPr>
        <w:t xml:space="preserve"> trovy konania vo výške 30 eur.</w:t>
      </w:r>
    </w:p>
    <w:p w:rsidR="00B50DE9" w:rsidRPr="0031728F" w:rsidP="00B50DE9">
      <w:pPr>
        <w:bidi w:val="0"/>
        <w:spacing w:after="0" w:line="240" w:lineRule="auto"/>
        <w:jc w:val="both"/>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 xml:space="preserve">Navrhovaným ustanovením § 22g sa s cieľom zlepšenia vymožiteľnosti pokuty za správny delikt prevádzkovateľa vozidla policajtovi udeľuje nové oprávnenie sankcionovať aj porušenie povinnosti prevádzkovateľa vozidla podľa § 8a ods. 2 cestného zákona. Ak príslušník policajného zboru v rámci  dohľadu nad cestnou premávkou zistí, že v minulosti bol vozidlom spáchaný skutok vykazujúci znaky správneho deliktu podľa § 22d ods. 1 cestného zákona, ktorý však vzhľadom na technické alebo legislatívne obmedzenia nemohol byť prejednaný – chýbajú údaje o prevádzkovateľovi vozidla a o vozidle, vodičovi vozidla preukáže skutok z minulosti a vydá blok na pokutu, ktorá je vo výške pokuty za tento správny delikt s možnosťou využitia zníženia pokuty o 1/3 jej včasným uhradením. Zároveň sa ustanovuje ďalší postup v prípadoch, ak prevádzkovateľ vozidla alebo vodič nemôže zaplatiť pokutu na mieste alebo ak správny delikt prevádzkovateľa vozidla nemožno prejednať v blokovom konaní. Treba uviesť, že tento navrhovaný postup je inšpirovaný obdobnou právnou úpravou, ktorá je obsiahnutá v zákone č. 8/2009 Z. z. (§ 139h), zákone č. 474/2013 Z. z. (§ 33) či zákone č. 488/2013 Z. z. (§ 15) s cieľom zvýšenia efektívnosti sankcionovania delikventov. </w:t>
      </w:r>
    </w:p>
    <w:p w:rsidR="00B50DE9" w:rsidRPr="0031728F" w:rsidP="00B50DE9">
      <w:pPr>
        <w:bidi w:val="0"/>
        <w:spacing w:after="0" w:line="240" w:lineRule="auto"/>
        <w:jc w:val="both"/>
        <w:rPr>
          <w:rFonts w:ascii="Times New Roman" w:hAnsi="Times New Roman"/>
          <w:color w:val="000000" w:themeColor="tx1" w:themeShade="FF"/>
          <w:sz w:val="24"/>
          <w:szCs w:val="24"/>
        </w:rPr>
      </w:pPr>
    </w:p>
    <w:p w:rsidR="00B50DE9" w:rsidRPr="0031728F" w:rsidP="00B50DE9">
      <w:pPr>
        <w:bidi w:val="0"/>
        <w:spacing w:after="0" w:line="240" w:lineRule="auto"/>
        <w:jc w:val="both"/>
        <w:rPr>
          <w:rFonts w:ascii="Times New Roman" w:hAnsi="Times New Roman"/>
          <w:color w:val="000000" w:themeColor="tx1" w:themeShade="FF"/>
          <w:sz w:val="24"/>
          <w:szCs w:val="24"/>
          <w:u w:val="single"/>
        </w:rPr>
      </w:pPr>
      <w:r w:rsidRPr="0031728F">
        <w:rPr>
          <w:rFonts w:ascii="Times New Roman" w:hAnsi="Times New Roman"/>
          <w:color w:val="000000" w:themeColor="tx1" w:themeShade="FF"/>
          <w:sz w:val="24"/>
          <w:szCs w:val="24"/>
          <w:u w:val="single"/>
        </w:rPr>
        <w:t>K čl. II bodu 11</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r w:rsidRPr="0031728F">
        <w:rPr>
          <w:rFonts w:ascii="Times New Roman" w:hAnsi="Times New Roman"/>
          <w:color w:val="000000" w:themeColor="tx1" w:themeShade="FF"/>
          <w:sz w:val="24"/>
          <w:szCs w:val="24"/>
        </w:rPr>
        <w:t>Ustanovením sa dopĺňa transpozičná príloha.</w:t>
      </w:r>
    </w:p>
    <w:p w:rsidR="00B50DE9" w:rsidRPr="0031728F" w:rsidP="00B50DE9">
      <w:pPr>
        <w:bidi w:val="0"/>
        <w:spacing w:after="0" w:line="240" w:lineRule="auto"/>
        <w:jc w:val="both"/>
        <w:rPr>
          <w:rFonts w:ascii="Times New Roman" w:hAnsi="Times New Roman"/>
          <w:color w:val="000000" w:themeColor="tx1" w:themeShade="FF"/>
          <w:sz w:val="24"/>
          <w:szCs w:val="24"/>
        </w:rPr>
      </w:pPr>
    </w:p>
    <w:p w:rsidR="00B50DE9" w:rsidRPr="0031728F" w:rsidP="00B50DE9">
      <w:pPr>
        <w:bidi w:val="0"/>
        <w:spacing w:after="0" w:line="240" w:lineRule="auto"/>
        <w:jc w:val="both"/>
        <w:rPr>
          <w:rFonts w:ascii="Times New Roman" w:hAnsi="Times New Roman"/>
          <w:b/>
          <w:color w:val="000000" w:themeColor="tx1" w:themeShade="FF"/>
          <w:sz w:val="24"/>
          <w:szCs w:val="24"/>
          <w:shd w:val="clear" w:color="auto" w:fill="FFFFFF"/>
        </w:rPr>
      </w:pPr>
      <w:r w:rsidRPr="0031728F">
        <w:rPr>
          <w:rFonts w:ascii="Times New Roman" w:hAnsi="Times New Roman"/>
          <w:b/>
          <w:color w:val="000000" w:themeColor="tx1" w:themeShade="FF"/>
          <w:sz w:val="24"/>
          <w:szCs w:val="24"/>
          <w:shd w:val="clear" w:color="auto" w:fill="FFFFFF"/>
        </w:rPr>
        <w:t>K čl. III</w:t>
      </w:r>
    </w:p>
    <w:p w:rsidR="00B50DE9" w:rsidRPr="0031728F" w:rsidP="00B50DE9">
      <w:pPr>
        <w:bidi w:val="0"/>
        <w:spacing w:after="0" w:line="240" w:lineRule="auto"/>
        <w:jc w:val="both"/>
        <w:rPr>
          <w:rFonts w:ascii="Times New Roman" w:hAnsi="Times New Roman"/>
          <w:color w:val="000000" w:themeColor="tx1" w:themeShade="FF"/>
          <w:sz w:val="24"/>
          <w:szCs w:val="24"/>
          <w:u w:val="single"/>
          <w:shd w:val="clear" w:color="auto" w:fill="FFFFFF"/>
        </w:rPr>
      </w:pPr>
      <w:r w:rsidRPr="0031728F">
        <w:rPr>
          <w:rFonts w:ascii="Times New Roman" w:hAnsi="Times New Roman"/>
          <w:color w:val="000000" w:themeColor="tx1" w:themeShade="FF"/>
          <w:sz w:val="24"/>
          <w:szCs w:val="24"/>
          <w:u w:val="single"/>
          <w:shd w:val="clear" w:color="auto" w:fill="FFFFFF"/>
        </w:rPr>
        <w:t>K čl. III bodom 1 až 4</w:t>
      </w:r>
    </w:p>
    <w:p w:rsidR="00B50DE9" w:rsidRPr="0031728F" w:rsidP="00B50DE9">
      <w:pPr>
        <w:bidi w:val="0"/>
        <w:spacing w:after="0" w:line="240" w:lineRule="auto"/>
        <w:jc w:val="both"/>
        <w:rPr>
          <w:rFonts w:ascii="Times New Roman" w:hAnsi="Times New Roman"/>
          <w:color w:val="000000" w:themeColor="tx1" w:themeShade="FF"/>
          <w:sz w:val="24"/>
          <w:szCs w:val="24"/>
          <w:shd w:val="clear" w:color="auto" w:fill="FFFFFF"/>
        </w:rPr>
      </w:pPr>
      <w:r w:rsidRPr="0031728F">
        <w:rPr>
          <w:rFonts w:ascii="Times New Roman" w:hAnsi="Times New Roman"/>
          <w:color w:val="000000" w:themeColor="tx1" w:themeShade="FF"/>
          <w:sz w:val="24"/>
          <w:szCs w:val="24"/>
          <w:shd w:val="clear" w:color="auto" w:fill="FFFFFF"/>
        </w:rPr>
        <w:t xml:space="preserve">V nadväznosti na čl. II sa v súvislosti s nahradením mechanizmu výberu dodatočného správneho poplatku za nesplnenie povinnosti disponovať povolením na zvláštne užívanie pozemných komunikácií pri nadmernej a nadrozmernej doprave a jeho nahradením systémom udeľovania pokút pristupuje aj k náležitej úprave v zákona č. 145/1995 Z. z. o správnych poplatkoch v znení neskorších predpisov. V súvislosti s navrhovanou zmenou cestného zákona sa pristupuje aj k náležitej úprave subjektu poplatníka podľa Položky 80. </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r w:rsidRPr="0031728F">
        <w:rPr>
          <w:rFonts w:ascii="Times New Roman" w:hAnsi="Times New Roman"/>
          <w:b/>
          <w:bCs/>
          <w:color w:val="000000" w:themeColor="tx1" w:themeShade="FF"/>
          <w:kern w:val="36"/>
          <w:sz w:val="24"/>
          <w:szCs w:val="24"/>
          <w:lang w:eastAsia="sk-SK"/>
        </w:rPr>
        <w:t>K čl. IV</w:t>
      </w:r>
    </w:p>
    <w:p w:rsidR="00B50DE9" w:rsidRPr="0031728F" w:rsidP="00B50DE9">
      <w:pPr>
        <w:bidi w:val="0"/>
        <w:spacing w:after="0" w:line="240" w:lineRule="auto"/>
        <w:jc w:val="both"/>
        <w:rPr>
          <w:rFonts w:ascii="Times New Roman" w:hAnsi="Times New Roman"/>
          <w:color w:val="000000" w:themeColor="tx1" w:themeShade="FF"/>
          <w:sz w:val="24"/>
          <w:szCs w:val="24"/>
          <w:u w:val="single"/>
          <w:shd w:val="clear" w:color="auto" w:fill="FFFFFF"/>
        </w:rPr>
      </w:pPr>
      <w:r w:rsidRPr="0031728F">
        <w:rPr>
          <w:rFonts w:ascii="Times New Roman" w:hAnsi="Times New Roman"/>
          <w:color w:val="000000" w:themeColor="tx1" w:themeShade="FF"/>
          <w:sz w:val="24"/>
          <w:szCs w:val="24"/>
          <w:u w:val="single"/>
          <w:shd w:val="clear" w:color="auto" w:fill="FFFFFF"/>
        </w:rPr>
        <w:t>K čl. IV bodu 1</w:t>
      </w:r>
    </w:p>
    <w:p w:rsidR="00B50DE9" w:rsidRPr="0031728F" w:rsidP="00B50DE9">
      <w:pPr>
        <w:bidi w:val="0"/>
        <w:spacing w:after="0" w:line="240" w:lineRule="auto"/>
        <w:jc w:val="both"/>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shd w:val="clear" w:color="auto" w:fill="FFFFFF"/>
        </w:rPr>
        <w:t xml:space="preserve">V súvislosti s navrhovanou novelizáciou cestného zákona (§ 22g) je nevyhnutné pristúpiť aj k doplneniu zákona č. 8/2009 Z. z. v súvislosti s oprávnením príslušníkov Policajného zboru </w:t>
      </w:r>
      <w:r w:rsidRPr="0031728F">
        <w:rPr>
          <w:rFonts w:ascii="Times New Roman" w:hAnsi="Times New Roman"/>
          <w:color w:val="000000" w:themeColor="tx1" w:themeShade="FF"/>
          <w:sz w:val="24"/>
          <w:szCs w:val="24"/>
          <w:lang w:eastAsia="sk-SK"/>
        </w:rPr>
        <w:t>zadržať osvedčenie o evidencii časť I alebo časť II, evidenčný doklad vydaný v cudzine, technické osvedčenie vozidla a tabuľku s evidenčným číslom v prípade, ak nedôjde k uhradeniu pokuty za správny delikt v lehote uvedenej v § 22e ods. 14 cestného zákona.</w:t>
      </w:r>
    </w:p>
    <w:p w:rsidR="00B50DE9" w:rsidRPr="0031728F" w:rsidP="00B50DE9">
      <w:pPr>
        <w:bidi w:val="0"/>
        <w:spacing w:after="0" w:line="240" w:lineRule="auto"/>
        <w:jc w:val="both"/>
        <w:rPr>
          <w:rFonts w:ascii="Times New Roman" w:hAnsi="Times New Roman"/>
          <w:color w:val="000000" w:themeColor="tx1" w:themeShade="FF"/>
          <w:sz w:val="24"/>
          <w:szCs w:val="24"/>
          <w:lang w:eastAsia="sk-SK"/>
        </w:rPr>
      </w:pPr>
    </w:p>
    <w:p w:rsidR="00B50DE9" w:rsidRPr="0031728F" w:rsidP="00B50DE9">
      <w:pPr>
        <w:bidi w:val="0"/>
        <w:spacing w:after="0" w:line="240" w:lineRule="auto"/>
        <w:jc w:val="both"/>
        <w:rPr>
          <w:rFonts w:ascii="Times New Roman" w:hAnsi="Times New Roman"/>
          <w:color w:val="000000" w:themeColor="tx1" w:themeShade="FF"/>
          <w:sz w:val="24"/>
          <w:szCs w:val="24"/>
          <w:u w:val="single"/>
          <w:shd w:val="clear" w:color="auto" w:fill="FFFFFF"/>
        </w:rPr>
      </w:pPr>
      <w:r w:rsidRPr="0031728F">
        <w:rPr>
          <w:rFonts w:ascii="Times New Roman" w:hAnsi="Times New Roman"/>
          <w:color w:val="000000" w:themeColor="tx1" w:themeShade="FF"/>
          <w:sz w:val="24"/>
          <w:szCs w:val="24"/>
          <w:u w:val="single"/>
          <w:shd w:val="clear" w:color="auto" w:fill="FFFFFF"/>
        </w:rPr>
        <w:t>K čl. IV bodu 2</w:t>
      </w:r>
    </w:p>
    <w:p w:rsidR="00B50DE9" w:rsidRPr="0031728F" w:rsidP="00B50DE9">
      <w:pPr>
        <w:bidi w:val="0"/>
        <w:spacing w:after="0" w:line="240" w:lineRule="auto"/>
        <w:jc w:val="both"/>
        <w:rPr>
          <w:rFonts w:ascii="Times New Roman" w:hAnsi="Times New Roman"/>
          <w:color w:val="000000" w:themeColor="tx1" w:themeShade="FF"/>
          <w:sz w:val="24"/>
          <w:szCs w:val="24"/>
          <w:lang w:eastAsia="sk-SK"/>
        </w:rPr>
      </w:pPr>
      <w:r w:rsidRPr="0031728F">
        <w:rPr>
          <w:rFonts w:ascii="Times New Roman" w:hAnsi="Times New Roman"/>
          <w:color w:val="000000" w:themeColor="tx1" w:themeShade="FF"/>
          <w:sz w:val="24"/>
          <w:szCs w:val="24"/>
          <w:lang w:eastAsia="sk-SK"/>
        </w:rPr>
        <w:t>Legislatívno-technická úprava poznámok pod čiarou.</w:t>
      </w:r>
    </w:p>
    <w:p w:rsidR="00B50DE9" w:rsidRPr="0031728F" w:rsidP="00B50DE9">
      <w:pPr>
        <w:bidi w:val="0"/>
        <w:spacing w:after="0" w:line="240" w:lineRule="auto"/>
        <w:rPr>
          <w:rFonts w:ascii="Times New Roman" w:hAnsi="Times New Roman"/>
          <w:b/>
          <w:bCs/>
          <w:color w:val="000000" w:themeColor="tx1" w:themeShade="FF"/>
          <w:kern w:val="36"/>
          <w:sz w:val="24"/>
          <w:szCs w:val="24"/>
          <w:lang w:eastAsia="sk-SK"/>
        </w:rPr>
      </w:pPr>
    </w:p>
    <w:p w:rsidR="00B50DE9" w:rsidRPr="0031728F" w:rsidP="00B50DE9">
      <w:pPr>
        <w:bidi w:val="0"/>
        <w:spacing w:after="0" w:line="240" w:lineRule="auto"/>
        <w:jc w:val="both"/>
        <w:rPr>
          <w:rStyle w:val="PlaceholderText"/>
          <w:rFonts w:ascii="Times New Roman" w:hAnsi="Times New Roman"/>
          <w:b/>
          <w:bCs/>
          <w:color w:val="000000" w:themeColor="tx1" w:themeShade="FF"/>
          <w:sz w:val="24"/>
          <w:szCs w:val="24"/>
        </w:rPr>
      </w:pPr>
      <w:r w:rsidRPr="0031728F">
        <w:rPr>
          <w:rStyle w:val="PlaceholderText"/>
          <w:rFonts w:ascii="Times New Roman" w:hAnsi="Times New Roman"/>
          <w:b/>
          <w:bCs/>
          <w:color w:val="000000" w:themeColor="tx1" w:themeShade="FF"/>
          <w:sz w:val="24"/>
          <w:szCs w:val="24"/>
        </w:rPr>
        <w:t>K čl. V</w:t>
      </w:r>
    </w:p>
    <w:p w:rsidR="00B50DE9" w:rsidRPr="0031728F" w:rsidP="00B50DE9">
      <w:pPr>
        <w:bidi w:val="0"/>
        <w:spacing w:after="0" w:line="240" w:lineRule="auto"/>
        <w:jc w:val="both"/>
        <w:rPr>
          <w:rStyle w:val="PlaceholderText"/>
          <w:rFonts w:ascii="Times New Roman" w:hAnsi="Times New Roman"/>
          <w:color w:val="000000" w:themeColor="tx1" w:themeShade="FF"/>
          <w:sz w:val="24"/>
          <w:szCs w:val="24"/>
        </w:rPr>
      </w:pPr>
      <w:r w:rsidRPr="0031728F">
        <w:rPr>
          <w:rStyle w:val="PlaceholderText"/>
          <w:rFonts w:ascii="Times New Roman" w:hAnsi="Times New Roman"/>
          <w:color w:val="000000" w:themeColor="tx1" w:themeShade="FF"/>
          <w:sz w:val="24"/>
          <w:szCs w:val="24"/>
        </w:rPr>
        <w:t>Ustanovuje sa účinnosť zákona 1. júna 2022, resp. 1. januára 2023 s prihliadnutím na dĺžku legislatívneho procesu.</w:t>
      </w:r>
    </w:p>
    <w:p w:rsidR="00C23D16" w:rsidRPr="0031728F" w:rsidP="00B50DE9">
      <w:pPr>
        <w:bidi w:val="0"/>
        <w:spacing w:after="0" w:line="240" w:lineRule="auto"/>
        <w:jc w:val="both"/>
        <w:rPr>
          <w:rStyle w:val="PlaceholderText"/>
          <w:rFonts w:ascii="Times New Roman" w:hAnsi="Times New Roman"/>
          <w:color w:val="000000" w:themeColor="tx1" w:themeShade="FF"/>
          <w:sz w:val="24"/>
          <w:szCs w:val="24"/>
        </w:rPr>
      </w:pPr>
    </w:p>
    <w:p w:rsidR="00152C98" w:rsidP="00C23D16">
      <w:pPr>
        <w:bidi w:val="0"/>
        <w:rPr>
          <w:rFonts w:ascii="Times New Roman" w:hAnsi="Times New Roman"/>
          <w:color w:val="000000" w:themeColor="tx1" w:themeShade="FF"/>
          <w:sz w:val="24"/>
          <w:szCs w:val="24"/>
        </w:rPr>
      </w:pPr>
      <w:r w:rsidR="0031728F">
        <w:rPr>
          <w:rFonts w:ascii="Times New Roman" w:hAnsi="Times New Roman"/>
          <w:color w:val="000000" w:themeColor="tx1" w:themeShade="FF"/>
          <w:sz w:val="24"/>
          <w:szCs w:val="24"/>
        </w:rPr>
        <w:t>Bratislava 26. januára 2022</w:t>
      </w:r>
    </w:p>
    <w:p w:rsidR="0031728F" w:rsidRPr="0031728F" w:rsidP="00C23D16">
      <w:pPr>
        <w:bidi w:val="0"/>
        <w:rPr>
          <w:rFonts w:ascii="Times New Roman" w:hAnsi="Times New Roman"/>
          <w:color w:val="000000" w:themeColor="tx1" w:themeShade="FF"/>
          <w:sz w:val="24"/>
          <w:szCs w:val="24"/>
        </w:rPr>
      </w:pPr>
    </w:p>
    <w:p w:rsidR="00152C98" w:rsidRPr="0031728F" w:rsidP="00C23D16">
      <w:pPr>
        <w:bidi w:val="0"/>
        <w:rPr>
          <w:color w:val="000000" w:themeColor="tx1" w:themeShade="FF"/>
          <w:sz w:val="24"/>
          <w:szCs w:val="24"/>
        </w:rPr>
      </w:pPr>
    </w:p>
    <w:p w:rsidR="00C23D16" w:rsidRPr="0031728F" w:rsidP="00C23D16">
      <w:pPr>
        <w:bidi w:val="0"/>
        <w:spacing w:after="0" w:line="240" w:lineRule="auto"/>
        <w:jc w:val="center"/>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Eduard Heger</w:t>
      </w:r>
    </w:p>
    <w:p w:rsidR="00C23D16" w:rsidRPr="0031728F" w:rsidP="00C23D16">
      <w:pPr>
        <w:bidi w:val="0"/>
        <w:spacing w:after="0" w:line="240" w:lineRule="auto"/>
        <w:jc w:val="center"/>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predseda vlády Slovenskej republiky</w:t>
      </w:r>
    </w:p>
    <w:p w:rsidR="00C23D16" w:rsidRPr="0031728F" w:rsidP="00C23D16">
      <w:pPr>
        <w:bidi w:val="0"/>
        <w:spacing w:after="0" w:line="240" w:lineRule="auto"/>
        <w:rPr>
          <w:rFonts w:ascii="Times New Roman" w:hAnsi="Times New Roman"/>
          <w:color w:val="000000" w:themeColor="tx1" w:themeShade="FF"/>
          <w:sz w:val="24"/>
          <w:szCs w:val="24"/>
        </w:rPr>
      </w:pPr>
    </w:p>
    <w:p w:rsidR="00C23D16" w:rsidRPr="0031728F" w:rsidP="00C23D16">
      <w:pPr>
        <w:bidi w:val="0"/>
        <w:spacing w:after="0" w:line="240" w:lineRule="auto"/>
        <w:rPr>
          <w:rFonts w:ascii="Times New Roman" w:hAnsi="Times New Roman"/>
          <w:color w:val="000000" w:themeColor="tx1" w:themeShade="FF"/>
          <w:sz w:val="24"/>
          <w:szCs w:val="24"/>
        </w:rPr>
      </w:pPr>
    </w:p>
    <w:p w:rsidR="0031728F" w:rsidRPr="0031728F" w:rsidP="00C23D16">
      <w:pPr>
        <w:bidi w:val="0"/>
        <w:spacing w:after="0" w:line="240" w:lineRule="auto"/>
        <w:rPr>
          <w:rFonts w:ascii="Times New Roman" w:hAnsi="Times New Roman"/>
          <w:color w:val="000000" w:themeColor="tx1" w:themeShade="FF"/>
          <w:sz w:val="24"/>
          <w:szCs w:val="24"/>
        </w:rPr>
      </w:pPr>
    </w:p>
    <w:p w:rsidR="00C23D16" w:rsidRPr="0031728F" w:rsidP="00C23D16">
      <w:pPr>
        <w:bidi w:val="0"/>
        <w:spacing w:after="0" w:line="240" w:lineRule="auto"/>
        <w:rPr>
          <w:rFonts w:ascii="Times New Roman" w:hAnsi="Times New Roman"/>
          <w:color w:val="000000" w:themeColor="tx1" w:themeShade="FF"/>
          <w:sz w:val="24"/>
          <w:szCs w:val="24"/>
        </w:rPr>
      </w:pPr>
    </w:p>
    <w:p w:rsidR="00C23D16" w:rsidRPr="0031728F" w:rsidP="00C23D16">
      <w:pPr>
        <w:bidi w:val="0"/>
        <w:spacing w:after="0" w:line="240" w:lineRule="auto"/>
        <w:jc w:val="center"/>
        <w:rPr>
          <w:rFonts w:ascii="Times New Roman" w:hAnsi="Times New Roman"/>
          <w:b/>
          <w:color w:val="000000" w:themeColor="tx1" w:themeShade="FF"/>
          <w:sz w:val="24"/>
          <w:szCs w:val="24"/>
        </w:rPr>
      </w:pPr>
      <w:r w:rsidRPr="0031728F">
        <w:rPr>
          <w:rFonts w:ascii="Times New Roman" w:hAnsi="Times New Roman"/>
          <w:b/>
          <w:color w:val="000000" w:themeColor="tx1" w:themeShade="FF"/>
          <w:sz w:val="24"/>
          <w:szCs w:val="24"/>
        </w:rPr>
        <w:t>Andrej Doležal</w:t>
      </w:r>
    </w:p>
    <w:p w:rsidR="00C23D16" w:rsidRPr="0031728F" w:rsidP="00C23D16">
      <w:pPr>
        <w:bidi w:val="0"/>
        <w:spacing w:after="0" w:line="240" w:lineRule="auto"/>
        <w:jc w:val="center"/>
        <w:rPr>
          <w:rFonts w:ascii="Times New Roman" w:hAnsi="Times New Roman"/>
          <w:color w:val="000000" w:themeColor="tx1" w:themeShade="FF"/>
          <w:sz w:val="24"/>
          <w:szCs w:val="24"/>
        </w:rPr>
      </w:pPr>
      <w:r w:rsidRPr="0031728F">
        <w:rPr>
          <w:rFonts w:ascii="Times New Roman" w:hAnsi="Times New Roman"/>
          <w:color w:val="000000" w:themeColor="tx1" w:themeShade="FF"/>
          <w:sz w:val="24"/>
          <w:szCs w:val="24"/>
        </w:rPr>
        <w:t>minister dopravy a výstavby</w:t>
      </w:r>
    </w:p>
    <w:p w:rsidR="00B50DE9" w:rsidRPr="0031728F" w:rsidP="00152C98">
      <w:pPr>
        <w:bidi w:val="0"/>
        <w:spacing w:after="0" w:line="240" w:lineRule="auto"/>
        <w:jc w:val="center"/>
        <w:rPr>
          <w:rFonts w:ascii="Times New Roman" w:hAnsi="Times New Roman"/>
          <w:color w:val="000000" w:themeColor="tx1" w:themeShade="FF"/>
          <w:sz w:val="24"/>
          <w:szCs w:val="24"/>
        </w:rPr>
      </w:pPr>
      <w:r w:rsidRPr="0031728F" w:rsidR="00C23D16">
        <w:rPr>
          <w:rFonts w:ascii="Times New Roman" w:hAnsi="Times New Roman"/>
          <w:color w:val="000000" w:themeColor="tx1" w:themeShade="FF"/>
          <w:sz w:val="24"/>
          <w:szCs w:val="24"/>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SimSun">
    <w:altName w:val="??ˇ¦||||ˇ¦|||ˇ¦|ˇ¦¨§ˇ¦|ˇ§ˇěˇ¦||||ˇ¦||ˇ¦|ˇ§ˇě"/>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BF780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8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43211">
      <w:rPr>
        <w:rFonts w:ascii="Times New Roman" w:hAnsi="Times New Roman"/>
        <w:noProof/>
      </w:rPr>
      <w:t>23</w:t>
    </w:r>
    <w:r>
      <w:rPr>
        <w:rFonts w:ascii="Times New Roman" w:hAnsi="Times New Roman"/>
      </w:rPr>
      <w:fldChar w:fldCharType="end"/>
    </w:r>
  </w:p>
  <w:p w:rsidR="00BF7801">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BF780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1" w:rsidP="00BF7801">
    <w:pPr>
      <w:pStyle w:val="Header"/>
      <w:bidi w:val="0"/>
      <w:jc w:val="right"/>
      <w:rPr>
        <w:rFonts w:ascii="Times New Roman" w:hAnsi="Times New Roman"/>
        <w:sz w:val="24"/>
        <w:szCs w:val="24"/>
      </w:rPr>
    </w:pPr>
    <w:r>
      <w:rPr>
        <w:rFonts w:ascii="Times New Roman" w:hAnsi="Times New Roman"/>
        <w:sz w:val="24"/>
        <w:szCs w:val="24"/>
      </w:rPr>
      <w:t>Príloha č. 2</w:t>
    </w:r>
  </w:p>
  <w:p w:rsidR="00BF7801" w:rsidRPr="00EB59C8" w:rsidP="00BF7801">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1" w:rsidRPr="000A15AE" w:rsidP="00BF7801">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B050705"/>
    <w:multiLevelType w:val="hybridMultilevel"/>
    <w:tmpl w:val="4BB012A0"/>
    <w:lvl w:ilvl="0">
      <w:start w:val="1"/>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5">
    <w:nsid w:val="2B826476"/>
    <w:multiLevelType w:val="hybridMultilevel"/>
    <w:tmpl w:val="CF72E90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D9F23F5"/>
    <w:multiLevelType w:val="hybridMultilevel"/>
    <w:tmpl w:val="FEA6F160"/>
    <w:lvl w:ilvl="0">
      <w:start w:val="1"/>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8">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93D51D0"/>
    <w:multiLevelType w:val="hybridMultilevel"/>
    <w:tmpl w:val="520AB5A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nsid w:val="6A9C2F82"/>
    <w:multiLevelType w:val="hybridMultilevel"/>
    <w:tmpl w:val="EBDE5DB8"/>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
  </w:num>
  <w:num w:numId="2">
    <w:abstractNumId w:val="6"/>
  </w:num>
  <w:num w:numId="3">
    <w:abstractNumId w:val="0"/>
  </w:num>
  <w:num w:numId="4">
    <w:abstractNumId w:val="7"/>
  </w:num>
  <w:num w:numId="5">
    <w:abstractNumId w:val="4"/>
  </w:num>
  <w:num w:numId="6">
    <w:abstractNumId w:val="10"/>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005EC"/>
    <w:rsid w:val="0001094F"/>
    <w:rsid w:val="0002017A"/>
    <w:rsid w:val="000313A3"/>
    <w:rsid w:val="00035EB6"/>
    <w:rsid w:val="00036795"/>
    <w:rsid w:val="00036B6E"/>
    <w:rsid w:val="00047F10"/>
    <w:rsid w:val="00053D8B"/>
    <w:rsid w:val="000567A1"/>
    <w:rsid w:val="0005685F"/>
    <w:rsid w:val="00057135"/>
    <w:rsid w:val="000754BA"/>
    <w:rsid w:val="00087147"/>
    <w:rsid w:val="0009459B"/>
    <w:rsid w:val="000A15AE"/>
    <w:rsid w:val="000B3C2F"/>
    <w:rsid w:val="000C07B7"/>
    <w:rsid w:val="000D3DF5"/>
    <w:rsid w:val="000E02E8"/>
    <w:rsid w:val="000E0710"/>
    <w:rsid w:val="000F5196"/>
    <w:rsid w:val="00100A79"/>
    <w:rsid w:val="00102D72"/>
    <w:rsid w:val="00103A63"/>
    <w:rsid w:val="001073E6"/>
    <w:rsid w:val="001127A8"/>
    <w:rsid w:val="00121233"/>
    <w:rsid w:val="001244A1"/>
    <w:rsid w:val="00135A11"/>
    <w:rsid w:val="001449E8"/>
    <w:rsid w:val="00152C98"/>
    <w:rsid w:val="00153C0D"/>
    <w:rsid w:val="00153CE2"/>
    <w:rsid w:val="001543D4"/>
    <w:rsid w:val="001544B7"/>
    <w:rsid w:val="00163EAA"/>
    <w:rsid w:val="001656E7"/>
    <w:rsid w:val="00167984"/>
    <w:rsid w:val="00170D2B"/>
    <w:rsid w:val="00196220"/>
    <w:rsid w:val="001C6FA0"/>
    <w:rsid w:val="001D1EED"/>
    <w:rsid w:val="001D33D9"/>
    <w:rsid w:val="001E07F9"/>
    <w:rsid w:val="001E0822"/>
    <w:rsid w:val="00200898"/>
    <w:rsid w:val="00205002"/>
    <w:rsid w:val="00212894"/>
    <w:rsid w:val="002221D3"/>
    <w:rsid w:val="00231178"/>
    <w:rsid w:val="00232EB9"/>
    <w:rsid w:val="002620A5"/>
    <w:rsid w:val="00265B86"/>
    <w:rsid w:val="00270BD9"/>
    <w:rsid w:val="0027423B"/>
    <w:rsid w:val="0027629F"/>
    <w:rsid w:val="002806BA"/>
    <w:rsid w:val="00281CAB"/>
    <w:rsid w:val="002A2E2B"/>
    <w:rsid w:val="002A76C0"/>
    <w:rsid w:val="002B0E3E"/>
    <w:rsid w:val="002C1073"/>
    <w:rsid w:val="002C2F97"/>
    <w:rsid w:val="002D1692"/>
    <w:rsid w:val="002E0D88"/>
    <w:rsid w:val="002E53C7"/>
    <w:rsid w:val="002F7FD1"/>
    <w:rsid w:val="003006E9"/>
    <w:rsid w:val="0031728F"/>
    <w:rsid w:val="00317B90"/>
    <w:rsid w:val="003220B4"/>
    <w:rsid w:val="00327AD0"/>
    <w:rsid w:val="0039193E"/>
    <w:rsid w:val="00396EEA"/>
    <w:rsid w:val="003A447C"/>
    <w:rsid w:val="003A647F"/>
    <w:rsid w:val="003C6D95"/>
    <w:rsid w:val="003D1AE2"/>
    <w:rsid w:val="003D308E"/>
    <w:rsid w:val="003D3FCC"/>
    <w:rsid w:val="00410EFF"/>
    <w:rsid w:val="00411B5F"/>
    <w:rsid w:val="00414185"/>
    <w:rsid w:val="00435FE8"/>
    <w:rsid w:val="0043706C"/>
    <w:rsid w:val="00437FD5"/>
    <w:rsid w:val="004513E5"/>
    <w:rsid w:val="00453FFA"/>
    <w:rsid w:val="00460328"/>
    <w:rsid w:val="0046518F"/>
    <w:rsid w:val="00466CA4"/>
    <w:rsid w:val="004A13F9"/>
    <w:rsid w:val="004A443D"/>
    <w:rsid w:val="004B1958"/>
    <w:rsid w:val="004C5132"/>
    <w:rsid w:val="004C5A57"/>
    <w:rsid w:val="004C6328"/>
    <w:rsid w:val="004D73CC"/>
    <w:rsid w:val="004E1F2F"/>
    <w:rsid w:val="004E6236"/>
    <w:rsid w:val="004F5798"/>
    <w:rsid w:val="004F7538"/>
    <w:rsid w:val="005005EC"/>
    <w:rsid w:val="00505ECD"/>
    <w:rsid w:val="00521FA8"/>
    <w:rsid w:val="00522A99"/>
    <w:rsid w:val="00523630"/>
    <w:rsid w:val="00540417"/>
    <w:rsid w:val="00541344"/>
    <w:rsid w:val="0058259F"/>
    <w:rsid w:val="005825FE"/>
    <w:rsid w:val="005951A6"/>
    <w:rsid w:val="005A3EC6"/>
    <w:rsid w:val="005B6D17"/>
    <w:rsid w:val="005C0240"/>
    <w:rsid w:val="005C059C"/>
    <w:rsid w:val="005D1378"/>
    <w:rsid w:val="005D36C5"/>
    <w:rsid w:val="005E5BBC"/>
    <w:rsid w:val="005E75C9"/>
    <w:rsid w:val="005F1728"/>
    <w:rsid w:val="006002B0"/>
    <w:rsid w:val="006061CC"/>
    <w:rsid w:val="006127FC"/>
    <w:rsid w:val="006137F0"/>
    <w:rsid w:val="00620C61"/>
    <w:rsid w:val="006237CD"/>
    <w:rsid w:val="00633515"/>
    <w:rsid w:val="00634A73"/>
    <w:rsid w:val="006378E1"/>
    <w:rsid w:val="00655DAD"/>
    <w:rsid w:val="00656C86"/>
    <w:rsid w:val="00681C6E"/>
    <w:rsid w:val="00682C26"/>
    <w:rsid w:val="0069023C"/>
    <w:rsid w:val="00697E86"/>
    <w:rsid w:val="006B2D79"/>
    <w:rsid w:val="006B364C"/>
    <w:rsid w:val="006B4472"/>
    <w:rsid w:val="006C1138"/>
    <w:rsid w:val="006C1580"/>
    <w:rsid w:val="006C324C"/>
    <w:rsid w:val="006C3288"/>
    <w:rsid w:val="006C38A1"/>
    <w:rsid w:val="006D08BB"/>
    <w:rsid w:val="006E2DB8"/>
    <w:rsid w:val="006E3699"/>
    <w:rsid w:val="006E60EA"/>
    <w:rsid w:val="006E77B5"/>
    <w:rsid w:val="006F189B"/>
    <w:rsid w:val="006F7C8F"/>
    <w:rsid w:val="007048F4"/>
    <w:rsid w:val="00712844"/>
    <w:rsid w:val="007130DF"/>
    <w:rsid w:val="00720123"/>
    <w:rsid w:val="007246BD"/>
    <w:rsid w:val="007426C1"/>
    <w:rsid w:val="00743A53"/>
    <w:rsid w:val="00744D2B"/>
    <w:rsid w:val="007532A6"/>
    <w:rsid w:val="00754E6C"/>
    <w:rsid w:val="00775F35"/>
    <w:rsid w:val="00775F3C"/>
    <w:rsid w:val="00785844"/>
    <w:rsid w:val="00787722"/>
    <w:rsid w:val="0079499F"/>
    <w:rsid w:val="007C0A39"/>
    <w:rsid w:val="007D4D7B"/>
    <w:rsid w:val="007D5748"/>
    <w:rsid w:val="007E60AF"/>
    <w:rsid w:val="00804461"/>
    <w:rsid w:val="00805948"/>
    <w:rsid w:val="00826AA0"/>
    <w:rsid w:val="00840CC3"/>
    <w:rsid w:val="00844F77"/>
    <w:rsid w:val="0085334B"/>
    <w:rsid w:val="00854233"/>
    <w:rsid w:val="00854987"/>
    <w:rsid w:val="008576D6"/>
    <w:rsid w:val="00886BE1"/>
    <w:rsid w:val="00894CD0"/>
    <w:rsid w:val="008A330B"/>
    <w:rsid w:val="008B7182"/>
    <w:rsid w:val="008C0557"/>
    <w:rsid w:val="008C2752"/>
    <w:rsid w:val="008C288C"/>
    <w:rsid w:val="008C7B42"/>
    <w:rsid w:val="008D1E8E"/>
    <w:rsid w:val="008D339D"/>
    <w:rsid w:val="008D514A"/>
    <w:rsid w:val="008D5F3F"/>
    <w:rsid w:val="008D6174"/>
    <w:rsid w:val="008E2736"/>
    <w:rsid w:val="008F11E8"/>
    <w:rsid w:val="008F7D91"/>
    <w:rsid w:val="00903B16"/>
    <w:rsid w:val="00903BD4"/>
    <w:rsid w:val="009347C3"/>
    <w:rsid w:val="0093742C"/>
    <w:rsid w:val="00940A58"/>
    <w:rsid w:val="00943211"/>
    <w:rsid w:val="00944871"/>
    <w:rsid w:val="00951125"/>
    <w:rsid w:val="00960851"/>
    <w:rsid w:val="009706B7"/>
    <w:rsid w:val="009722E3"/>
    <w:rsid w:val="00972364"/>
    <w:rsid w:val="00976172"/>
    <w:rsid w:val="00976F95"/>
    <w:rsid w:val="00991B78"/>
    <w:rsid w:val="00997D11"/>
    <w:rsid w:val="009A3934"/>
    <w:rsid w:val="009B2B5C"/>
    <w:rsid w:val="009C3811"/>
    <w:rsid w:val="009C53D5"/>
    <w:rsid w:val="009D4DAD"/>
    <w:rsid w:val="009E6D82"/>
    <w:rsid w:val="00A15005"/>
    <w:rsid w:val="00A23CAA"/>
    <w:rsid w:val="00A2408E"/>
    <w:rsid w:val="00A276F1"/>
    <w:rsid w:val="00A314D1"/>
    <w:rsid w:val="00A51D62"/>
    <w:rsid w:val="00A52946"/>
    <w:rsid w:val="00A60E39"/>
    <w:rsid w:val="00A62D4B"/>
    <w:rsid w:val="00A65ACC"/>
    <w:rsid w:val="00A67158"/>
    <w:rsid w:val="00A6778A"/>
    <w:rsid w:val="00A836C0"/>
    <w:rsid w:val="00A95080"/>
    <w:rsid w:val="00AA4D3A"/>
    <w:rsid w:val="00AA50A6"/>
    <w:rsid w:val="00AA5319"/>
    <w:rsid w:val="00AB75E3"/>
    <w:rsid w:val="00AD11D4"/>
    <w:rsid w:val="00AD1CF5"/>
    <w:rsid w:val="00AD3B9F"/>
    <w:rsid w:val="00B054F4"/>
    <w:rsid w:val="00B16218"/>
    <w:rsid w:val="00B31BB4"/>
    <w:rsid w:val="00B34702"/>
    <w:rsid w:val="00B42E5D"/>
    <w:rsid w:val="00B44F4B"/>
    <w:rsid w:val="00B50935"/>
    <w:rsid w:val="00B50DE9"/>
    <w:rsid w:val="00B85000"/>
    <w:rsid w:val="00B910EA"/>
    <w:rsid w:val="00B91161"/>
    <w:rsid w:val="00B913CC"/>
    <w:rsid w:val="00BA28DB"/>
    <w:rsid w:val="00BD5B15"/>
    <w:rsid w:val="00BD5C41"/>
    <w:rsid w:val="00BD6C95"/>
    <w:rsid w:val="00BE07B3"/>
    <w:rsid w:val="00BE6AE2"/>
    <w:rsid w:val="00BF6AFB"/>
    <w:rsid w:val="00BF7801"/>
    <w:rsid w:val="00C0776F"/>
    <w:rsid w:val="00C1404D"/>
    <w:rsid w:val="00C15212"/>
    <w:rsid w:val="00C210F2"/>
    <w:rsid w:val="00C23D16"/>
    <w:rsid w:val="00C368CC"/>
    <w:rsid w:val="00C51FD4"/>
    <w:rsid w:val="00C53C15"/>
    <w:rsid w:val="00C55CF4"/>
    <w:rsid w:val="00C61620"/>
    <w:rsid w:val="00C635BC"/>
    <w:rsid w:val="00C64362"/>
    <w:rsid w:val="00CB3623"/>
    <w:rsid w:val="00CB57F5"/>
    <w:rsid w:val="00CC43B9"/>
    <w:rsid w:val="00CE0EDC"/>
    <w:rsid w:val="00CE4F1F"/>
    <w:rsid w:val="00CF4855"/>
    <w:rsid w:val="00D02586"/>
    <w:rsid w:val="00D30379"/>
    <w:rsid w:val="00D34B6E"/>
    <w:rsid w:val="00D41E75"/>
    <w:rsid w:val="00D457AF"/>
    <w:rsid w:val="00D54944"/>
    <w:rsid w:val="00D55DF9"/>
    <w:rsid w:val="00D7545F"/>
    <w:rsid w:val="00D83CDC"/>
    <w:rsid w:val="00D94724"/>
    <w:rsid w:val="00D9798C"/>
    <w:rsid w:val="00DC1579"/>
    <w:rsid w:val="00DC4E07"/>
    <w:rsid w:val="00DE0610"/>
    <w:rsid w:val="00DE589A"/>
    <w:rsid w:val="00DE5BF1"/>
    <w:rsid w:val="00DF12FD"/>
    <w:rsid w:val="00DF4324"/>
    <w:rsid w:val="00E07CE9"/>
    <w:rsid w:val="00E10634"/>
    <w:rsid w:val="00E43C43"/>
    <w:rsid w:val="00E50785"/>
    <w:rsid w:val="00E5129E"/>
    <w:rsid w:val="00E55EBA"/>
    <w:rsid w:val="00E65709"/>
    <w:rsid w:val="00E75FDB"/>
    <w:rsid w:val="00E80B13"/>
    <w:rsid w:val="00E80DE4"/>
    <w:rsid w:val="00E81AD5"/>
    <w:rsid w:val="00E82A8A"/>
    <w:rsid w:val="00E85CBD"/>
    <w:rsid w:val="00E91896"/>
    <w:rsid w:val="00E929FA"/>
    <w:rsid w:val="00E95512"/>
    <w:rsid w:val="00E963A3"/>
    <w:rsid w:val="00EA1E90"/>
    <w:rsid w:val="00EB59C8"/>
    <w:rsid w:val="00EB7ABC"/>
    <w:rsid w:val="00EC2D8C"/>
    <w:rsid w:val="00EE17EF"/>
    <w:rsid w:val="00EE58B9"/>
    <w:rsid w:val="00EF5718"/>
    <w:rsid w:val="00EF62AE"/>
    <w:rsid w:val="00EF7147"/>
    <w:rsid w:val="00F27E55"/>
    <w:rsid w:val="00F32AFE"/>
    <w:rsid w:val="00F40136"/>
    <w:rsid w:val="00F40BFB"/>
    <w:rsid w:val="00F655C1"/>
    <w:rsid w:val="00F70A94"/>
    <w:rsid w:val="00F713D0"/>
    <w:rsid w:val="00F7608C"/>
    <w:rsid w:val="00F93527"/>
    <w:rsid w:val="00F94D1E"/>
    <w:rsid w:val="00F95494"/>
    <w:rsid w:val="00F9554F"/>
    <w:rsid w:val="00F969E7"/>
    <w:rsid w:val="00FA0A4A"/>
    <w:rsid w:val="00FA5B02"/>
    <w:rsid w:val="00FB381C"/>
    <w:rsid w:val="00FB6428"/>
    <w:rsid w:val="00FD51EB"/>
    <w:rsid w:val="00FF22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paragraph" w:styleId="ListParagraph">
    <w:name w:val="List Paragraph"/>
    <w:aliases w:val="Conclusion de partie,List Paragraph (Czech Tourism),Nad,ODRAZKY PRVA UROVEN,Odsek,Odstavec cíl se seznamem,Odstavec se seznamem5,Odstavec_muj,Seznam - odrážky,_Odstavec se seznamem,body"/>
    <w:basedOn w:val="Normal"/>
    <w:link w:val="OdsekzoznamuChar"/>
    <w:uiPriority w:val="34"/>
    <w:qFormat/>
    <w:rsid w:val="00BF7801"/>
    <w:pPr>
      <w:ind w:left="720"/>
      <w:contextualSpacing/>
      <w:jc w:val="left"/>
    </w:pPr>
  </w:style>
  <w:style w:type="paragraph" w:customStyle="1" w:styleId="Default">
    <w:name w:val="Default"/>
    <w:rsid w:val="00AD3B9F"/>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styleId="CommentReference">
    <w:name w:val="annotation reference"/>
    <w:basedOn w:val="DefaultParagraphFont"/>
    <w:uiPriority w:val="99"/>
    <w:rsid w:val="00AD1CF5"/>
    <w:rPr>
      <w:rFonts w:cs="Times New Roman"/>
      <w:sz w:val="16"/>
      <w:szCs w:val="16"/>
      <w:rtl w:val="0"/>
      <w:cs w:val="0"/>
    </w:rPr>
  </w:style>
  <w:style w:type="paragraph" w:styleId="CommentText">
    <w:name w:val="annotation text"/>
    <w:basedOn w:val="Normal"/>
    <w:link w:val="TextkomentraChar"/>
    <w:uiPriority w:val="99"/>
    <w:rsid w:val="00AD1CF5"/>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D1CF5"/>
    <w:rPr>
      <w:rFonts w:cs="Times New Roman"/>
      <w:sz w:val="20"/>
      <w:szCs w:val="20"/>
      <w:rtl w:val="0"/>
      <w:cs w:val="0"/>
    </w:rPr>
  </w:style>
  <w:style w:type="paragraph" w:styleId="CommentSubject">
    <w:name w:val="annotation subject"/>
    <w:basedOn w:val="CommentText"/>
    <w:next w:val="CommentText"/>
    <w:link w:val="PredmetkomentraChar"/>
    <w:uiPriority w:val="99"/>
    <w:rsid w:val="00AD1CF5"/>
    <w:pPr>
      <w:spacing w:line="240" w:lineRule="auto"/>
      <w:jc w:val="left"/>
    </w:pPr>
    <w:rPr>
      <w:b/>
      <w:bCs/>
    </w:rPr>
  </w:style>
  <w:style w:type="character" w:customStyle="1" w:styleId="PredmetkomentraChar">
    <w:name w:val="Predmet komentára Char"/>
    <w:basedOn w:val="TextkomentraChar"/>
    <w:link w:val="CommentSubject"/>
    <w:uiPriority w:val="99"/>
    <w:locked/>
    <w:rsid w:val="00AD1CF5"/>
    <w:rPr>
      <w:b/>
      <w:bCs/>
    </w:rPr>
  </w:style>
  <w:style w:type="character" w:styleId="PlaceholderText">
    <w:name w:val="Placeholder Text"/>
    <w:basedOn w:val="DefaultParagraphFont"/>
    <w:uiPriority w:val="99"/>
    <w:rsid w:val="008576D6"/>
    <w:rPr>
      <w:rFonts w:cs="Times New Roman"/>
      <w:color w:val="808080"/>
      <w:rtl w:val="0"/>
      <w:cs w:val="0"/>
    </w:rPr>
  </w:style>
  <w:style w:type="paragraph" w:styleId="BodyText">
    <w:name w:val="Body Text"/>
    <w:basedOn w:val="Normal"/>
    <w:link w:val="ZkladntextChar"/>
    <w:uiPriority w:val="99"/>
    <w:unhideWhenUsed/>
    <w:rsid w:val="008576D6"/>
    <w:pPr>
      <w:spacing w:after="0" w:line="240" w:lineRule="auto"/>
      <w:jc w:val="both"/>
    </w:pPr>
    <w:rPr>
      <w:rFonts w:ascii="Times New Roman" w:hAnsi="Times New Roman"/>
      <w:sz w:val="24"/>
      <w:szCs w:val="20"/>
      <w:lang w:val="cs-CZ" w:eastAsia="cs-CZ"/>
    </w:rPr>
  </w:style>
  <w:style w:type="character" w:customStyle="1" w:styleId="ZkladntextChar">
    <w:name w:val="Základný text Char"/>
    <w:basedOn w:val="DefaultParagraphFont"/>
    <w:link w:val="BodyText"/>
    <w:uiPriority w:val="99"/>
    <w:locked/>
    <w:rsid w:val="008576D6"/>
    <w:rPr>
      <w:rFonts w:ascii="Times New Roman" w:hAnsi="Times New Roman" w:cs="Times New Roman"/>
      <w:sz w:val="20"/>
      <w:szCs w:val="20"/>
      <w:rtl w:val="0"/>
      <w:cs w:val="0"/>
      <w:lang w:val="cs-CZ" w:eastAsia="cs-CZ"/>
    </w:rPr>
  </w:style>
  <w:style w:type="paragraph" w:styleId="Revision">
    <w:name w:val="Revision"/>
    <w:hidden/>
    <w:uiPriority w:val="99"/>
    <w:semiHidden/>
    <w:rsid w:val="007130DF"/>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2">
    <w:name w:val="Body Text Indent 2"/>
    <w:basedOn w:val="Normal"/>
    <w:link w:val="Zarkazkladnhotextu2Char"/>
    <w:uiPriority w:val="99"/>
    <w:rsid w:val="00135A11"/>
    <w:pPr>
      <w:spacing w:after="120" w:line="480" w:lineRule="auto"/>
      <w:ind w:left="283"/>
      <w:jc w:val="left"/>
    </w:pPr>
    <w:rPr>
      <w:rFonts w:ascii="Calibri" w:hAnsi="Calibri" w:cs="Calibri"/>
    </w:rPr>
  </w:style>
  <w:style w:type="character" w:customStyle="1" w:styleId="Zarkazkladnhotextu2Char">
    <w:name w:val="Zarážka základného textu 2 Char"/>
    <w:basedOn w:val="DefaultParagraphFont"/>
    <w:link w:val="BodyTextIndent2"/>
    <w:uiPriority w:val="99"/>
    <w:locked/>
    <w:rsid w:val="00135A11"/>
    <w:rPr>
      <w:rFonts w:ascii="Calibri" w:hAnsi="Calibri" w:cs="Calibri"/>
      <w:rtl w:val="0"/>
      <w:cs w:val="0"/>
    </w:rPr>
  </w:style>
  <w:style w:type="character" w:customStyle="1" w:styleId="OdsekzoznamuChar">
    <w:name w:val="Odsek zoznamu Char"/>
    <w:aliases w:val="Conclusion de partie Char,List Paragraph (Czech Tourism) Char,Nad Char,Odsek Char,Odstavec cíl se seznamem Char,Odstavec se seznamem5 Char,Odstavec_muj Char,Seznam - odrážky Char,_Odstavec se seznamem Char,body Char"/>
    <w:link w:val="ListParagraph"/>
    <w:uiPriority w:val="34"/>
    <w:locked/>
    <w:rsid w:val="00135A11"/>
  </w:style>
  <w:style w:type="paragraph" w:styleId="BodyTextIndent3">
    <w:name w:val="Body Text Indent 3"/>
    <w:basedOn w:val="Normal"/>
    <w:link w:val="Zarkazkladnhotextu3Char"/>
    <w:uiPriority w:val="99"/>
    <w:unhideWhenUsed/>
    <w:rsid w:val="00135A11"/>
    <w:pPr>
      <w:spacing w:after="120" w:line="240" w:lineRule="auto"/>
      <w:ind w:left="283"/>
      <w:jc w:val="left"/>
    </w:pPr>
    <w:rPr>
      <w:rFonts w:ascii="Times New Roman" w:hAnsi="Times New Roman"/>
      <w:sz w:val="16"/>
      <w:szCs w:val="16"/>
    </w:rPr>
  </w:style>
  <w:style w:type="character" w:customStyle="1" w:styleId="Zarkazkladnhotextu3Char">
    <w:name w:val="Zarážka základného textu 3 Char"/>
    <w:basedOn w:val="DefaultParagraphFont"/>
    <w:link w:val="BodyTextIndent3"/>
    <w:uiPriority w:val="99"/>
    <w:locked/>
    <w:rsid w:val="00135A11"/>
    <w:rPr>
      <w:rFonts w:ascii="Times New Roman" w:hAnsi="Times New Roman" w:cs="Times New Roman"/>
      <w:sz w:val="16"/>
      <w:szCs w:val="16"/>
      <w:rtl w:val="0"/>
      <w:cs w:val="0"/>
    </w:rPr>
  </w:style>
  <w:style w:type="table" w:styleId="TableGrid">
    <w:name w:val="Table Grid"/>
    <w:basedOn w:val="TableNormal"/>
    <w:uiPriority w:val="59"/>
    <w:rsid w:val="00B50DE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k">
    <w:name w:val="titulok"/>
    <w:basedOn w:val="Normal"/>
    <w:uiPriority w:val="99"/>
    <w:rsid w:val="00B50DE9"/>
    <w:pPr>
      <w:spacing w:before="100" w:beforeAutospacing="1" w:after="100" w:afterAutospacing="1" w:line="240" w:lineRule="auto"/>
      <w:jc w:val="center"/>
    </w:pPr>
    <w:rPr>
      <w:rFonts w:ascii="Arial" w:hAnsi="Arial" w:cs="Arial"/>
      <w:b/>
      <w:bCs/>
      <w:color w:val="007060"/>
      <w:sz w:val="24"/>
      <w:szCs w:val="24"/>
      <w:lang w:eastAsia="sk-SK"/>
    </w:rPr>
  </w:style>
  <w:style w:type="character" w:styleId="Hyperlink">
    <w:name w:val="Hyperlink"/>
    <w:basedOn w:val="DefaultParagraphFont"/>
    <w:uiPriority w:val="99"/>
    <w:unhideWhenUsed/>
    <w:rsid w:val="00B50DE9"/>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cdpk@mindop.sk"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6BAD-5D98-4C37-B9F7-47D629F7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23</Pages>
  <Words>8162</Words>
  <Characters>46529</Characters>
  <Application>Microsoft Office Word</Application>
  <DocSecurity>0</DocSecurity>
  <Lines>0</Lines>
  <Paragraphs>0</Paragraphs>
  <ScaleCrop>false</ScaleCrop>
  <Company>MH SR</Company>
  <LinksUpToDate>false</LinksUpToDate>
  <CharactersWithSpaces>54582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Považan, Peter</cp:lastModifiedBy>
  <cp:revision>16</cp:revision>
  <cp:lastPrinted>2021-10-11T07:53:00Z</cp:lastPrinted>
  <dcterms:created xsi:type="dcterms:W3CDTF">2021-10-28T10:34:00Z</dcterms:created>
  <dcterms:modified xsi:type="dcterms:W3CDTF">2022-01-28T13:35:00Z</dcterms:modified>
</cp:coreProperties>
</file>