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hAnsi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</w:tcBorders>
          </w:tcPr>
          <w:p w:rsidR="001B23B7" w:rsidRDefault="0066005B" w:rsidP="00F71964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  <w:r w:rsidRPr="0066005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uzavretie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Dohody</w:t>
            </w:r>
            <w:r w:rsidR="00F71964"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 spolupráci v oblasti obrany medzi</w:t>
            </w:r>
            <w:r w:rsidR="00F7196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F71964"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>vládou Slovenskej republiky a</w:t>
            </w:r>
            <w:r w:rsidR="00F7196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F71964"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vládou Spojených štátov </w:t>
            </w:r>
            <w:r w:rsidR="00F71964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="00F71964"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>merických</w:t>
            </w:r>
          </w:p>
          <w:p w:rsidR="00F71964" w:rsidRPr="00B043B4" w:rsidRDefault="00F71964" w:rsidP="00F71964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top w:val="single" w:sz="4" w:space="0" w:color="FFFFFF"/>
            </w:tcBorders>
            <w:shd w:val="clear" w:color="auto" w:fill="FFFFFF"/>
          </w:tcPr>
          <w:p w:rsidR="00121CF7" w:rsidRPr="00121CF7" w:rsidRDefault="00121CF7" w:rsidP="00121CF7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</w:t>
            </w:r>
            <w:r w:rsidR="00F71964">
              <w:rPr>
                <w:rFonts w:ascii="Times New Roman" w:hAnsi="Times New Roman"/>
                <w:sz w:val="20"/>
              </w:rPr>
              <w:t xml:space="preserve"> obrany</w:t>
            </w:r>
            <w:r w:rsidRPr="00121CF7">
              <w:rPr>
                <w:rFonts w:ascii="Times New Roman" w:hAnsi="Times New Roman"/>
                <w:sz w:val="20"/>
              </w:rPr>
              <w:t xml:space="preserve"> Slovenskej republiky</w:t>
            </w:r>
          </w:p>
          <w:p w:rsidR="00121CF7" w:rsidRPr="00121CF7" w:rsidRDefault="00121CF7" w:rsidP="00121CF7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 zahraničných vecí a európskych záležitostí Slovenskej republiky</w:t>
            </w:r>
          </w:p>
          <w:p w:rsidR="00121CF7" w:rsidRPr="00121CF7" w:rsidRDefault="00121CF7" w:rsidP="00121CF7">
            <w:pPr>
              <w:rPr>
                <w:rFonts w:ascii="Times New Roman" w:hAnsi="Times New Roman"/>
                <w:sz w:val="20"/>
              </w:rPr>
            </w:pPr>
          </w:p>
        </w:tc>
      </w:tr>
      <w:tr w:rsidR="00121CF7" w:rsidRPr="00B043B4" w:rsidTr="000800FC">
        <w:tc>
          <w:tcPr>
            <w:tcW w:w="4212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121CF7" w:rsidRPr="00B043B4" w:rsidRDefault="00121CF7" w:rsidP="00121CF7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7"/>
            <w:tcBorders>
              <w:left w:val="nil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21CF7" w:rsidRPr="00B043B4" w:rsidTr="000800FC">
        <w:tc>
          <w:tcPr>
            <w:tcW w:w="4212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7"/>
            <w:tcBorders>
              <w:left w:val="nil"/>
            </w:tcBorders>
            <w:shd w:val="clear" w:color="auto" w:fill="FFFFFF"/>
          </w:tcPr>
          <w:p w:rsidR="00121CF7" w:rsidRPr="00B043B4" w:rsidRDefault="00121CF7" w:rsidP="00121CF7">
            <w:pPr>
              <w:ind w:left="175" w:hanging="175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21CF7" w:rsidRPr="00B043B4" w:rsidTr="000800FC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7"/>
            <w:tcBorders>
              <w:left w:val="nil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5949" w:type="dxa"/>
            <w:gridSpan w:val="6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</w:tcBorders>
          </w:tcPr>
          <w:p w:rsidR="00121CF7" w:rsidRPr="00B043B4" w:rsidRDefault="00121CF7" w:rsidP="00F71964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5949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Predpokl</w:t>
            </w:r>
            <w:r>
              <w:rPr>
                <w:rFonts w:ascii="Times New Roman" w:hAnsi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</w:tcPr>
          <w:p w:rsidR="00121CF7" w:rsidRPr="00B043B4" w:rsidRDefault="00F71964" w:rsidP="002175CE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2175CE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  </w:t>
            </w:r>
            <w:r w:rsidR="00DB6C1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december </w:t>
            </w:r>
            <w:r w:rsidR="0047276D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2021</w:t>
            </w:r>
          </w:p>
        </w:tc>
      </w:tr>
      <w:tr w:rsidR="00121CF7" w:rsidRPr="00B043B4" w:rsidTr="00D2313B">
        <w:trPr>
          <w:trHeight w:val="320"/>
        </w:trPr>
        <w:tc>
          <w:tcPr>
            <w:tcW w:w="5949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spacing w:line="276" w:lineRule="auto"/>
              <w:ind w:left="142"/>
              <w:contextualSpacing/>
              <w:rPr>
                <w:rFonts w:ascii="Calibri" w:hAnsi="Calibri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Predpokladaný termín začiatku a ukončenia ZP**</w:t>
            </w:r>
            <w:r w:rsidRPr="00B043B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</w:tcPr>
          <w:p w:rsidR="00121CF7" w:rsidRPr="00B043B4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5949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</w:tcPr>
          <w:p w:rsidR="00121CF7" w:rsidRPr="00B043B4" w:rsidRDefault="00DB078E" w:rsidP="00C96506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 </w:t>
            </w:r>
            <w:r w:rsidR="00DB6C1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C9650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 . </w:t>
            </w:r>
            <w:r w:rsidR="00DB6C1A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január</w:t>
            </w:r>
            <w:r w:rsidR="00121CF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202</w:t>
            </w:r>
            <w:r w:rsidR="00C96506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2</w:t>
            </w: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left w:val="nil"/>
              <w:right w:val="nil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R="00121CF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</w:tcBorders>
            <w:shd w:val="clear" w:color="auto" w:fill="FFFFFF"/>
          </w:tcPr>
          <w:p w:rsidR="00121CF7" w:rsidRPr="00B043B4" w:rsidRDefault="00121CF7" w:rsidP="00121CF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21CF7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EA5407" w:rsidRDefault="00170E13" w:rsidP="00384C43">
            <w:pPr>
              <w:spacing w:line="236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súčasnosti sú </w:t>
            </w:r>
            <w:r w:rsidR="00DB6C1A" w:rsidRPr="00DB6C1A">
              <w:rPr>
                <w:rFonts w:ascii="Times New Roman" w:hAnsi="Times New Roman"/>
                <w:sz w:val="20"/>
                <w:szCs w:val="20"/>
                <w:lang w:eastAsia="sk-SK"/>
              </w:rPr>
              <w:t>vzťahy medzi Slovenskou republikou a Spojenými štátmi americkými v oblasti obrany založené na Memorande o porozumení z roku 1994.  Podmienky pôsobenia ozbrojených síl členských štátov NATO (vrátane ozbrojených síl USA) v Slovenskej republike sú upravené multilaterálnou Zmluvou medzi štátmi, ktoré sú zmluvnými stranami Severoatlantickej zmluvy vzťahujúcej sa na  status ich ozbrojených síl (NATO SOFA, oznámenie MZV SR č. 566/2004 Z. z.).  Jej ustanovenia z roku 1951 však v súčasnosti neposkytujú dostatočný právny rámec na zabezpečenie modernej vojenskej spolupráce medzi Slovenskou republikou</w:t>
            </w:r>
            <w:r w:rsidR="00DB6C1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Spojenými štátmi americkými. </w:t>
            </w:r>
            <w:r w:rsidR="00DB6C1A" w:rsidRPr="00384C4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 týmto úmyslom </w:t>
            </w:r>
            <w:r w:rsidR="00EA5407">
              <w:rPr>
                <w:rFonts w:ascii="Times New Roman" w:hAnsi="Times New Roman"/>
                <w:sz w:val="20"/>
                <w:szCs w:val="20"/>
                <w:lang w:eastAsia="sk-SK"/>
              </w:rPr>
              <w:t>začali rokovania o dohode medzi vládami</w:t>
            </w:r>
            <w:r w:rsidR="00EA5407" w:rsidRPr="00EA540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Slovenskej republiky a Spojených štátov amerických v roku 2018 so zapojením dotknutých subjektov štátnej správy Slovenskej republiky.</w:t>
            </w:r>
          </w:p>
          <w:p w:rsidR="00384C43" w:rsidRPr="00B043B4" w:rsidRDefault="00384C43" w:rsidP="00EA5407">
            <w:pPr>
              <w:spacing w:line="236" w:lineRule="auto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nil"/>
            </w:tcBorders>
            <w:shd w:val="clear" w:color="auto" w:fill="E2E2E2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121CF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121CF7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DB6C1A" w:rsidRDefault="00DB6C1A" w:rsidP="00384C43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Cieľom predkladaného materiálu j</w:t>
            </w:r>
            <w:r w:rsidRPr="00384C4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 </w:t>
            </w:r>
            <w:r w:rsidRPr="00DB6C1A">
              <w:rPr>
                <w:rFonts w:ascii="Times New Roman" w:hAnsi="Times New Roman"/>
                <w:sz w:val="20"/>
                <w:szCs w:val="20"/>
                <w:lang w:eastAsia="sk-SK"/>
              </w:rPr>
              <w:t>posilniť spoluprácu Slovenskej republiky a Spojených štátov amerických v oblasti obrany a v rámci Severoatlantickej aliancie a vytvoriť právny rámec pre rozšírené a prehĺbené partnerstvo, rozvoj obranných spôsobilostí, obranného plánovania a vojenského výcviku Ozbrojených síl Slovenskej republiky. Dohoda umožní pravidelné bilaterálne konzultácie o bezpečnostných hrozbách a výzvach a výmenu informácií a skúseností v oblasti strategickej obrany a bezpečnosti. Dohoda posilní bezpečnosť a obranyschopnosť Slovenskej republiky v rámci systému kolektívnej obrany Severoatlantickej aliancie.</w:t>
            </w:r>
          </w:p>
          <w:p w:rsidR="00DB6C1A" w:rsidRDefault="00DB6C1A" w:rsidP="00384C43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B6C1A">
              <w:rPr>
                <w:rFonts w:ascii="Times New Roman" w:hAnsi="Times New Roman"/>
                <w:sz w:val="20"/>
                <w:szCs w:val="20"/>
                <w:lang w:eastAsia="sk-SK"/>
              </w:rPr>
              <w:t>Uzatvorenie dohody umožní získanie nenávratnej finančnej podpory vlády Spojených štátov amerických na modernizáciu vojenskej infraštruktúry</w:t>
            </w:r>
            <w:r w:rsidR="00EA540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Slovenskej republiky</w:t>
            </w:r>
            <w:r w:rsidRPr="00DB6C1A">
              <w:rPr>
                <w:rFonts w:ascii="Times New Roman" w:hAnsi="Times New Roman"/>
                <w:sz w:val="20"/>
                <w:szCs w:val="20"/>
                <w:lang w:eastAsia="sk-SK"/>
              </w:rPr>
              <w:t>. Uza</w:t>
            </w:r>
            <w:r w:rsidR="00EA5407">
              <w:rPr>
                <w:rFonts w:ascii="Times New Roman" w:hAnsi="Times New Roman"/>
                <w:sz w:val="20"/>
                <w:szCs w:val="20"/>
                <w:lang w:eastAsia="sk-SK"/>
              </w:rPr>
              <w:t>vretie</w:t>
            </w:r>
            <w:r w:rsidRPr="00DB6C1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dohody posilní bezpečnosť a obranu Slovenskej republiky na úroveň našich najbližších spojencov v strednej a západnej Európe, ktoré už s vládou Spojených štátov amerických majú obdobné dohody uz</w:t>
            </w:r>
            <w:r w:rsidR="00EA5407">
              <w:rPr>
                <w:rFonts w:ascii="Times New Roman" w:hAnsi="Times New Roman"/>
                <w:sz w:val="20"/>
                <w:szCs w:val="20"/>
                <w:lang w:eastAsia="sk-SK"/>
              </w:rPr>
              <w:t>avreté</w:t>
            </w:r>
            <w:r w:rsidRPr="00DB6C1A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DB6C1A" w:rsidRDefault="00DB6C1A" w:rsidP="00384C43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84C43" w:rsidRDefault="00384C43" w:rsidP="00EA5407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84C4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 slovenskú stranu má </w:t>
            </w:r>
            <w:r w:rsidR="00DB6C1A">
              <w:rPr>
                <w:rFonts w:ascii="Times New Roman" w:hAnsi="Times New Roman"/>
                <w:sz w:val="20"/>
                <w:szCs w:val="20"/>
                <w:lang w:eastAsia="sk-SK"/>
              </w:rPr>
              <w:t>d</w:t>
            </w:r>
            <w:r w:rsidRPr="00384C4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ohoda osobitný význam aj </w:t>
            </w:r>
            <w:r w:rsidR="00EA5407" w:rsidRPr="00EA540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 kontexte potreby zefektívnenia spolupráce pri obsluhe vrtuľníkov </w:t>
            </w:r>
            <w:proofErr w:type="spellStart"/>
            <w:r w:rsidR="00EA5407" w:rsidRPr="00EA5407">
              <w:rPr>
                <w:rFonts w:ascii="Times New Roman" w:hAnsi="Times New Roman"/>
                <w:sz w:val="20"/>
                <w:szCs w:val="20"/>
                <w:lang w:eastAsia="sk-SK"/>
              </w:rPr>
              <w:t>BlackHawk</w:t>
            </w:r>
            <w:proofErr w:type="spellEnd"/>
            <w:r w:rsidR="00EA5407" w:rsidRPr="00EA540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UH-60 a v budúcnosti aj stíhacích lietadiel F-16, ako aj spoločných cvičení. </w:t>
            </w:r>
          </w:p>
          <w:p w:rsidR="00EA5407" w:rsidRPr="00121CF7" w:rsidRDefault="00EA5407" w:rsidP="00EA5407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nil"/>
            </w:tcBorders>
            <w:shd w:val="clear" w:color="auto" w:fill="E2E2E2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21CF7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F71964" w:rsidRDefault="00F71964" w:rsidP="00121C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Ministerstvo obrany SR</w:t>
            </w:r>
          </w:p>
          <w:p w:rsidR="00F71964" w:rsidRPr="00121CF7" w:rsidRDefault="00F71964" w:rsidP="00F71964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 zahraničných vecí a európskych záležitosti SR</w:t>
            </w:r>
          </w:p>
          <w:p w:rsidR="00121CF7" w:rsidRPr="00121CF7" w:rsidRDefault="00121CF7" w:rsidP="00121CF7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 práce, sociálnych vecí a rodiny SR</w:t>
            </w:r>
          </w:p>
          <w:p w:rsidR="00121CF7" w:rsidRPr="00121CF7" w:rsidRDefault="00121CF7" w:rsidP="00121CF7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 financií SR</w:t>
            </w:r>
          </w:p>
          <w:p w:rsidR="00121CF7" w:rsidRPr="00121CF7" w:rsidRDefault="00121CF7" w:rsidP="00121CF7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 xml:space="preserve">Ministerstvo </w:t>
            </w:r>
            <w:r w:rsidR="00F71964">
              <w:rPr>
                <w:rFonts w:ascii="Times New Roman" w:hAnsi="Times New Roman"/>
                <w:sz w:val="20"/>
              </w:rPr>
              <w:t xml:space="preserve">dopravy </w:t>
            </w:r>
            <w:r w:rsidR="00F71964" w:rsidRPr="00F71964">
              <w:rPr>
                <w:rFonts w:ascii="Times New Roman" w:hAnsi="Times New Roman"/>
                <w:sz w:val="20"/>
              </w:rPr>
              <w:t>a</w:t>
            </w:r>
            <w:r w:rsidR="00F71964">
              <w:rPr>
                <w:rFonts w:ascii="Times New Roman" w:hAnsi="Times New Roman"/>
                <w:sz w:val="20"/>
              </w:rPr>
              <w:t> </w:t>
            </w:r>
            <w:r w:rsidR="00F71964" w:rsidRPr="00F71964">
              <w:rPr>
                <w:rFonts w:ascii="Times New Roman" w:hAnsi="Times New Roman"/>
                <w:sz w:val="20"/>
              </w:rPr>
              <w:t>výstavby</w:t>
            </w:r>
            <w:r w:rsidR="00F71964">
              <w:rPr>
                <w:rFonts w:ascii="Times New Roman" w:hAnsi="Times New Roman"/>
                <w:sz w:val="20"/>
              </w:rPr>
              <w:t xml:space="preserve"> SR</w:t>
            </w:r>
          </w:p>
          <w:p w:rsidR="00121CF7" w:rsidRDefault="00121CF7" w:rsidP="00121CF7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Ministerstvo vnútra SR</w:t>
            </w:r>
          </w:p>
          <w:p w:rsidR="00F61AF2" w:rsidRDefault="00F61AF2" w:rsidP="00121C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Ministerstvo spravodlivosti SR </w:t>
            </w:r>
          </w:p>
          <w:p w:rsidR="00384C43" w:rsidRPr="00B043B4" w:rsidRDefault="00384C43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nil"/>
            </w:tcBorders>
            <w:shd w:val="clear" w:color="auto" w:fill="E2E2E2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lastRenderedPageBreak/>
              <w:t>Alternatívne riešenia</w:t>
            </w:r>
          </w:p>
        </w:tc>
      </w:tr>
      <w:tr w:rsidR="00121CF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121CF7" w:rsidRPr="00B043B4" w:rsidRDefault="00121CF7" w:rsidP="00121CF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21CF7" w:rsidRPr="00B043B4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21CF7" w:rsidRDefault="00121CF7" w:rsidP="00121CF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775D53" w:rsidRDefault="00775D53" w:rsidP="00121CF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F86BC9" w:rsidRDefault="00021F0A" w:rsidP="00F86BC9">
            <w:pPr>
              <w:jc w:val="both"/>
              <w:rPr>
                <w:rFonts w:ascii="Times New Roman" w:hAnsi="Times New Roman"/>
                <w:sz w:val="20"/>
              </w:rPr>
            </w:pPr>
            <w:r w:rsidRPr="00021F0A">
              <w:rPr>
                <w:rFonts w:ascii="Times New Roman" w:hAnsi="Times New Roman"/>
                <w:sz w:val="20"/>
              </w:rPr>
              <w:t>Alternatívne riešenia neboli zvažované</w:t>
            </w:r>
            <w:r w:rsidR="00DB6C1A">
              <w:rPr>
                <w:rFonts w:ascii="Times New Roman" w:hAnsi="Times New Roman"/>
                <w:sz w:val="20"/>
              </w:rPr>
              <w:t>, uz</w:t>
            </w:r>
            <w:r w:rsidR="00EA5407">
              <w:rPr>
                <w:rFonts w:ascii="Times New Roman" w:hAnsi="Times New Roman"/>
                <w:sz w:val="20"/>
              </w:rPr>
              <w:t>avretie</w:t>
            </w:r>
            <w:r w:rsidR="00DB6C1A">
              <w:rPr>
                <w:rFonts w:ascii="Times New Roman" w:hAnsi="Times New Roman"/>
                <w:sz w:val="20"/>
              </w:rPr>
              <w:t xml:space="preserve"> d</w:t>
            </w:r>
            <w:r>
              <w:rPr>
                <w:rFonts w:ascii="Times New Roman" w:hAnsi="Times New Roman"/>
                <w:sz w:val="20"/>
              </w:rPr>
              <w:t xml:space="preserve">ohody je v súlade s bezpečnostnými záujmami SR. Nulový variant by znamenal </w:t>
            </w:r>
            <w:r w:rsidR="00DB6C1A">
              <w:rPr>
                <w:rFonts w:ascii="Times New Roman" w:hAnsi="Times New Roman"/>
                <w:sz w:val="20"/>
              </w:rPr>
              <w:t>nepodpísať d</w:t>
            </w:r>
            <w:r w:rsidR="00DB078E">
              <w:rPr>
                <w:rFonts w:ascii="Times New Roman" w:hAnsi="Times New Roman"/>
                <w:sz w:val="20"/>
              </w:rPr>
              <w:t xml:space="preserve">ohodu. </w:t>
            </w:r>
            <w:r w:rsidR="00F86BC9" w:rsidRPr="00D50CA7">
              <w:rPr>
                <w:rFonts w:ascii="Times New Roman" w:hAnsi="Times New Roman"/>
                <w:sz w:val="20"/>
              </w:rPr>
              <w:t>V</w:t>
            </w:r>
            <w:r w:rsidR="00F86BC9">
              <w:rPr>
                <w:rFonts w:ascii="Times New Roman" w:hAnsi="Times New Roman"/>
                <w:sz w:val="20"/>
              </w:rPr>
              <w:t> takomto prípade sa</w:t>
            </w:r>
            <w:r w:rsidR="00F86BC9" w:rsidRPr="00D50CA7">
              <w:rPr>
                <w:rFonts w:ascii="Times New Roman" w:hAnsi="Times New Roman"/>
                <w:sz w:val="20"/>
              </w:rPr>
              <w:t xml:space="preserve"> modernizačné projekty</w:t>
            </w:r>
            <w:r w:rsidR="00F86BC9">
              <w:rPr>
                <w:rFonts w:ascii="Times New Roman" w:hAnsi="Times New Roman"/>
                <w:sz w:val="20"/>
              </w:rPr>
              <w:t xml:space="preserve"> vojenskej infraštruktúry</w:t>
            </w:r>
            <w:r w:rsidR="00F86BC9" w:rsidRPr="00D50CA7">
              <w:rPr>
                <w:rFonts w:ascii="Times New Roman" w:hAnsi="Times New Roman"/>
                <w:sz w:val="20"/>
              </w:rPr>
              <w:t xml:space="preserve"> nebudú v</w:t>
            </w:r>
            <w:r w:rsidR="00990F42">
              <w:rPr>
                <w:rFonts w:ascii="Times New Roman" w:hAnsi="Times New Roman"/>
                <w:sz w:val="20"/>
              </w:rPr>
              <w:t> </w:t>
            </w:r>
            <w:r w:rsidR="00F86BC9" w:rsidRPr="00D50CA7">
              <w:rPr>
                <w:rFonts w:ascii="Times New Roman" w:hAnsi="Times New Roman"/>
                <w:sz w:val="20"/>
              </w:rPr>
              <w:t>S</w:t>
            </w:r>
            <w:r w:rsidR="00990F42">
              <w:rPr>
                <w:rFonts w:ascii="Times New Roman" w:hAnsi="Times New Roman"/>
                <w:sz w:val="20"/>
              </w:rPr>
              <w:t>lovenskej republike</w:t>
            </w:r>
            <w:r w:rsidR="00F86BC9" w:rsidRPr="00D50CA7">
              <w:rPr>
                <w:rFonts w:ascii="Times New Roman" w:hAnsi="Times New Roman"/>
                <w:sz w:val="20"/>
              </w:rPr>
              <w:t xml:space="preserve"> realizovať</w:t>
            </w:r>
            <w:r w:rsidR="00F86B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vzhľadom na finančnú náročnosť takýchto projektov a limitov</w:t>
            </w:r>
            <w:r w:rsidR="00EA5407">
              <w:rPr>
                <w:rFonts w:ascii="Times New Roman" w:hAnsi="Times New Roman"/>
                <w:sz w:val="20"/>
              </w:rPr>
              <w:t>an</w:t>
            </w:r>
            <w:r>
              <w:rPr>
                <w:rFonts w:ascii="Times New Roman" w:hAnsi="Times New Roman"/>
                <w:sz w:val="20"/>
              </w:rPr>
              <w:t>é zdroje verejných financií</w:t>
            </w:r>
            <w:r w:rsidR="00F86BC9">
              <w:rPr>
                <w:rFonts w:ascii="Times New Roman" w:hAnsi="Times New Roman"/>
                <w:sz w:val="20"/>
              </w:rPr>
              <w:t xml:space="preserve">. </w:t>
            </w:r>
            <w:r w:rsidR="00F86BC9" w:rsidRPr="00D50CA7">
              <w:rPr>
                <w:rFonts w:ascii="Times New Roman" w:hAnsi="Times New Roman"/>
                <w:sz w:val="20"/>
              </w:rPr>
              <w:t>V prípade uz</w:t>
            </w:r>
            <w:r w:rsidR="00EA5407">
              <w:rPr>
                <w:rFonts w:ascii="Times New Roman" w:hAnsi="Times New Roman"/>
                <w:sz w:val="20"/>
              </w:rPr>
              <w:t>avretia</w:t>
            </w:r>
            <w:r w:rsidR="00F86BC9" w:rsidRPr="00D50CA7">
              <w:rPr>
                <w:rFonts w:ascii="Times New Roman" w:hAnsi="Times New Roman"/>
                <w:sz w:val="20"/>
              </w:rPr>
              <w:t xml:space="preserve"> dohody o obrannej spolupráci S</w:t>
            </w:r>
            <w:r w:rsidR="00990F42">
              <w:rPr>
                <w:rFonts w:ascii="Times New Roman" w:hAnsi="Times New Roman"/>
                <w:sz w:val="20"/>
              </w:rPr>
              <w:t xml:space="preserve">lovenská republika </w:t>
            </w:r>
            <w:r w:rsidR="00F86BC9" w:rsidRPr="00D50CA7">
              <w:rPr>
                <w:rFonts w:ascii="Times New Roman" w:hAnsi="Times New Roman"/>
                <w:sz w:val="20"/>
              </w:rPr>
              <w:t xml:space="preserve">získa modernú obrannú infraštruktúru. </w:t>
            </w:r>
            <w:r w:rsidR="00170E13">
              <w:rPr>
                <w:rFonts w:ascii="Times New Roman" w:hAnsi="Times New Roman"/>
                <w:sz w:val="20"/>
              </w:rPr>
              <w:t xml:space="preserve">Na základe dohody sa teda bude môcť uskutočniť </w:t>
            </w:r>
            <w:r w:rsidR="00F86BC9" w:rsidRPr="00D50CA7">
              <w:rPr>
                <w:rFonts w:ascii="Times New Roman" w:hAnsi="Times New Roman"/>
                <w:sz w:val="20"/>
              </w:rPr>
              <w:t>potrebná modernizácia</w:t>
            </w:r>
            <w:r w:rsidR="00170E13">
              <w:rPr>
                <w:rFonts w:ascii="Times New Roman" w:hAnsi="Times New Roman"/>
                <w:sz w:val="20"/>
              </w:rPr>
              <w:t xml:space="preserve">, a to bez dodatočného zaťaženia </w:t>
            </w:r>
            <w:r w:rsidR="00F86BC9" w:rsidRPr="00D50CA7">
              <w:rPr>
                <w:rFonts w:ascii="Times New Roman" w:hAnsi="Times New Roman"/>
                <w:sz w:val="20"/>
              </w:rPr>
              <w:t>verejn</w:t>
            </w:r>
            <w:r w:rsidR="00170E13">
              <w:rPr>
                <w:rFonts w:ascii="Times New Roman" w:hAnsi="Times New Roman"/>
                <w:sz w:val="20"/>
              </w:rPr>
              <w:t>ých</w:t>
            </w:r>
            <w:r w:rsidR="00F86BC9" w:rsidRPr="00D50CA7">
              <w:rPr>
                <w:rFonts w:ascii="Times New Roman" w:hAnsi="Times New Roman"/>
                <w:sz w:val="20"/>
              </w:rPr>
              <w:t xml:space="preserve"> financi</w:t>
            </w:r>
            <w:r w:rsidR="00170E13">
              <w:rPr>
                <w:rFonts w:ascii="Times New Roman" w:hAnsi="Times New Roman"/>
                <w:sz w:val="20"/>
              </w:rPr>
              <w:t>í</w:t>
            </w:r>
            <w:r w:rsidR="00F86BC9" w:rsidRPr="00D50CA7">
              <w:rPr>
                <w:rFonts w:ascii="Times New Roman" w:hAnsi="Times New Roman"/>
                <w:sz w:val="20"/>
              </w:rPr>
              <w:t>.</w:t>
            </w:r>
          </w:p>
          <w:p w:rsidR="007E2405" w:rsidRPr="00121CF7" w:rsidRDefault="007E2405" w:rsidP="00775D53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121CF7" w:rsidRPr="00B043B4" w:rsidTr="000800FC">
        <w:tc>
          <w:tcPr>
            <w:tcW w:w="6203" w:type="dxa"/>
            <w:gridSpan w:val="7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21CF7" w:rsidRPr="00B043B4" w:rsidRDefault="00F71964" w:rsidP="00F719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="00121CF7"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121CF7" w:rsidRPr="00B043B4" w:rsidRDefault="00F71964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  <w:r w:rsidR="00121CF7"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top w:val="nil"/>
            </w:tcBorders>
            <w:shd w:val="clear" w:color="auto" w:fill="FFFFFF"/>
          </w:tcPr>
          <w:p w:rsidR="00121CF7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990F42" w:rsidRPr="00B043B4" w:rsidRDefault="00990F42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21CF7" w:rsidRDefault="00990F42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Podmienky zdaňovania Spojených štátov amerických</w:t>
            </w:r>
            <w:r w:rsidR="00F61AF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ďalšie podmienky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pri vykonávaní činností súvisiacich s implementáciou dohody</w:t>
            </w:r>
            <w:r w:rsidR="00F61AF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akými sú registrácia a technický stav vozidiel, mechanizmy spolupráce pri vykonávaní trestnoprávnej jurisdikcie, podmienky využívania vojenských zariadení a priestorov atď. </w:t>
            </w:r>
          </w:p>
          <w:p w:rsidR="00990F42" w:rsidRPr="00B043B4" w:rsidRDefault="00990F42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121CF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121CF7" w:rsidRPr="00B043B4" w:rsidRDefault="00121CF7" w:rsidP="00121CF7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21CF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1CF7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21CF7" w:rsidRDefault="00121CF7" w:rsidP="00121CF7">
            <w:pPr>
              <w:rPr>
                <w:rFonts w:ascii="Times New Roman" w:hAnsi="Times New Roman"/>
                <w:sz w:val="20"/>
              </w:rPr>
            </w:pPr>
            <w:r w:rsidRPr="00121CF7">
              <w:rPr>
                <w:rFonts w:ascii="Times New Roman" w:hAnsi="Times New Roman"/>
                <w:sz w:val="20"/>
              </w:rPr>
              <w:t>Nedochádza k transpozícii práva EÚ.</w:t>
            </w:r>
          </w:p>
          <w:p w:rsidR="00EA5407" w:rsidRPr="00121CF7" w:rsidRDefault="00EA540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Preskúmanie účelnosti</w:t>
            </w: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top w:val="single" w:sz="4" w:space="0" w:color="FFFFFF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21CF7" w:rsidRPr="00B043B4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21CF7" w:rsidRDefault="00121CF7" w:rsidP="00121CF7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21CF7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21CF7">
              <w:rPr>
                <w:rFonts w:ascii="Times New Roman" w:hAnsi="Times New Roman"/>
                <w:sz w:val="20"/>
                <w:szCs w:val="20"/>
                <w:lang w:eastAsia="sk-SK"/>
              </w:rPr>
              <w:t>Účinnosť a účelnosť predloženej zmluvy sa bude preskúmavať priebežne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EA5407" w:rsidRPr="00121CF7" w:rsidRDefault="00EA540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21CF7" w:rsidRPr="00B043B4" w:rsidTr="000800FC">
        <w:tc>
          <w:tcPr>
            <w:tcW w:w="9180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121CF7" w:rsidRPr="00B043B4" w:rsidRDefault="00121CF7" w:rsidP="00121CF7">
            <w:pPr>
              <w:ind w:left="142" w:hanging="142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121CF7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121CF7" w:rsidRPr="00B043B4" w:rsidTr="00BA2BF4">
        <w:trPr>
          <w:trHeight w:val="283"/>
        </w:trPr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121CF7" w:rsidRPr="00B043B4" w:rsidRDefault="00121CF7" w:rsidP="00121CF7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Vybrané vplyvy  materiálu</w:t>
            </w:r>
          </w:p>
        </w:tc>
      </w:tr>
      <w:tr w:rsidR="00121CF7" w:rsidRPr="00B043B4" w:rsidTr="009431E3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121CF7" w:rsidRPr="00775D53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  <w:right w:val="nil"/>
            </w:tcBorders>
          </w:tcPr>
          <w:p w:rsidR="00121CF7" w:rsidRPr="00775D53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775D53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21CF7" w:rsidRPr="00775D53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21CF7" w:rsidRPr="00775D53" w:rsidRDefault="00F71964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775D5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bottom w:val="dotted" w:sz="4" w:space="0" w:color="auto"/>
              <w:right w:val="nil"/>
            </w:tcBorders>
          </w:tcPr>
          <w:p w:rsidR="00121CF7" w:rsidRPr="00775D53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21CF7" w:rsidRPr="00775D53" w:rsidRDefault="00F71964" w:rsidP="00121CF7">
            <w:pPr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775D53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  <w:bottom w:val="dotted" w:sz="4" w:space="0" w:color="auto"/>
            </w:tcBorders>
          </w:tcPr>
          <w:p w:rsidR="00121CF7" w:rsidRPr="00775D53" w:rsidRDefault="00121CF7" w:rsidP="00121CF7">
            <w:pPr>
              <w:ind w:left="3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21CF7" w:rsidRPr="00B043B4" w:rsidTr="009431E3">
        <w:tc>
          <w:tcPr>
            <w:tcW w:w="3812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121CF7" w:rsidRPr="00775D53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121CF7" w:rsidRPr="00775D53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121CF7" w:rsidRPr="00775D53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right w:val="nil"/>
            </w:tcBorders>
          </w:tcPr>
          <w:p w:rsidR="00121CF7" w:rsidRPr="00775D53" w:rsidRDefault="00F71964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121CF7" w:rsidRPr="00775D53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121CF7" w:rsidRPr="00775D53" w:rsidRDefault="00121CF7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right w:val="nil"/>
            </w:tcBorders>
          </w:tcPr>
          <w:p w:rsidR="00121CF7" w:rsidRPr="00775D53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121CF7" w:rsidRPr="00775D53" w:rsidRDefault="00F319D9" w:rsidP="00121CF7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</w:tcBorders>
          </w:tcPr>
          <w:p w:rsidR="00121CF7" w:rsidRPr="00775D53" w:rsidRDefault="00121CF7" w:rsidP="00121CF7">
            <w:pPr>
              <w:ind w:left="3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D53">
              <w:rPr>
                <w:rFonts w:ascii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121CF7" w:rsidRPr="00B043B4" w:rsidTr="009431E3">
        <w:tc>
          <w:tcPr>
            <w:tcW w:w="3812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73EE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  <w:bottom w:val="dotted" w:sz="4" w:space="0" w:color="auto"/>
            </w:tcBorders>
          </w:tcPr>
          <w:p w:rsidR="00121CF7" w:rsidRPr="00B043B4" w:rsidRDefault="00121CF7" w:rsidP="00121CF7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21CF7" w:rsidRPr="00B043B4" w:rsidTr="009431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z toho vplyvy na MSP</w:t>
            </w:r>
          </w:p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ind w:right="-108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21CF7" w:rsidRPr="00B043B4" w:rsidRDefault="00121CF7" w:rsidP="00121CF7">
            <w:pPr>
              <w:ind w:left="5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121CF7" w:rsidRPr="00B043B4" w:rsidTr="000800FC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121CF7" w:rsidRDefault="00121CF7" w:rsidP="00121CF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</w:p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 xml:space="preserve">    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lastRenderedPageBreak/>
              <w:t>☐</w:t>
            </w:r>
          </w:p>
        </w:tc>
        <w:tc>
          <w:tcPr>
            <w:tcW w:w="1596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:rsidR="00121CF7" w:rsidRPr="00B043B4" w:rsidRDefault="00121CF7" w:rsidP="00121CF7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right w:val="nil"/>
            </w:tcBorders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</w:tcBorders>
          </w:tcPr>
          <w:p w:rsidR="00121CF7" w:rsidRPr="00B043B4" w:rsidRDefault="00121CF7" w:rsidP="00121CF7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21CF7" w:rsidRPr="00B043B4" w:rsidTr="009431E3"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 w:rsidR="00121CF7" w:rsidRPr="00B043B4" w:rsidRDefault="00150FFE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73EE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121CF7" w:rsidRPr="00B043B4" w:rsidRDefault="00121CF7" w:rsidP="00121CF7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21CF7" w:rsidRPr="00B043B4" w:rsidTr="009431E3">
        <w:tc>
          <w:tcPr>
            <w:tcW w:w="3812" w:type="dxa"/>
            <w:shd w:val="clear" w:color="auto" w:fill="E2E2E2"/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 w:rsidR="00121CF7" w:rsidRPr="00B043B4" w:rsidRDefault="00150FFE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73EE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121CF7" w:rsidRPr="00B043B4" w:rsidRDefault="00121CF7" w:rsidP="00121CF7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21CF7" w:rsidRPr="00B043B4" w:rsidTr="009431E3">
        <w:tc>
          <w:tcPr>
            <w:tcW w:w="3812" w:type="dxa"/>
            <w:shd w:val="clear" w:color="auto" w:fill="E2E2E2"/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 w:rsidR="00121CF7" w:rsidRPr="00B043B4" w:rsidRDefault="00150FFE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73EE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121CF7" w:rsidRPr="00B043B4" w:rsidRDefault="00121CF7" w:rsidP="00121C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121CF7" w:rsidRPr="00B043B4" w:rsidRDefault="00121CF7" w:rsidP="00121CF7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9431E3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150FFE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73EE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</w:tcBorders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A2BF4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150FFE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73EE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BA2BF4"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>rodinu</w:t>
            </w:r>
          </w:p>
        </w:tc>
        <w:tc>
          <w:tcPr>
            <w:tcW w:w="541" w:type="dxa"/>
            <w:tcBorders>
              <w:right w:val="nil"/>
            </w:tcBorders>
          </w:tcPr>
          <w:p w:rsidR="00A340BB" w:rsidRPr="00B043B4" w:rsidRDefault="00A340BB" w:rsidP="00AA59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:rsidR="00A340BB" w:rsidRPr="00B043B4" w:rsidRDefault="00A340BB" w:rsidP="00AA592B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A340BB" w:rsidRPr="00B043B4" w:rsidRDefault="00150FFE" w:rsidP="00AA59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A73EE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340BB" w:rsidRPr="00B043B4" w:rsidRDefault="00A340BB" w:rsidP="00AA592B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:rsidR="00A340BB" w:rsidRPr="00B043B4" w:rsidRDefault="00A340BB" w:rsidP="00AA59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Segoe UI Symbol" w:hAnsi="Segoe UI Symbol" w:cs="Segoe UI Symbol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A340BB" w:rsidRPr="00B043B4" w:rsidRDefault="00A340BB" w:rsidP="00AA592B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hAnsi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/>
            </w:tcBorders>
          </w:tcPr>
          <w:p w:rsidR="001B23B7" w:rsidRDefault="001B23B7" w:rsidP="000800F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150FFE" w:rsidRDefault="00150FFE" w:rsidP="000800F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A5407" w:rsidRDefault="00397ECA" w:rsidP="00EA5407">
            <w:pPr>
              <w:jc w:val="both"/>
              <w:rPr>
                <w:rFonts w:ascii="Times New Roman" w:hAnsi="Times New Roman"/>
                <w:sz w:val="20"/>
              </w:rPr>
            </w:pPr>
            <w:r w:rsidRPr="00150FFE">
              <w:rPr>
                <w:rFonts w:ascii="Times New Roman" w:hAnsi="Times New Roman"/>
                <w:sz w:val="20"/>
              </w:rPr>
              <w:t xml:space="preserve">Materiál nemá svojím charakterom priamy vplyv na </w:t>
            </w:r>
            <w:r>
              <w:rPr>
                <w:rFonts w:ascii="Times New Roman" w:hAnsi="Times New Roman"/>
                <w:sz w:val="20"/>
              </w:rPr>
              <w:t xml:space="preserve">rozpočet verejnej správy, </w:t>
            </w:r>
            <w:r w:rsidRPr="00150FFE">
              <w:rPr>
                <w:rFonts w:ascii="Times New Roman" w:hAnsi="Times New Roman"/>
                <w:sz w:val="20"/>
              </w:rPr>
              <w:t xml:space="preserve">podnikateľské prostredie, </w:t>
            </w:r>
            <w:r>
              <w:rPr>
                <w:rFonts w:ascii="Times New Roman" w:hAnsi="Times New Roman"/>
                <w:sz w:val="20"/>
              </w:rPr>
              <w:t>sociálne vplyvy, životné prostredie, informatizáciu spoločnosti, služby verejnej správy pre občana, ani manželstvo, rodičovstvo a rodinu</w:t>
            </w:r>
            <w:r w:rsidRPr="00150FFE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B078E" w:rsidRPr="00DB078E">
              <w:rPr>
                <w:rFonts w:ascii="Times New Roman" w:hAnsi="Times New Roman"/>
                <w:sz w:val="20"/>
              </w:rPr>
              <w:t>Dohoda umožní financovanie modernizácie vojenskej infraštruktúry v</w:t>
            </w:r>
            <w:r w:rsidR="00990F42">
              <w:rPr>
                <w:rFonts w:ascii="Times New Roman" w:hAnsi="Times New Roman"/>
                <w:sz w:val="20"/>
              </w:rPr>
              <w:t> </w:t>
            </w:r>
            <w:r w:rsidR="00DB078E" w:rsidRPr="00DB078E">
              <w:rPr>
                <w:rFonts w:ascii="Times New Roman" w:hAnsi="Times New Roman"/>
                <w:sz w:val="20"/>
              </w:rPr>
              <w:t>S</w:t>
            </w:r>
            <w:r w:rsidR="00990F42">
              <w:rPr>
                <w:rFonts w:ascii="Times New Roman" w:hAnsi="Times New Roman"/>
                <w:sz w:val="20"/>
              </w:rPr>
              <w:t>lovenskej republike</w:t>
            </w:r>
            <w:r w:rsidR="00DB078E" w:rsidRPr="00DB078E">
              <w:rPr>
                <w:rFonts w:ascii="Times New Roman" w:hAnsi="Times New Roman"/>
                <w:sz w:val="20"/>
              </w:rPr>
              <w:t xml:space="preserve"> </w:t>
            </w:r>
            <w:r w:rsidR="00EA5407">
              <w:rPr>
                <w:rFonts w:ascii="Times New Roman" w:hAnsi="Times New Roman"/>
                <w:sz w:val="20"/>
              </w:rPr>
              <w:t>v</w:t>
            </w:r>
            <w:r w:rsidR="00EA5407" w:rsidRPr="00DB078E">
              <w:rPr>
                <w:rFonts w:ascii="Times New Roman" w:hAnsi="Times New Roman"/>
                <w:sz w:val="20"/>
              </w:rPr>
              <w:t xml:space="preserve"> súlade s prevádzkovými a</w:t>
            </w:r>
            <w:r w:rsidR="00EA5407">
              <w:rPr>
                <w:rFonts w:ascii="Times New Roman" w:hAnsi="Times New Roman"/>
                <w:sz w:val="20"/>
              </w:rPr>
              <w:t xml:space="preserve"> bezpečnostnými štandardmi NATO </w:t>
            </w:r>
            <w:r w:rsidR="00DB078E" w:rsidRPr="00DB078E">
              <w:rPr>
                <w:rFonts w:ascii="Times New Roman" w:hAnsi="Times New Roman"/>
                <w:sz w:val="20"/>
              </w:rPr>
              <w:t xml:space="preserve">s využitím </w:t>
            </w:r>
            <w:r w:rsidR="00EA5407">
              <w:rPr>
                <w:rFonts w:ascii="Times New Roman" w:hAnsi="Times New Roman"/>
                <w:sz w:val="20"/>
              </w:rPr>
              <w:t xml:space="preserve">nenávratných </w:t>
            </w:r>
            <w:r w:rsidR="00DB078E" w:rsidRPr="00DB078E">
              <w:rPr>
                <w:rFonts w:ascii="Times New Roman" w:hAnsi="Times New Roman"/>
                <w:sz w:val="20"/>
              </w:rPr>
              <w:t xml:space="preserve">finančných prostriedkov </w:t>
            </w:r>
            <w:r w:rsidR="00EA5407">
              <w:rPr>
                <w:rFonts w:ascii="Times New Roman" w:hAnsi="Times New Roman"/>
                <w:sz w:val="20"/>
              </w:rPr>
              <w:t>Spojených štátov amerických.</w:t>
            </w:r>
          </w:p>
          <w:p w:rsidR="00EA5407" w:rsidRPr="00DB078E" w:rsidRDefault="00EA5407" w:rsidP="00DB078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DB078E" w:rsidRPr="00DB078E" w:rsidRDefault="00DB078E" w:rsidP="00DB078E">
            <w:pPr>
              <w:jc w:val="both"/>
              <w:rPr>
                <w:rFonts w:ascii="Times New Roman" w:hAnsi="Times New Roman"/>
                <w:sz w:val="20"/>
              </w:rPr>
            </w:pPr>
            <w:r w:rsidRPr="00DB078E">
              <w:rPr>
                <w:rFonts w:ascii="Times New Roman" w:hAnsi="Times New Roman"/>
                <w:sz w:val="20"/>
              </w:rPr>
              <w:t xml:space="preserve">V súčasnosti sú identifikované štyri projekty  modernizácie vojenskej infraštruktúry v Slovenskej republike, na ktoré vláda  </w:t>
            </w:r>
            <w:r w:rsidR="00EA5407">
              <w:rPr>
                <w:rFonts w:ascii="Times New Roman" w:hAnsi="Times New Roman"/>
                <w:sz w:val="20"/>
              </w:rPr>
              <w:t xml:space="preserve">Spojených štátov amerických </w:t>
            </w:r>
            <w:r w:rsidRPr="00DB078E">
              <w:rPr>
                <w:rFonts w:ascii="Times New Roman" w:hAnsi="Times New Roman"/>
                <w:sz w:val="20"/>
              </w:rPr>
              <w:t xml:space="preserve">môže použiť konkrétne finančné prostriedky v rámci </w:t>
            </w:r>
            <w:r w:rsidR="00021F0A">
              <w:rPr>
                <w:rFonts w:ascii="Times New Roman" w:hAnsi="Times New Roman"/>
                <w:sz w:val="20"/>
              </w:rPr>
              <w:t xml:space="preserve">programu </w:t>
            </w:r>
            <w:proofErr w:type="spellStart"/>
            <w:r w:rsidR="00021F0A">
              <w:rPr>
                <w:rFonts w:ascii="Times New Roman" w:hAnsi="Times New Roman"/>
                <w:sz w:val="20"/>
              </w:rPr>
              <w:t>European</w:t>
            </w:r>
            <w:proofErr w:type="spellEnd"/>
            <w:r w:rsidR="00021F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21F0A">
              <w:rPr>
                <w:rFonts w:ascii="Times New Roman" w:hAnsi="Times New Roman"/>
                <w:sz w:val="20"/>
              </w:rPr>
              <w:t>Dete</w:t>
            </w:r>
            <w:r w:rsidR="002A7D23">
              <w:rPr>
                <w:rFonts w:ascii="Times New Roman" w:hAnsi="Times New Roman"/>
                <w:sz w:val="20"/>
              </w:rPr>
              <w:t>r</w:t>
            </w:r>
            <w:r w:rsidR="00021F0A">
              <w:rPr>
                <w:rFonts w:ascii="Times New Roman" w:hAnsi="Times New Roman"/>
                <w:sz w:val="20"/>
              </w:rPr>
              <w:t>rence</w:t>
            </w:r>
            <w:proofErr w:type="spellEnd"/>
            <w:r w:rsidR="00021F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21F0A">
              <w:rPr>
                <w:rFonts w:ascii="Times New Roman" w:hAnsi="Times New Roman"/>
                <w:sz w:val="20"/>
              </w:rPr>
              <w:t>Initiative</w:t>
            </w:r>
            <w:proofErr w:type="spellEnd"/>
            <w:r w:rsidR="00021F0A">
              <w:rPr>
                <w:rFonts w:ascii="Times New Roman" w:hAnsi="Times New Roman"/>
                <w:sz w:val="20"/>
              </w:rPr>
              <w:t xml:space="preserve"> (ďalej ako „EDI“)</w:t>
            </w:r>
            <w:r w:rsidRPr="00DB078E">
              <w:rPr>
                <w:rFonts w:ascii="Times New Roman" w:hAnsi="Times New Roman"/>
                <w:sz w:val="20"/>
              </w:rPr>
              <w:t>. USA v súčasnosti plánujú na modernizáciu infraštruktúry v</w:t>
            </w:r>
            <w:r w:rsidR="00EA5407">
              <w:rPr>
                <w:rFonts w:ascii="Times New Roman" w:hAnsi="Times New Roman"/>
                <w:sz w:val="20"/>
              </w:rPr>
              <w:t> </w:t>
            </w:r>
            <w:r w:rsidR="00EA5407" w:rsidRPr="00DB078E">
              <w:rPr>
                <w:rFonts w:ascii="Times New Roman" w:hAnsi="Times New Roman"/>
                <w:sz w:val="20"/>
              </w:rPr>
              <w:t>S</w:t>
            </w:r>
            <w:r w:rsidR="00EA5407">
              <w:rPr>
                <w:rFonts w:ascii="Times New Roman" w:hAnsi="Times New Roman"/>
                <w:sz w:val="20"/>
              </w:rPr>
              <w:t xml:space="preserve">lovenskej republike </w:t>
            </w:r>
            <w:r w:rsidRPr="00DB078E">
              <w:rPr>
                <w:rFonts w:ascii="Times New Roman" w:hAnsi="Times New Roman"/>
                <w:sz w:val="20"/>
              </w:rPr>
              <w:t xml:space="preserve">vynaložiť </w:t>
            </w:r>
            <w:r w:rsidR="00021F0A">
              <w:rPr>
                <w:rFonts w:ascii="Times New Roman" w:hAnsi="Times New Roman"/>
                <w:sz w:val="20"/>
              </w:rPr>
              <w:t>viac ako</w:t>
            </w:r>
            <w:r w:rsidR="00990F42">
              <w:rPr>
                <w:rFonts w:ascii="Times New Roman" w:hAnsi="Times New Roman"/>
                <w:sz w:val="20"/>
              </w:rPr>
              <w:t xml:space="preserve"> 100 mil. USD.</w:t>
            </w:r>
            <w:r w:rsidRPr="00DB078E">
              <w:rPr>
                <w:rFonts w:ascii="Times New Roman" w:hAnsi="Times New Roman"/>
                <w:sz w:val="20"/>
              </w:rPr>
              <w:t xml:space="preserve"> </w:t>
            </w:r>
            <w:r w:rsidR="00990F42">
              <w:rPr>
                <w:rFonts w:ascii="Times New Roman" w:hAnsi="Times New Roman"/>
                <w:sz w:val="20"/>
              </w:rPr>
              <w:t>R</w:t>
            </w:r>
            <w:r w:rsidRPr="00DB078E">
              <w:rPr>
                <w:rFonts w:ascii="Times New Roman" w:hAnsi="Times New Roman"/>
                <w:sz w:val="20"/>
              </w:rPr>
              <w:t>ozpočtové pravidlá</w:t>
            </w:r>
            <w:r w:rsidR="00990F42">
              <w:rPr>
                <w:rFonts w:ascii="Times New Roman" w:hAnsi="Times New Roman"/>
                <w:sz w:val="20"/>
              </w:rPr>
              <w:t xml:space="preserve"> Spojených štátov amerických </w:t>
            </w:r>
            <w:r w:rsidRPr="00DB078E">
              <w:rPr>
                <w:rFonts w:ascii="Times New Roman" w:hAnsi="Times New Roman"/>
                <w:sz w:val="20"/>
              </w:rPr>
              <w:t>umožňujú alokované zdroje využiť počas 5 rokov nasledujúcich po ich schválení Kongresom. Finančné prostriedky, vyčlenené pre tri modernizačné projekty z roku 2018 (1xSliač, 2xMalacky), je potrebné začať čerpať najneskôr do 30. septembra 2022.</w:t>
            </w:r>
            <w:r w:rsidR="00DB4814">
              <w:rPr>
                <w:rFonts w:ascii="Times New Roman" w:hAnsi="Times New Roman"/>
                <w:sz w:val="20"/>
              </w:rPr>
              <w:t xml:space="preserve"> </w:t>
            </w:r>
            <w:r w:rsidR="00990F42">
              <w:rPr>
                <w:rFonts w:ascii="Times New Roman" w:hAnsi="Times New Roman"/>
                <w:sz w:val="20"/>
              </w:rPr>
              <w:t>F</w:t>
            </w:r>
            <w:r w:rsidRPr="00DB078E">
              <w:rPr>
                <w:rFonts w:ascii="Times New Roman" w:hAnsi="Times New Roman"/>
                <w:sz w:val="20"/>
              </w:rPr>
              <w:t>inančné prostriedky, vyčlenené pre štvrtý modernizačný projekt (Malacky), sú dostupné do 30. septembra 2023.</w:t>
            </w:r>
            <w:r w:rsidR="002175CE">
              <w:rPr>
                <w:rFonts w:ascii="Times New Roman" w:hAnsi="Times New Roman"/>
                <w:sz w:val="20"/>
              </w:rPr>
              <w:t xml:space="preserve"> </w:t>
            </w:r>
          </w:p>
          <w:p w:rsidR="00DB078E" w:rsidRDefault="00DB078E" w:rsidP="00DB078E">
            <w:pPr>
              <w:jc w:val="both"/>
              <w:rPr>
                <w:rFonts w:ascii="Times New Roman" w:hAnsi="Times New Roman"/>
                <w:sz w:val="20"/>
              </w:rPr>
            </w:pPr>
            <w:r w:rsidRPr="00DB078E">
              <w:rPr>
                <w:rFonts w:ascii="Times New Roman" w:hAnsi="Times New Roman"/>
                <w:sz w:val="20"/>
              </w:rPr>
              <w:t>V budúcnosti by S</w:t>
            </w:r>
            <w:r w:rsidR="00990F42">
              <w:rPr>
                <w:rFonts w:ascii="Times New Roman" w:hAnsi="Times New Roman"/>
                <w:sz w:val="20"/>
              </w:rPr>
              <w:t>lovenská republika</w:t>
            </w:r>
            <w:r w:rsidRPr="00DB078E">
              <w:rPr>
                <w:rFonts w:ascii="Times New Roman" w:hAnsi="Times New Roman"/>
                <w:sz w:val="20"/>
              </w:rPr>
              <w:t xml:space="preserve"> mohla využiť finančné prostriedky </w:t>
            </w:r>
            <w:r w:rsidR="00990F42">
              <w:rPr>
                <w:rFonts w:ascii="Times New Roman" w:hAnsi="Times New Roman"/>
                <w:sz w:val="20"/>
              </w:rPr>
              <w:t>Spojených štátov amerických</w:t>
            </w:r>
            <w:r w:rsidRPr="00DB078E">
              <w:rPr>
                <w:rFonts w:ascii="Times New Roman" w:hAnsi="Times New Roman"/>
                <w:sz w:val="20"/>
              </w:rPr>
              <w:t xml:space="preserve"> aj na ďalšie </w:t>
            </w:r>
            <w:r w:rsidR="00EA5407">
              <w:rPr>
                <w:rFonts w:ascii="Times New Roman" w:hAnsi="Times New Roman"/>
                <w:sz w:val="20"/>
              </w:rPr>
              <w:t>modernizačné projekty</w:t>
            </w:r>
            <w:r w:rsidRPr="00DB078E">
              <w:rPr>
                <w:rFonts w:ascii="Times New Roman" w:hAnsi="Times New Roman"/>
                <w:sz w:val="20"/>
              </w:rPr>
              <w:t xml:space="preserve">, </w:t>
            </w:r>
            <w:r w:rsidR="00990F42">
              <w:rPr>
                <w:rFonts w:ascii="Times New Roman" w:hAnsi="Times New Roman"/>
                <w:sz w:val="20"/>
              </w:rPr>
              <w:t>Spojené štáty</w:t>
            </w:r>
            <w:r w:rsidR="00021F0A">
              <w:rPr>
                <w:rFonts w:ascii="Times New Roman" w:hAnsi="Times New Roman"/>
                <w:sz w:val="20"/>
              </w:rPr>
              <w:t xml:space="preserve"> </w:t>
            </w:r>
            <w:r w:rsidRPr="00DB078E">
              <w:rPr>
                <w:rFonts w:ascii="Times New Roman" w:hAnsi="Times New Roman"/>
                <w:sz w:val="20"/>
              </w:rPr>
              <w:t>ponúka</w:t>
            </w:r>
            <w:r w:rsidR="00021F0A">
              <w:rPr>
                <w:rFonts w:ascii="Times New Roman" w:hAnsi="Times New Roman"/>
                <w:sz w:val="20"/>
              </w:rPr>
              <w:t xml:space="preserve">jú </w:t>
            </w:r>
            <w:r w:rsidRPr="00DB078E">
              <w:rPr>
                <w:rFonts w:ascii="Times New Roman" w:hAnsi="Times New Roman"/>
                <w:sz w:val="20"/>
              </w:rPr>
              <w:t>krajinám v Európe každoročne možnosť dohodnúť projekty</w:t>
            </w:r>
            <w:r w:rsidR="00021F0A">
              <w:rPr>
                <w:rFonts w:ascii="Times New Roman" w:hAnsi="Times New Roman"/>
                <w:sz w:val="20"/>
              </w:rPr>
              <w:t xml:space="preserve"> v rámci EDI</w:t>
            </w:r>
            <w:r w:rsidRPr="00DB078E">
              <w:rPr>
                <w:rFonts w:ascii="Times New Roman" w:hAnsi="Times New Roman"/>
                <w:sz w:val="20"/>
              </w:rPr>
              <w:t xml:space="preserve"> na modernizáciu vojenskej infraštruktúry. Pre S</w:t>
            </w:r>
            <w:r w:rsidR="00990F42">
              <w:rPr>
                <w:rFonts w:ascii="Times New Roman" w:hAnsi="Times New Roman"/>
                <w:sz w:val="20"/>
              </w:rPr>
              <w:t xml:space="preserve">lovenskú republiku </w:t>
            </w:r>
            <w:r w:rsidRPr="00DB078E">
              <w:rPr>
                <w:rFonts w:ascii="Times New Roman" w:hAnsi="Times New Roman"/>
                <w:sz w:val="20"/>
              </w:rPr>
              <w:t>sa tak otvára možnosť významne podporiť vlastné</w:t>
            </w:r>
            <w:r w:rsidR="00021F0A">
              <w:rPr>
                <w:rFonts w:ascii="Times New Roman" w:hAnsi="Times New Roman"/>
                <w:sz w:val="20"/>
              </w:rPr>
              <w:t xml:space="preserve"> obranné</w:t>
            </w:r>
            <w:r w:rsidRPr="00DB078E">
              <w:rPr>
                <w:rFonts w:ascii="Times New Roman" w:hAnsi="Times New Roman"/>
                <w:sz w:val="20"/>
              </w:rPr>
              <w:t xml:space="preserve"> snaženie o modernizáciu zastaranej vojenskej infraštruktúry. Postupne je možné rozvíjať nielen infraštruktúru pre potreby letectva, ale aj modernizovať sklady (aj muničné), výcvikové priestory, železničné prepojenia a podobné finančne náročné projekty, inak hradené zo štátneho rozpočtu S</w:t>
            </w:r>
            <w:r w:rsidR="00990F42">
              <w:rPr>
                <w:rFonts w:ascii="Times New Roman" w:hAnsi="Times New Roman"/>
                <w:sz w:val="20"/>
              </w:rPr>
              <w:t>lovenskej republiky</w:t>
            </w:r>
            <w:r w:rsidRPr="00DB078E">
              <w:rPr>
                <w:rFonts w:ascii="Times New Roman" w:hAnsi="Times New Roman"/>
                <w:sz w:val="20"/>
              </w:rPr>
              <w:t>.</w:t>
            </w:r>
          </w:p>
          <w:p w:rsidR="00DB078E" w:rsidRDefault="00DB078E" w:rsidP="00150FF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C96506" w:rsidRDefault="00990F42" w:rsidP="00D50CA7">
            <w:pPr>
              <w:jc w:val="both"/>
              <w:rPr>
                <w:rFonts w:ascii="Times New Roman" w:hAnsi="Times New Roman"/>
                <w:sz w:val="20"/>
              </w:rPr>
            </w:pPr>
            <w:r w:rsidRPr="00990F42">
              <w:rPr>
                <w:rFonts w:ascii="Times New Roman" w:hAnsi="Times New Roman"/>
                <w:sz w:val="20"/>
              </w:rPr>
              <w:t>S cieľom posilniť spoločné obranné snaženie medzi S</w:t>
            </w:r>
            <w:r>
              <w:rPr>
                <w:rFonts w:ascii="Times New Roman" w:hAnsi="Times New Roman"/>
                <w:sz w:val="20"/>
              </w:rPr>
              <w:t>lovenskou republikou a Spojenými štátmi americkými</w:t>
            </w:r>
            <w:r w:rsidRPr="00990F42">
              <w:rPr>
                <w:rFonts w:ascii="Times New Roman" w:hAnsi="Times New Roman"/>
                <w:sz w:val="20"/>
              </w:rPr>
              <w:t xml:space="preserve">, budú ozbrojené sily </w:t>
            </w:r>
            <w:r>
              <w:rPr>
                <w:rFonts w:ascii="Times New Roman" w:hAnsi="Times New Roman"/>
                <w:sz w:val="20"/>
              </w:rPr>
              <w:t xml:space="preserve">Spojených štátov amerických </w:t>
            </w:r>
            <w:r w:rsidRPr="00990F42">
              <w:rPr>
                <w:rFonts w:ascii="Times New Roman" w:hAnsi="Times New Roman"/>
                <w:sz w:val="20"/>
              </w:rPr>
              <w:t>a ich výhradní zmluvní dodávatelia oslobodení z platenia niektorých daní a poplatkov v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90F42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lovenskej republike </w:t>
            </w:r>
            <w:r w:rsidRPr="00990F42">
              <w:rPr>
                <w:rFonts w:ascii="Times New Roman" w:hAnsi="Times New Roman"/>
                <w:sz w:val="20"/>
              </w:rPr>
              <w:t xml:space="preserve">v rámci vykonávania </w:t>
            </w:r>
            <w:r>
              <w:rPr>
                <w:rFonts w:ascii="Times New Roman" w:hAnsi="Times New Roman"/>
                <w:sz w:val="20"/>
              </w:rPr>
              <w:t>d</w:t>
            </w:r>
            <w:r w:rsidRPr="00990F42">
              <w:rPr>
                <w:rFonts w:ascii="Times New Roman" w:hAnsi="Times New Roman"/>
                <w:sz w:val="20"/>
              </w:rPr>
              <w:t xml:space="preserve">ohody. Poskytnutie takéhoto benefitu pre vybranú skupinu osôb nachádzajúcich sa na území </w:t>
            </w:r>
            <w:r w:rsidR="00EA5407" w:rsidRPr="00990F42">
              <w:rPr>
                <w:rFonts w:ascii="Times New Roman" w:hAnsi="Times New Roman"/>
                <w:sz w:val="20"/>
              </w:rPr>
              <w:t>S</w:t>
            </w:r>
            <w:r w:rsidR="00EA5407">
              <w:rPr>
                <w:rFonts w:ascii="Times New Roman" w:hAnsi="Times New Roman"/>
                <w:sz w:val="20"/>
              </w:rPr>
              <w:t xml:space="preserve">lovenskej republiky </w:t>
            </w:r>
            <w:r w:rsidRPr="00990F42">
              <w:rPr>
                <w:rFonts w:ascii="Times New Roman" w:hAnsi="Times New Roman"/>
                <w:sz w:val="20"/>
              </w:rPr>
              <w:t xml:space="preserve">je pre </w:t>
            </w:r>
            <w:r w:rsidR="00EA5407" w:rsidRPr="00990F42">
              <w:rPr>
                <w:rFonts w:ascii="Times New Roman" w:hAnsi="Times New Roman"/>
                <w:sz w:val="20"/>
              </w:rPr>
              <w:t>S</w:t>
            </w:r>
            <w:r w:rsidR="00EA5407">
              <w:rPr>
                <w:rFonts w:ascii="Times New Roman" w:hAnsi="Times New Roman"/>
                <w:sz w:val="20"/>
              </w:rPr>
              <w:t>lovenskú republiku</w:t>
            </w:r>
            <w:r w:rsidRPr="00990F42">
              <w:rPr>
                <w:rFonts w:ascii="Times New Roman" w:hAnsi="Times New Roman"/>
                <w:sz w:val="20"/>
              </w:rPr>
              <w:t xml:space="preserve"> výhodné.</w:t>
            </w:r>
            <w:r w:rsidR="00D50CA7" w:rsidRPr="00D50CA7">
              <w:rPr>
                <w:rFonts w:ascii="Times New Roman" w:hAnsi="Times New Roman"/>
                <w:sz w:val="20"/>
              </w:rPr>
              <w:t xml:space="preserve"> Na základe rokovaní s</w:t>
            </w:r>
            <w:r w:rsidR="00C96506">
              <w:rPr>
                <w:rFonts w:ascii="Times New Roman" w:hAnsi="Times New Roman"/>
                <w:sz w:val="20"/>
              </w:rPr>
              <w:t xml:space="preserve">o Spojenými štátmi americkými bude na </w:t>
            </w:r>
            <w:r w:rsidR="00D50CA7" w:rsidRPr="00D50CA7">
              <w:rPr>
                <w:rFonts w:ascii="Times New Roman" w:hAnsi="Times New Roman"/>
                <w:sz w:val="20"/>
              </w:rPr>
              <w:t>území S</w:t>
            </w:r>
            <w:r w:rsidR="00C96506">
              <w:rPr>
                <w:rFonts w:ascii="Times New Roman" w:hAnsi="Times New Roman"/>
                <w:sz w:val="20"/>
              </w:rPr>
              <w:t xml:space="preserve">lovenskej republiky </w:t>
            </w:r>
            <w:r w:rsidR="00D50CA7" w:rsidRPr="00D50CA7">
              <w:rPr>
                <w:rFonts w:ascii="Times New Roman" w:hAnsi="Times New Roman"/>
                <w:sz w:val="20"/>
              </w:rPr>
              <w:t>prítomný len obmedzený počet osôb</w:t>
            </w:r>
            <w:r w:rsidR="00DB4814">
              <w:rPr>
                <w:rFonts w:ascii="Times New Roman" w:hAnsi="Times New Roman"/>
                <w:sz w:val="20"/>
              </w:rPr>
              <w:t xml:space="preserve">. </w:t>
            </w:r>
            <w:r w:rsidR="00786DF4">
              <w:rPr>
                <w:rFonts w:ascii="Times New Roman" w:hAnsi="Times New Roman"/>
                <w:sz w:val="20"/>
              </w:rPr>
              <w:t>N</w:t>
            </w:r>
            <w:r w:rsidR="00D50CA7" w:rsidRPr="00D50CA7">
              <w:rPr>
                <w:rFonts w:ascii="Times New Roman" w:hAnsi="Times New Roman"/>
                <w:sz w:val="20"/>
              </w:rPr>
              <w:t xml:space="preserve">avrhované oslobodenie ozbrojených síl </w:t>
            </w:r>
            <w:r w:rsidR="00C96506">
              <w:rPr>
                <w:rFonts w:ascii="Times New Roman" w:hAnsi="Times New Roman"/>
                <w:sz w:val="20"/>
              </w:rPr>
              <w:t xml:space="preserve">Spojených štátov amerických </w:t>
            </w:r>
            <w:r w:rsidR="00D50CA7" w:rsidRPr="00D50CA7">
              <w:rPr>
                <w:rFonts w:ascii="Times New Roman" w:hAnsi="Times New Roman"/>
                <w:sz w:val="20"/>
              </w:rPr>
              <w:t xml:space="preserve">a dodávateľov od daní a poplatkov </w:t>
            </w:r>
            <w:r w:rsidR="0003018E">
              <w:rPr>
                <w:rFonts w:ascii="Times New Roman" w:hAnsi="Times New Roman"/>
                <w:sz w:val="20"/>
              </w:rPr>
              <w:t xml:space="preserve">nepredstavuje </w:t>
            </w:r>
            <w:r w:rsidR="00D50CA7" w:rsidRPr="00D50CA7">
              <w:rPr>
                <w:rFonts w:ascii="Times New Roman" w:hAnsi="Times New Roman"/>
                <w:sz w:val="20"/>
              </w:rPr>
              <w:t>výpadok príjmov štátneho rozpočtu. V prípade, že sa S</w:t>
            </w:r>
            <w:r w:rsidR="00C96506">
              <w:rPr>
                <w:rFonts w:ascii="Times New Roman" w:hAnsi="Times New Roman"/>
                <w:sz w:val="20"/>
              </w:rPr>
              <w:t xml:space="preserve">lovenská republika </w:t>
            </w:r>
            <w:r w:rsidR="004014DF">
              <w:rPr>
                <w:rFonts w:ascii="Times New Roman" w:hAnsi="Times New Roman"/>
                <w:sz w:val="20"/>
              </w:rPr>
              <w:t>nedohodne so Spojenými štátmi americkými</w:t>
            </w:r>
            <w:r w:rsidR="00D50CA7" w:rsidRPr="00D50CA7">
              <w:rPr>
                <w:rFonts w:ascii="Times New Roman" w:hAnsi="Times New Roman"/>
                <w:sz w:val="20"/>
              </w:rPr>
              <w:t xml:space="preserve"> na dohode, </w:t>
            </w:r>
            <w:r w:rsidR="00C96506" w:rsidRPr="00C96506">
              <w:rPr>
                <w:rFonts w:ascii="Times New Roman" w:hAnsi="Times New Roman"/>
                <w:sz w:val="20"/>
              </w:rPr>
              <w:t xml:space="preserve">nebude existovať právny základ pre uskutočnenie investícií </w:t>
            </w:r>
            <w:r w:rsidR="00C96506">
              <w:rPr>
                <w:rFonts w:ascii="Times New Roman" w:hAnsi="Times New Roman"/>
                <w:sz w:val="20"/>
              </w:rPr>
              <w:t xml:space="preserve">Spojených štátov amerických </w:t>
            </w:r>
            <w:r w:rsidR="00C96506" w:rsidRPr="00C96506">
              <w:rPr>
                <w:rFonts w:ascii="Times New Roman" w:hAnsi="Times New Roman"/>
                <w:sz w:val="20"/>
              </w:rPr>
              <w:t>do obrannej infraštruktúry S</w:t>
            </w:r>
            <w:r w:rsidR="00C96506">
              <w:rPr>
                <w:rFonts w:ascii="Times New Roman" w:hAnsi="Times New Roman"/>
                <w:sz w:val="20"/>
              </w:rPr>
              <w:t>lovenskej republiky</w:t>
            </w:r>
            <w:r w:rsidR="00C96506" w:rsidRPr="00C96506">
              <w:rPr>
                <w:rFonts w:ascii="Times New Roman" w:hAnsi="Times New Roman"/>
                <w:sz w:val="20"/>
              </w:rPr>
              <w:t>. A teda, z investovaných prostriedkov nebudú žiadne odvedené do štátneho rozpočtu vo forme daní a</w:t>
            </w:r>
            <w:r w:rsidR="00C96506">
              <w:rPr>
                <w:rFonts w:ascii="Times New Roman" w:hAnsi="Times New Roman"/>
                <w:sz w:val="20"/>
              </w:rPr>
              <w:t> </w:t>
            </w:r>
            <w:r w:rsidR="00C96506" w:rsidRPr="00C96506">
              <w:rPr>
                <w:rFonts w:ascii="Times New Roman" w:hAnsi="Times New Roman"/>
                <w:sz w:val="20"/>
              </w:rPr>
              <w:t>poplatkov.</w:t>
            </w:r>
          </w:p>
          <w:p w:rsidR="00D50CA7" w:rsidRDefault="00D50CA7" w:rsidP="00D50CA7">
            <w:pPr>
              <w:jc w:val="both"/>
              <w:rPr>
                <w:rFonts w:ascii="Times New Roman" w:hAnsi="Times New Roman"/>
                <w:sz w:val="20"/>
              </w:rPr>
            </w:pPr>
            <w:r w:rsidRPr="00D50CA7">
              <w:rPr>
                <w:rFonts w:ascii="Times New Roman" w:hAnsi="Times New Roman"/>
                <w:sz w:val="20"/>
              </w:rPr>
              <w:t xml:space="preserve">V prípade </w:t>
            </w:r>
            <w:r w:rsidR="002175CE" w:rsidRPr="00D50CA7">
              <w:rPr>
                <w:rFonts w:ascii="Times New Roman" w:hAnsi="Times New Roman"/>
                <w:sz w:val="20"/>
              </w:rPr>
              <w:t>uzav</w:t>
            </w:r>
            <w:r w:rsidR="002175CE">
              <w:rPr>
                <w:rFonts w:ascii="Times New Roman" w:hAnsi="Times New Roman"/>
                <w:sz w:val="20"/>
              </w:rPr>
              <w:t>retia</w:t>
            </w:r>
            <w:r w:rsidRPr="00D50CA7">
              <w:rPr>
                <w:rFonts w:ascii="Times New Roman" w:hAnsi="Times New Roman"/>
                <w:sz w:val="20"/>
              </w:rPr>
              <w:t xml:space="preserve"> dohody o obrannej spolupráci nastane z rozpočtového hľadiska taká istá situácia,</w:t>
            </w:r>
            <w:r w:rsidR="002175CE">
              <w:rPr>
                <w:rFonts w:ascii="Times New Roman" w:hAnsi="Times New Roman"/>
                <w:sz w:val="20"/>
              </w:rPr>
              <w:t xml:space="preserve"> keďže  finančné prostriedky vlády USA </w:t>
            </w:r>
            <w:r w:rsidR="002175CE" w:rsidRPr="002175CE">
              <w:rPr>
                <w:rFonts w:ascii="Times New Roman" w:hAnsi="Times New Roman"/>
                <w:sz w:val="20"/>
              </w:rPr>
              <w:t>nebudú smerované do štátneho rozpočtu, ale budú využité priamo na jednotlivé infraštruktúrne projekty</w:t>
            </w:r>
            <w:r w:rsidR="002175CE">
              <w:rPr>
                <w:rFonts w:ascii="Times New Roman" w:hAnsi="Times New Roman"/>
                <w:sz w:val="20"/>
              </w:rPr>
              <w:t xml:space="preserve">. </w:t>
            </w:r>
            <w:r w:rsidRPr="00D50CA7">
              <w:rPr>
                <w:rFonts w:ascii="Times New Roman" w:hAnsi="Times New Roman"/>
                <w:sz w:val="20"/>
              </w:rPr>
              <w:t>S</w:t>
            </w:r>
            <w:r w:rsidR="00C96506">
              <w:rPr>
                <w:rFonts w:ascii="Times New Roman" w:hAnsi="Times New Roman"/>
                <w:sz w:val="20"/>
              </w:rPr>
              <w:t xml:space="preserve">lovenská republika </w:t>
            </w:r>
            <w:r w:rsidR="002175CE">
              <w:rPr>
                <w:rFonts w:ascii="Times New Roman" w:hAnsi="Times New Roman"/>
                <w:sz w:val="20"/>
              </w:rPr>
              <w:t xml:space="preserve">však </w:t>
            </w:r>
            <w:r w:rsidRPr="00D50CA7">
              <w:rPr>
                <w:rFonts w:ascii="Times New Roman" w:hAnsi="Times New Roman"/>
                <w:sz w:val="20"/>
              </w:rPr>
              <w:t xml:space="preserve">získa modernú obrannú infraštruktúru. V tomto zmysle </w:t>
            </w:r>
            <w:r w:rsidR="00DB4814">
              <w:rPr>
                <w:rFonts w:ascii="Times New Roman" w:hAnsi="Times New Roman"/>
                <w:sz w:val="20"/>
              </w:rPr>
              <w:t xml:space="preserve">prinesie </w:t>
            </w:r>
            <w:r w:rsidR="00DB4814" w:rsidRPr="00D50CA7">
              <w:rPr>
                <w:rFonts w:ascii="Times New Roman" w:hAnsi="Times New Roman"/>
                <w:sz w:val="20"/>
              </w:rPr>
              <w:t>uz</w:t>
            </w:r>
            <w:r w:rsidR="00DB4814">
              <w:rPr>
                <w:rFonts w:ascii="Times New Roman" w:hAnsi="Times New Roman"/>
                <w:sz w:val="20"/>
              </w:rPr>
              <w:t>avretie</w:t>
            </w:r>
            <w:r w:rsidRPr="00D50CA7">
              <w:rPr>
                <w:rFonts w:ascii="Times New Roman" w:hAnsi="Times New Roman"/>
                <w:sz w:val="20"/>
              </w:rPr>
              <w:t xml:space="preserve"> dohody o obrannej spolupráci s</w:t>
            </w:r>
            <w:r w:rsidR="00C96506">
              <w:rPr>
                <w:rFonts w:ascii="Times New Roman" w:hAnsi="Times New Roman"/>
                <w:sz w:val="20"/>
              </w:rPr>
              <w:t xml:space="preserve">o Spojenými štátmi </w:t>
            </w:r>
            <w:r w:rsidR="004014DF">
              <w:rPr>
                <w:rFonts w:ascii="Times New Roman" w:hAnsi="Times New Roman"/>
                <w:sz w:val="20"/>
              </w:rPr>
              <w:t xml:space="preserve">americkými </w:t>
            </w:r>
            <w:r w:rsidR="002175CE">
              <w:rPr>
                <w:rFonts w:ascii="Times New Roman" w:hAnsi="Times New Roman"/>
                <w:sz w:val="20"/>
              </w:rPr>
              <w:t xml:space="preserve">rozsiahle </w:t>
            </w:r>
            <w:r w:rsidR="00DB4814">
              <w:rPr>
                <w:rFonts w:ascii="Times New Roman" w:hAnsi="Times New Roman"/>
                <w:sz w:val="20"/>
              </w:rPr>
              <w:t>výhody</w:t>
            </w:r>
            <w:r w:rsidRPr="00D50CA7">
              <w:rPr>
                <w:rFonts w:ascii="Times New Roman" w:hAnsi="Times New Roman"/>
                <w:sz w:val="20"/>
              </w:rPr>
              <w:t>, keďže potrebná modernizácia sa bude môcť uskutočniť a verejné financie nebudú dodatočne zaťažené.</w:t>
            </w:r>
          </w:p>
          <w:p w:rsidR="00E4212D" w:rsidRDefault="00E4212D" w:rsidP="00D50CA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33964" w:rsidRDefault="00E4212D" w:rsidP="00D50CA7">
            <w:pPr>
              <w:jc w:val="both"/>
              <w:rPr>
                <w:rFonts w:ascii="Times New Roman" w:hAnsi="Times New Roman"/>
                <w:sz w:val="20"/>
              </w:rPr>
            </w:pPr>
            <w:r w:rsidRPr="00E4212D">
              <w:rPr>
                <w:rFonts w:ascii="Times New Roman" w:hAnsi="Times New Roman"/>
                <w:sz w:val="20"/>
              </w:rPr>
              <w:t>Obdobne k súčasnému stavu, prípadné výdavky, ktoré vyplynú z prijatia dohody budú zabezpečené v rámci schválených limitov výdavkov dotknutých subjektov rozpočtu verejnej správy na príslušný rozpočtový rok, bez zvýšených finančných požiadaviek na štátny rozpočet.</w:t>
            </w:r>
          </w:p>
          <w:p w:rsidR="001B23B7" w:rsidRPr="00B043B4" w:rsidRDefault="001B23B7" w:rsidP="00384C4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lastRenderedPageBreak/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4014DF" w:rsidRDefault="004014DF" w:rsidP="000800FC"/>
          <w:p w:rsidR="00150FFE" w:rsidRDefault="00B94297" w:rsidP="000800FC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hyperlink r:id="rId9" w:history="1">
              <w:r w:rsidR="004014DF" w:rsidRPr="007E10CD">
                <w:rPr>
                  <w:rStyle w:val="Hypertextovprepojenie"/>
                  <w:rFonts w:ascii="Times New Roman" w:hAnsi="Times New Roman"/>
                  <w:sz w:val="20"/>
                </w:rPr>
                <w:t>jana.kotorova@mod.gov.sk</w:t>
              </w:r>
            </w:hyperlink>
          </w:p>
          <w:p w:rsidR="00150FFE" w:rsidRDefault="00B94297" w:rsidP="000800FC">
            <w:pPr>
              <w:rPr>
                <w:rFonts w:ascii="Times New Roman" w:hAnsi="Times New Roman"/>
                <w:sz w:val="20"/>
              </w:rPr>
            </w:pPr>
            <w:hyperlink r:id="rId10" w:history="1">
              <w:r w:rsidR="00F71964" w:rsidRPr="007E10CD">
                <w:rPr>
                  <w:rStyle w:val="Hypertextovprepojenie"/>
                  <w:rFonts w:ascii="Times New Roman" w:hAnsi="Times New Roman"/>
                  <w:sz w:val="20"/>
                </w:rPr>
                <w:t>martin.sklenar@mod.gov.sk</w:t>
              </w:r>
            </w:hyperlink>
          </w:p>
          <w:p w:rsidR="00F71964" w:rsidRDefault="00F71964" w:rsidP="000800FC">
            <w:pPr>
              <w:rPr>
                <w:rFonts w:ascii="Times New Roman" w:hAnsi="Times New Roman"/>
                <w:sz w:val="20"/>
              </w:rPr>
            </w:pPr>
          </w:p>
          <w:p w:rsidR="00F71964" w:rsidRPr="00150FFE" w:rsidRDefault="00F71964" w:rsidP="000800FC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964" w:rsidRDefault="00F71964" w:rsidP="000800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964" w:rsidRDefault="00F71964" w:rsidP="00F71964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Dohoda</w:t>
            </w:r>
            <w:r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 spolupráci v oblasti obrany medzi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>vládou Slovenskej republiky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vládou Spojených štátov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Pr="00F71964">
              <w:rPr>
                <w:rFonts w:ascii="Times New Roman" w:hAnsi="Times New Roman"/>
                <w:sz w:val="20"/>
                <w:szCs w:val="20"/>
                <w:lang w:eastAsia="sk-SK"/>
              </w:rPr>
              <w:t>merických</w:t>
            </w:r>
            <w:r w:rsidR="004014D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: samotný text, rokovania so Spojenými štátmi americkými </w:t>
            </w:r>
            <w:r w:rsidR="00F61AF2">
              <w:rPr>
                <w:rFonts w:ascii="Times New Roman" w:hAnsi="Times New Roman"/>
                <w:sz w:val="20"/>
                <w:szCs w:val="20"/>
                <w:lang w:eastAsia="sk-SK"/>
              </w:rPr>
              <w:t>a rokovania s dotknutými subjektami štátnej správy SR</w:t>
            </w:r>
            <w:r w:rsidR="0074466C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="00F61AF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 </w:t>
            </w:r>
          </w:p>
          <w:p w:rsidR="00F71964" w:rsidRPr="00B043B4" w:rsidRDefault="00F71964" w:rsidP="000800F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F71964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1B23B7" w:rsidRPr="002D5F06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hAnsi="Times New Roman"/>
                <w:b/>
              </w:rPr>
            </w:pPr>
            <w:r w:rsidRPr="002D5F06">
              <w:rPr>
                <w:rFonts w:ascii="Times New Roman" w:hAnsi="Times New Roman"/>
                <w:b/>
              </w:rPr>
              <w:t>Stanovisko Komisie na posudzovanie vybraných vplyvov z PPK č. ..........</w:t>
            </w:r>
            <w:r w:rsidRPr="002D5F06">
              <w:rPr>
                <w:rFonts w:ascii="Calibri" w:hAnsi="Calibri"/>
              </w:rPr>
              <w:t xml:space="preserve"> </w:t>
            </w:r>
          </w:p>
          <w:p w:rsidR="001B23B7" w:rsidRPr="002D5F06" w:rsidRDefault="001B23B7" w:rsidP="000800FC">
            <w:pPr>
              <w:ind w:left="502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2D5F06">
              <w:rPr>
                <w:rFonts w:ascii="Times New Roman" w:hAnsi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1B23B7" w:rsidRPr="002D5F06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hAnsi="Times New Roman"/>
                <w:b/>
              </w:rPr>
            </w:pPr>
            <w:r w:rsidRPr="00B043B4">
              <w:rPr>
                <w:rFonts w:ascii="Times New Roman" w:hAnsi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hAnsi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3B7" w:rsidRPr="00B043B4" w:rsidRDefault="001B23B7" w:rsidP="000800F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3B7" w:rsidRPr="00B043B4" w:rsidRDefault="001B23B7" w:rsidP="000800F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23B7" w:rsidRPr="00B043B4" w:rsidRDefault="001B23B7" w:rsidP="000800FC">
                  <w:pPr>
                    <w:ind w:right="459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B043B4">
                    <w:rPr>
                      <w:rFonts w:ascii="Segoe UI Symbol" w:hAnsi="Segoe UI Symbol" w:cs="Segoe UI Symbol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274130"/>
    <w:sectPr w:rsidR="00274130" w:rsidSect="00410579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97" w:rsidRDefault="00B94297" w:rsidP="001B23B7">
      <w:pPr>
        <w:spacing w:after="0" w:line="240" w:lineRule="auto"/>
      </w:pPr>
      <w:r>
        <w:separator/>
      </w:r>
    </w:p>
  </w:endnote>
  <w:endnote w:type="continuationSeparator" w:id="0">
    <w:p w:rsidR="00B94297" w:rsidRDefault="00B9429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595678"/>
      <w:docPartObj>
        <w:docPartGallery w:val="Page Numbers (Bottom of Page)"/>
        <w:docPartUnique/>
      </w:docPartObj>
    </w:sdtPr>
    <w:sdtContent>
      <w:p w:rsidR="00410579" w:rsidRDefault="004105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B23B7" w:rsidRDefault="001B23B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28875"/>
      <w:docPartObj>
        <w:docPartGallery w:val="Page Numbers (Bottom of Page)"/>
        <w:docPartUnique/>
      </w:docPartObj>
    </w:sdtPr>
    <w:sdtContent>
      <w:p w:rsidR="00410579" w:rsidRDefault="004105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0579" w:rsidRDefault="004105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97" w:rsidRDefault="00B94297" w:rsidP="001B23B7">
      <w:pPr>
        <w:spacing w:after="0" w:line="240" w:lineRule="auto"/>
      </w:pPr>
      <w:r>
        <w:separator/>
      </w:r>
    </w:p>
  </w:footnote>
  <w:footnote w:type="continuationSeparator" w:id="0">
    <w:p w:rsidR="00B94297" w:rsidRDefault="00B9429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21F0A"/>
    <w:rsid w:val="0003018E"/>
    <w:rsid w:val="0003137A"/>
    <w:rsid w:val="00043706"/>
    <w:rsid w:val="000800FC"/>
    <w:rsid w:val="0009632C"/>
    <w:rsid w:val="00097069"/>
    <w:rsid w:val="000C1B4B"/>
    <w:rsid w:val="000F2BE9"/>
    <w:rsid w:val="00121CF7"/>
    <w:rsid w:val="001326B1"/>
    <w:rsid w:val="00150FFE"/>
    <w:rsid w:val="00170E13"/>
    <w:rsid w:val="001920B3"/>
    <w:rsid w:val="001B23B7"/>
    <w:rsid w:val="001D241C"/>
    <w:rsid w:val="001E3562"/>
    <w:rsid w:val="002175CE"/>
    <w:rsid w:val="00243652"/>
    <w:rsid w:val="00252862"/>
    <w:rsid w:val="00274130"/>
    <w:rsid w:val="00275F92"/>
    <w:rsid w:val="002A7D23"/>
    <w:rsid w:val="002D5F06"/>
    <w:rsid w:val="002E394B"/>
    <w:rsid w:val="002E40A9"/>
    <w:rsid w:val="00306CDF"/>
    <w:rsid w:val="003745EB"/>
    <w:rsid w:val="00384C43"/>
    <w:rsid w:val="00397ECA"/>
    <w:rsid w:val="003A057B"/>
    <w:rsid w:val="003C1822"/>
    <w:rsid w:val="004014DF"/>
    <w:rsid w:val="00410579"/>
    <w:rsid w:val="00433964"/>
    <w:rsid w:val="0047276D"/>
    <w:rsid w:val="0049476D"/>
    <w:rsid w:val="004A4383"/>
    <w:rsid w:val="004D7AF0"/>
    <w:rsid w:val="005911F7"/>
    <w:rsid w:val="00591EC6"/>
    <w:rsid w:val="006045CB"/>
    <w:rsid w:val="006411EE"/>
    <w:rsid w:val="0066005B"/>
    <w:rsid w:val="006641FB"/>
    <w:rsid w:val="00665242"/>
    <w:rsid w:val="006733CD"/>
    <w:rsid w:val="006F6FBF"/>
    <w:rsid w:val="00720322"/>
    <w:rsid w:val="0074466C"/>
    <w:rsid w:val="00775D53"/>
    <w:rsid w:val="00786DF4"/>
    <w:rsid w:val="007B22C5"/>
    <w:rsid w:val="007B40C1"/>
    <w:rsid w:val="007E2405"/>
    <w:rsid w:val="007F2CF5"/>
    <w:rsid w:val="00865E81"/>
    <w:rsid w:val="008801B5"/>
    <w:rsid w:val="008A658F"/>
    <w:rsid w:val="008B222D"/>
    <w:rsid w:val="008C79B7"/>
    <w:rsid w:val="008D454D"/>
    <w:rsid w:val="008D5FC6"/>
    <w:rsid w:val="008E2AB1"/>
    <w:rsid w:val="0090796A"/>
    <w:rsid w:val="009431E3"/>
    <w:rsid w:val="009475F5"/>
    <w:rsid w:val="009717F5"/>
    <w:rsid w:val="00980873"/>
    <w:rsid w:val="00990F42"/>
    <w:rsid w:val="009C424C"/>
    <w:rsid w:val="009D6377"/>
    <w:rsid w:val="009E09F7"/>
    <w:rsid w:val="009E54D6"/>
    <w:rsid w:val="009E729E"/>
    <w:rsid w:val="009F4832"/>
    <w:rsid w:val="00A340BB"/>
    <w:rsid w:val="00A63C0F"/>
    <w:rsid w:val="00A73EE0"/>
    <w:rsid w:val="00AA592B"/>
    <w:rsid w:val="00B043B4"/>
    <w:rsid w:val="00B84F87"/>
    <w:rsid w:val="00B94297"/>
    <w:rsid w:val="00B95E61"/>
    <w:rsid w:val="00BA2BF4"/>
    <w:rsid w:val="00C64D0C"/>
    <w:rsid w:val="00C96506"/>
    <w:rsid w:val="00CE6AAE"/>
    <w:rsid w:val="00CF1A25"/>
    <w:rsid w:val="00D2313B"/>
    <w:rsid w:val="00D50CA7"/>
    <w:rsid w:val="00DB078E"/>
    <w:rsid w:val="00DB4814"/>
    <w:rsid w:val="00DB6C1A"/>
    <w:rsid w:val="00DF357C"/>
    <w:rsid w:val="00E35DBE"/>
    <w:rsid w:val="00E4212D"/>
    <w:rsid w:val="00E57BA2"/>
    <w:rsid w:val="00EA5407"/>
    <w:rsid w:val="00EB639F"/>
    <w:rsid w:val="00EF438D"/>
    <w:rsid w:val="00F319D9"/>
    <w:rsid w:val="00F32576"/>
    <w:rsid w:val="00F61AF2"/>
    <w:rsid w:val="00F71964"/>
    <w:rsid w:val="00F86BC9"/>
    <w:rsid w:val="00F87681"/>
    <w:rsid w:val="00FB01C6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5DCD29-646A-4E0D-AC68-38F002A2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B23B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B23B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50FFE"/>
    <w:rPr>
      <w:rFonts w:cs="Times New Roman"/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733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33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733C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33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733C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tin.sklenar@mod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jana.kotorova@mod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27D74E-81A8-482C-B077-F56AAA7C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GULA Peter</cp:lastModifiedBy>
  <cp:revision>14</cp:revision>
  <cp:lastPrinted>2022-01-31T11:37:00Z</cp:lastPrinted>
  <dcterms:created xsi:type="dcterms:W3CDTF">2021-11-30T17:14:00Z</dcterms:created>
  <dcterms:modified xsi:type="dcterms:W3CDTF">2022-01-31T11:38:00Z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32/2018_x000d__x000d_Programové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_x000d__x000d_členovia vlády_x000d__x000d_predsedovia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Sulík_x000d__x000d_minister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