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249F" w14:textId="77777777" w:rsidR="006D7161" w:rsidRPr="004C489F" w:rsidRDefault="006D7161" w:rsidP="006D7161">
      <w:pPr>
        <w:widowControl w:val="0"/>
        <w:pBdr>
          <w:bottom w:val="single" w:sz="12" w:space="1" w:color="000000"/>
        </w:pBdr>
        <w:jc w:val="center"/>
        <w:rPr>
          <w:rFonts w:ascii="Book Antiqua" w:hAnsi="Book Antiqua" w:cs="Times New Roman"/>
        </w:rPr>
      </w:pPr>
      <w:r w:rsidRPr="004C489F">
        <w:rPr>
          <w:rFonts w:ascii="Book Antiqua" w:hAnsi="Book Antiqua" w:cs="Times New Roman"/>
          <w:b/>
          <w:bCs/>
        </w:rPr>
        <w:t>NÁRODNÁ RADA SLOVENSKEJ REPUBLIKY</w:t>
      </w:r>
    </w:p>
    <w:p w14:paraId="2AB2A31B" w14:textId="77777777" w:rsidR="006D7161" w:rsidRPr="004C489F" w:rsidRDefault="006D7161" w:rsidP="006D7161">
      <w:pPr>
        <w:widowControl w:val="0"/>
        <w:jc w:val="center"/>
        <w:rPr>
          <w:rFonts w:ascii="Book Antiqua" w:hAnsi="Book Antiqua" w:cs="Times New Roman"/>
          <w:lang w:val="en-US"/>
        </w:rPr>
      </w:pPr>
    </w:p>
    <w:p w14:paraId="22281741" w14:textId="0E889CBD" w:rsidR="006D7161" w:rsidRPr="004C489F" w:rsidRDefault="006D7161" w:rsidP="006D7161">
      <w:pPr>
        <w:widowControl w:val="0"/>
        <w:spacing w:before="120"/>
        <w:jc w:val="center"/>
        <w:rPr>
          <w:rFonts w:ascii="Book Antiqua" w:hAnsi="Book Antiqua" w:cs="Times New Roman"/>
        </w:rPr>
      </w:pPr>
      <w:r w:rsidRPr="004C489F">
        <w:rPr>
          <w:rFonts w:ascii="Book Antiqua" w:hAnsi="Book Antiqua" w:cs="Times New Roman"/>
          <w:spacing w:val="20"/>
          <w:lang w:val="en-US"/>
        </w:rPr>
        <w:t>VIII</w:t>
      </w:r>
      <w:r w:rsidR="005A5D98" w:rsidRPr="004C489F">
        <w:rPr>
          <w:rFonts w:ascii="Book Antiqua" w:hAnsi="Book Antiqua" w:cs="Times New Roman"/>
          <w:spacing w:val="20"/>
          <w:lang w:val="en-US"/>
        </w:rPr>
        <w:t xml:space="preserve">. </w:t>
      </w:r>
      <w:proofErr w:type="spellStart"/>
      <w:r w:rsidR="005A5D98" w:rsidRPr="004C489F">
        <w:rPr>
          <w:rFonts w:ascii="Book Antiqua" w:hAnsi="Book Antiqua" w:cs="Times New Roman"/>
          <w:spacing w:val="20"/>
          <w:lang w:val="en-US"/>
        </w:rPr>
        <w:t>volebné</w:t>
      </w:r>
      <w:proofErr w:type="spellEnd"/>
      <w:r w:rsidRPr="004C489F">
        <w:rPr>
          <w:rFonts w:ascii="Book Antiqua" w:hAnsi="Book Antiqua" w:cs="Times New Roman"/>
          <w:spacing w:val="20"/>
        </w:rPr>
        <w:t xml:space="preserve"> obdobie</w:t>
      </w:r>
    </w:p>
    <w:p w14:paraId="7710E749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5E85D115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4EB2EC51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C489F">
        <w:rPr>
          <w:rFonts w:ascii="Book Antiqua" w:hAnsi="Book Antiqua"/>
          <w:bCs/>
          <w:iCs/>
          <w:sz w:val="22"/>
          <w:szCs w:val="22"/>
        </w:rPr>
        <w:t>Návrh</w:t>
      </w:r>
    </w:p>
    <w:p w14:paraId="4120C986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21DFFB50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28B8F98A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C489F">
        <w:rPr>
          <w:rFonts w:ascii="Book Antiqua" w:hAnsi="Book Antiqua"/>
          <w:b/>
          <w:bCs/>
          <w:iCs/>
          <w:sz w:val="22"/>
          <w:szCs w:val="22"/>
        </w:rPr>
        <w:t>ZÁKON</w:t>
      </w:r>
    </w:p>
    <w:p w14:paraId="5B49F5ED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3F6C7A49" w14:textId="4FAAEE04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C489F">
        <w:rPr>
          <w:rFonts w:ascii="Book Antiqua" w:hAnsi="Book Antiqua"/>
          <w:bCs/>
          <w:iCs/>
          <w:sz w:val="22"/>
          <w:szCs w:val="22"/>
        </w:rPr>
        <w:t>z ........... 202</w:t>
      </w:r>
      <w:r w:rsidR="00D50641">
        <w:rPr>
          <w:rFonts w:ascii="Book Antiqua" w:hAnsi="Book Antiqua"/>
          <w:bCs/>
          <w:iCs/>
          <w:sz w:val="22"/>
          <w:szCs w:val="22"/>
        </w:rPr>
        <w:t>2</w:t>
      </w:r>
      <w:r w:rsidRPr="004C489F">
        <w:rPr>
          <w:rFonts w:ascii="Book Antiqua" w:hAnsi="Book Antiqua"/>
          <w:bCs/>
          <w:iCs/>
          <w:sz w:val="22"/>
          <w:szCs w:val="22"/>
        </w:rPr>
        <w:t>,</w:t>
      </w:r>
    </w:p>
    <w:p w14:paraId="7FC689D2" w14:textId="77777777" w:rsidR="00293FDA" w:rsidRPr="004C489F" w:rsidRDefault="00293FDA" w:rsidP="00293FDA">
      <w:pPr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EA232B3" w14:textId="4FB21A36" w:rsidR="00293FDA" w:rsidRPr="004C489F" w:rsidRDefault="00293FDA" w:rsidP="00293FDA">
      <w:pPr>
        <w:jc w:val="center"/>
        <w:rPr>
          <w:rFonts w:ascii="Book Antiqua" w:hAnsi="Book Antiqua" w:cs="Times New Roman"/>
          <w:b/>
          <w:shd w:val="clear" w:color="auto" w:fill="FFFFFF"/>
        </w:rPr>
      </w:pPr>
      <w:bookmarkStart w:id="0" w:name="_Hlk72919308"/>
      <w:r w:rsidRPr="004C489F">
        <w:rPr>
          <w:rFonts w:ascii="Book Antiqua" w:hAnsi="Book Antiqua" w:cs="Times New Roman"/>
          <w:b/>
          <w:shd w:val="clear" w:color="auto" w:fill="FFFFFF"/>
        </w:rPr>
        <w:t xml:space="preserve">ktorým sa </w:t>
      </w:r>
      <w:bookmarkStart w:id="1" w:name="_Hlk83213044"/>
      <w:r w:rsidR="000B2090" w:rsidRPr="004C489F">
        <w:rPr>
          <w:rFonts w:ascii="Book Antiqua" w:hAnsi="Book Antiqua" w:cs="Times New Roman"/>
          <w:b/>
          <w:shd w:val="clear" w:color="auto" w:fill="FFFFFF"/>
        </w:rPr>
        <w:t xml:space="preserve">mení a </w:t>
      </w:r>
      <w:r w:rsidRPr="004C489F">
        <w:rPr>
          <w:rFonts w:ascii="Book Antiqua" w:hAnsi="Book Antiqua" w:cs="Times New Roman"/>
          <w:b/>
          <w:shd w:val="clear" w:color="auto" w:fill="FFFFFF"/>
        </w:rPr>
        <w:t>dopĺňa zákon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č. </w:t>
      </w:r>
      <w:r w:rsidR="000B2090" w:rsidRPr="004C489F">
        <w:rPr>
          <w:rFonts w:ascii="Book Antiqua" w:hAnsi="Book Antiqua" w:cs="Times New Roman"/>
          <w:b/>
          <w:shd w:val="clear" w:color="auto" w:fill="FFFFFF"/>
        </w:rPr>
        <w:t>300/2005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Z. z. </w:t>
      </w:r>
      <w:r w:rsidR="000B2090" w:rsidRPr="004C489F">
        <w:rPr>
          <w:rFonts w:ascii="Book Antiqua" w:hAnsi="Book Antiqua" w:cs="Times New Roman"/>
          <w:b/>
          <w:shd w:val="clear" w:color="auto" w:fill="FFFFFF"/>
        </w:rPr>
        <w:t>Trestný zákon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v znení neskorších predpisov</w:t>
      </w:r>
      <w:bookmarkEnd w:id="0"/>
      <w:bookmarkEnd w:id="1"/>
      <w:r w:rsidR="00C863A4" w:rsidRPr="00C863A4">
        <w:t xml:space="preserve"> </w:t>
      </w:r>
    </w:p>
    <w:p w14:paraId="2F7FEF25" w14:textId="77777777" w:rsidR="00293FDA" w:rsidRPr="004C489F" w:rsidRDefault="00293FDA" w:rsidP="00293FDA">
      <w:pPr>
        <w:rPr>
          <w:rFonts w:ascii="Book Antiqua" w:hAnsi="Book Antiqua" w:cs="Times New Roman"/>
          <w:b/>
          <w:shd w:val="clear" w:color="auto" w:fill="FFFFFF"/>
        </w:rPr>
      </w:pPr>
    </w:p>
    <w:p w14:paraId="5A062A7E" w14:textId="2CDE40C9" w:rsidR="00293FDA" w:rsidRDefault="00293FDA" w:rsidP="00293FDA">
      <w:pPr>
        <w:rPr>
          <w:rFonts w:ascii="Book Antiqua" w:hAnsi="Book Antiqua" w:cs="Times New Roman"/>
          <w:shd w:val="clear" w:color="auto" w:fill="FFFFFF"/>
        </w:rPr>
      </w:pPr>
      <w:r w:rsidRPr="004C489F">
        <w:rPr>
          <w:rFonts w:ascii="Book Antiqua" w:hAnsi="Book Antiqua" w:cs="Times New Roman"/>
          <w:shd w:val="clear" w:color="auto" w:fill="FFFFFF"/>
        </w:rPr>
        <w:t>Národná rada Slovenskej republiky sa uzniesla na tomto zákone:</w:t>
      </w:r>
    </w:p>
    <w:p w14:paraId="65681CFC" w14:textId="77777777" w:rsidR="006C68E1" w:rsidRPr="004C489F" w:rsidRDefault="006C68E1" w:rsidP="00293FDA">
      <w:pPr>
        <w:rPr>
          <w:rFonts w:ascii="Book Antiqua" w:hAnsi="Book Antiqua" w:cs="Times New Roman"/>
          <w:b/>
          <w:shd w:val="clear" w:color="auto" w:fill="FFFFFF"/>
        </w:rPr>
      </w:pPr>
    </w:p>
    <w:p w14:paraId="39990BA0" w14:textId="77777777" w:rsidR="00293FDA" w:rsidRPr="00700398" w:rsidRDefault="00293FDA" w:rsidP="00293FDA">
      <w:pPr>
        <w:jc w:val="center"/>
        <w:rPr>
          <w:rFonts w:ascii="Book Antiqua" w:hAnsi="Book Antiqua" w:cs="Times New Roman"/>
          <w:b/>
          <w:bCs/>
          <w:shd w:val="clear" w:color="auto" w:fill="FFFFFF"/>
        </w:rPr>
      </w:pPr>
      <w:r w:rsidRPr="00700398">
        <w:rPr>
          <w:rFonts w:ascii="Book Antiqua" w:hAnsi="Book Antiqua" w:cs="Times New Roman"/>
          <w:b/>
          <w:bCs/>
          <w:shd w:val="clear" w:color="auto" w:fill="FFFFFF"/>
        </w:rPr>
        <w:t>Čl. I.</w:t>
      </w:r>
    </w:p>
    <w:p w14:paraId="42B56824" w14:textId="7B09D14E" w:rsidR="00700398" w:rsidRPr="00DB2609" w:rsidRDefault="00700398" w:rsidP="00293FDA">
      <w:pPr>
        <w:jc w:val="both"/>
        <w:rPr>
          <w:rFonts w:ascii="Book Antiqua" w:hAnsi="Book Antiqua" w:cs="Times New Roman"/>
          <w:shd w:val="clear" w:color="auto" w:fill="FFFFFF"/>
        </w:rPr>
      </w:pPr>
      <w:r w:rsidRPr="00700398">
        <w:rPr>
          <w:rFonts w:ascii="Book Antiqua" w:hAnsi="Book Antiqua" w:cs="Times New Roman"/>
          <w:shd w:val="clear" w:color="auto" w:fill="FFFFFF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</w:t>
      </w:r>
      <w:r w:rsidR="001B53E1">
        <w:rPr>
          <w:rFonts w:ascii="Book Antiqua" w:hAnsi="Book Antiqua" w:cs="Times New Roman"/>
          <w:shd w:val="clear" w:color="auto" w:fill="FFFFFF"/>
        </w:rPr>
        <w:t>,</w:t>
      </w:r>
      <w:r w:rsidR="000B2090" w:rsidRPr="004C489F">
        <w:rPr>
          <w:rFonts w:ascii="Book Antiqua" w:hAnsi="Book Antiqua" w:cs="Times New Roman"/>
          <w:shd w:val="clear" w:color="auto" w:fill="FFFFFF"/>
        </w:rPr>
        <w:t> zákona č. 312/2020 Z. z.</w:t>
      </w:r>
      <w:r w:rsidR="006E746E">
        <w:rPr>
          <w:rFonts w:ascii="Book Antiqua" w:hAnsi="Book Antiqua" w:cs="Times New Roman"/>
          <w:shd w:val="clear" w:color="auto" w:fill="FFFFFF"/>
        </w:rPr>
        <w:t>,</w:t>
      </w:r>
      <w:r w:rsidR="001B53E1">
        <w:rPr>
          <w:rFonts w:ascii="Book Antiqua" w:hAnsi="Book Antiqua" w:cs="Times New Roman"/>
          <w:shd w:val="clear" w:color="auto" w:fill="FFFFFF"/>
        </w:rPr>
        <w:t xml:space="preserve"> zákona č. 236/2021 Z. z. </w:t>
      </w:r>
      <w:r w:rsidR="006E746E">
        <w:rPr>
          <w:rFonts w:ascii="Book Antiqua" w:hAnsi="Book Antiqua" w:cs="Times New Roman"/>
          <w:shd w:val="clear" w:color="auto" w:fill="FFFFFF"/>
        </w:rPr>
        <w:t xml:space="preserve">a zákona č. 357/2021 Z. z. </w:t>
      </w:r>
      <w:r w:rsidR="000B2090" w:rsidRPr="004C489F">
        <w:rPr>
          <w:rFonts w:ascii="Book Antiqua" w:hAnsi="Book Antiqua" w:cs="Times New Roman"/>
          <w:shd w:val="clear" w:color="auto" w:fill="FFFFFF"/>
        </w:rPr>
        <w:t>sa mení a dopĺňa takto:</w:t>
      </w:r>
    </w:p>
    <w:p w14:paraId="36F5B636" w14:textId="3E8CAB8F" w:rsidR="00DB2609" w:rsidRPr="00DB2609" w:rsidRDefault="00DB2609" w:rsidP="00DB2609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Za § 40 sa vkladá nový § 40a, ktorý vrátane nadpisu znie:</w:t>
      </w:r>
    </w:p>
    <w:p w14:paraId="0B5BFD8D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31ACC15" w14:textId="77777777" w:rsidR="00DB2609" w:rsidRDefault="00DB2609" w:rsidP="00DB2609">
      <w:pPr>
        <w:pStyle w:val="Odsekzoznamu"/>
        <w:shd w:val="clear" w:color="auto" w:fill="FFFFFF"/>
        <w:jc w:val="center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„§ 40a</w:t>
      </w:r>
    </w:p>
    <w:p w14:paraId="161434DF" w14:textId="77777777" w:rsidR="00DB2609" w:rsidRDefault="00DB2609" w:rsidP="00DB2609">
      <w:pPr>
        <w:pStyle w:val="Odsekzoznamu"/>
        <w:shd w:val="clear" w:color="auto" w:fill="FFFFFF"/>
        <w:jc w:val="center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Podmienečné upustenie od potrestania</w:t>
      </w:r>
    </w:p>
    <w:p w14:paraId="203D106D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1ABEF07" w14:textId="00A5F9E6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1</w:t>
      </w: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Od potrestania páchateľa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prečinu</w:t>
      </w: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podľa § 171 ods. 1 alebo 2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môže súd podmienečne</w:t>
      </w: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upustiť, ak mu súčasne uloží ochranné liečenie za podmienok podľa § 73.</w:t>
      </w:r>
    </w:p>
    <w:p w14:paraId="1BFDB9AF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FC935C1" w14:textId="4B19E00C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(2) Súd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páchateľovi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určí skúšobnú dobu až na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dva roky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; skúšobná doba začína plynúť dňom nasledujúcim po dni nadobudnutia právoplatnosti rozhodnutia o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 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upustení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od potrestania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</w:p>
    <w:p w14:paraId="15201C62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BEDAB67" w14:textId="2DA9239C" w:rsidR="00DB2609" w:rsidRPr="008B1C0A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(3) 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Ak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páchateľ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u ktorého bolo podmienečne upustené od potrestania,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dodržal podmienky ochranného liečenia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, vysloví súd, že sa osvedčil; inak rozhodne, a to prípadne už v priebehu skúšobnej doby, o uložení trestu.</w:t>
      </w:r>
    </w:p>
    <w:p w14:paraId="37D5530E" w14:textId="77777777" w:rsidR="00DB2609" w:rsidRPr="008B1C0A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DE00240" w14:textId="4974DA44" w:rsidR="00DB2609" w:rsidRPr="008B1C0A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Ak súd do roka od uplynutia skúšobnej doby neurobil rozhodnutie podľa odseku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3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bez toho, že by na tom mal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páchateľ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vinu, má sa za to, že sa osvedčil.</w:t>
      </w:r>
    </w:p>
    <w:p w14:paraId="65C313A2" w14:textId="77777777" w:rsidR="00DB2609" w:rsidRPr="008B1C0A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36DF6A7D" w14:textId="2D6B6A7A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5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Ak </w:t>
      </w:r>
      <w:r w:rsidR="00320AE2">
        <w:rPr>
          <w:rFonts w:ascii="Book Antiqua" w:eastAsia="Times New Roman" w:hAnsi="Book Antiqua" w:cs="Times New Roman"/>
          <w:color w:val="000000" w:themeColor="text1"/>
          <w:lang w:eastAsia="sk-SK"/>
        </w:rPr>
        <w:t>súd vyslovil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že sa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páchateľ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, u ktorého bolo podmienečne upustené od potrestania, osvedčil, alebo ak sa má za to, že sa osvedčil, hľadí sa na neho, ako keby nebol odsúdený.</w:t>
      </w: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320AE2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2A8086E3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450C2746" w14:textId="2CE96D0A" w:rsidR="00F95B6F" w:rsidRPr="00DB2609" w:rsidRDefault="00F95B6F" w:rsidP="00DB2609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47 ods. 2 sa slová „§ 172 ods. 2, 3 alebo 4“ nahrádzajú slovami „§ 172 ods. </w:t>
      </w:r>
      <w:r w:rsidR="001C43E9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5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1C43E9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6</w:t>
      </w:r>
      <w:r w:rsidR="002849DD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1C43E9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7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1C43E9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8</w:t>
      </w:r>
      <w:r w:rsidR="00320AE2"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2849DD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7E4B89FC" w14:textId="77777777" w:rsidR="00F95B6F" w:rsidRPr="00F95B6F" w:rsidRDefault="00F95B6F" w:rsidP="00F95B6F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2D1DA457" w14:textId="0700636E" w:rsidR="002849DD" w:rsidRPr="00DB2609" w:rsidRDefault="002849DD" w:rsidP="00DB2609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2849DD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58 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ods. 3 sa slová „§ 172 ods. 3 alebo 4“ nahrádzajú slovami „§ 172 ods. </w:t>
      </w:r>
      <w:r w:rsidR="00D5400B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7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D5400B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8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“.</w:t>
      </w:r>
    </w:p>
    <w:p w14:paraId="653678F1" w14:textId="77777777" w:rsidR="002849DD" w:rsidRPr="00DB2609" w:rsidRDefault="002849DD" w:rsidP="002849DD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26C1D00B" w14:textId="77777777" w:rsidR="00575117" w:rsidRDefault="00AF4577" w:rsidP="00C04A54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bookmarkStart w:id="2" w:name="_Hlk92541698"/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73 </w:t>
      </w:r>
      <w:r w:rsidR="00575117">
        <w:rPr>
          <w:rFonts w:ascii="Book Antiqua" w:eastAsia="Times New Roman" w:hAnsi="Book Antiqua" w:cs="Times New Roman"/>
          <w:color w:val="000000" w:themeColor="text1"/>
          <w:lang w:eastAsia="sk-SK"/>
        </w:rPr>
        <w:t>sa za odsek 2 vkladá nový odsek 3, ktorý znie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: </w:t>
      </w:r>
    </w:p>
    <w:p w14:paraId="7456F5AF" w14:textId="77777777" w:rsidR="00575117" w:rsidRPr="00575117" w:rsidRDefault="00575117" w:rsidP="00575117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E90F34B" w14:textId="5D662684" w:rsidR="001B53E1" w:rsidRDefault="00AF4577" w:rsidP="00575117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="00575117" w:rsidRPr="00575117">
        <w:rPr>
          <w:rFonts w:ascii="Book Antiqua" w:eastAsia="Times New Roman" w:hAnsi="Book Antiqua" w:cs="Times New Roman"/>
          <w:lang w:eastAsia="sk-SK"/>
        </w:rPr>
        <w:t>Ochranné liečenie podľa odseku 2 písm. d) súd uloží páchateľovi prečinu podľa § 171 ods. 1 alebo 2 iba ak s jeho uložením páchateľ súhlasí.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“.</w:t>
      </w:r>
      <w:bookmarkEnd w:id="2"/>
    </w:p>
    <w:p w14:paraId="1C51811A" w14:textId="1A8D7661" w:rsidR="00DB2609" w:rsidRDefault="00DB2609" w:rsidP="00DB2609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40031578" w14:textId="488CA4A8" w:rsidR="00575117" w:rsidRDefault="00575117" w:rsidP="00DB2609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Doterajš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ie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odsek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3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 4 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sa označuj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ako odsek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4 a 5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3D45AD36" w14:textId="77777777" w:rsidR="00575117" w:rsidRPr="00DB2609" w:rsidRDefault="00575117" w:rsidP="00DB2609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7F28DBAB" w14:textId="29991C1E" w:rsidR="00F176A1" w:rsidRDefault="001B53E1" w:rsidP="00DB2609">
      <w:pPr>
        <w:pStyle w:val="Odsekzoznamu"/>
        <w:numPr>
          <w:ilvl w:val="0"/>
          <w:numId w:val="1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§ 171 </w:t>
      </w:r>
      <w:r w:rsidR="00F176A1">
        <w:rPr>
          <w:rFonts w:ascii="Book Antiqua" w:eastAsia="Times New Roman" w:hAnsi="Book Antiqua" w:cs="Times New Roman"/>
          <w:color w:val="000000" w:themeColor="text1"/>
          <w:lang w:eastAsia="sk-SK"/>
        </w:rPr>
        <w:t>znie:</w:t>
      </w:r>
    </w:p>
    <w:p w14:paraId="5D8035B1" w14:textId="77777777" w:rsidR="00F176A1" w:rsidRPr="00F176A1" w:rsidRDefault="00F176A1" w:rsidP="00F176A1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1EA123DC" w14:textId="77777777" w:rsidR="00C863A4" w:rsidRDefault="00F176A1" w:rsidP="00C863A4">
      <w:pPr>
        <w:pStyle w:val="Odsekzoznamu"/>
        <w:shd w:val="clear" w:color="auto" w:fill="FFFFFF"/>
        <w:jc w:val="center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="00C863A4">
        <w:rPr>
          <w:rFonts w:ascii="Book Antiqua" w:eastAsia="Times New Roman" w:hAnsi="Book Antiqua" w:cs="Times New Roman"/>
          <w:color w:val="000000" w:themeColor="text1"/>
          <w:lang w:eastAsia="sk-SK"/>
        </w:rPr>
        <w:t>171</w:t>
      </w:r>
    </w:p>
    <w:p w14:paraId="71F170F3" w14:textId="77D2CA02" w:rsidR="00F176A1" w:rsidRPr="00F176A1" w:rsidRDefault="00F176A1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(1) Kto neoprávnene prechováva </w:t>
      </w:r>
      <w:r w:rsidR="003526D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omamnú 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látku </w:t>
      </w:r>
      <w:r w:rsidR="000C352C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alebo psychotropnú látku 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z rastl</w:t>
      </w:r>
      <w:r w:rsidR="00EE3BFF">
        <w:rPr>
          <w:rFonts w:ascii="Book Antiqua" w:eastAsia="Times New Roman" w:hAnsi="Book Antiqua" w:cs="Times New Roman"/>
          <w:color w:val="000000" w:themeColor="text1"/>
          <w:lang w:eastAsia="sk-SK"/>
        </w:rPr>
        <w:t>i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n</w:t>
      </w:r>
      <w:r w:rsidR="00EE3BFF"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rodu konopa</w:t>
      </w:r>
      <w:r w:rsidR="00C04A54" w:rsidRPr="00C04A5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pre vlastnú potrebu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, potrestá sa odňatím slobody až na jeden rok.</w:t>
      </w:r>
    </w:p>
    <w:p w14:paraId="56871815" w14:textId="77777777" w:rsidR="00F176A1" w:rsidRPr="00F176A1" w:rsidRDefault="00F176A1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408C7DBE" w14:textId="552A373F" w:rsidR="00495AAA" w:rsidRDefault="00F176A1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(2) 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Kto neoprávnene prechováva </w:t>
      </w:r>
      <w:r w:rsidR="00495AA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omamnú 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látku alebo psychotropnú látku </w:t>
      </w:r>
      <w:r w:rsidR="001C43E9">
        <w:rPr>
          <w:rFonts w:ascii="Book Antiqua" w:eastAsia="Times New Roman" w:hAnsi="Book Antiqua" w:cs="Times New Roman"/>
          <w:color w:val="000000" w:themeColor="text1"/>
          <w:lang w:eastAsia="sk-SK"/>
        </w:rPr>
        <w:t>uvedenú v odseku 1</w:t>
      </w:r>
      <w:r w:rsidR="00495AA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pre vlastnú potrebu </w:t>
      </w:r>
      <w:r w:rsidR="00495AAA">
        <w:rPr>
          <w:rFonts w:ascii="Book Antiqua" w:eastAsia="Times New Roman" w:hAnsi="Book Antiqua" w:cs="Times New Roman"/>
          <w:color w:val="000000" w:themeColor="text1"/>
          <w:lang w:eastAsia="sk-SK"/>
        </w:rPr>
        <w:t>vo väčšom rozsahu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potrestá sa odňatím slobody až na </w:t>
      </w:r>
      <w:r w:rsidR="004A7AB4">
        <w:rPr>
          <w:rFonts w:ascii="Book Antiqua" w:eastAsia="Times New Roman" w:hAnsi="Book Antiqua" w:cs="Times New Roman"/>
          <w:color w:val="000000" w:themeColor="text1"/>
          <w:lang w:eastAsia="sk-SK"/>
        </w:rPr>
        <w:t>dva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</w:t>
      </w:r>
      <w:r w:rsidR="004A7AB4"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35A8BBA5" w14:textId="77777777" w:rsidR="00495AAA" w:rsidRDefault="00495AAA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17B3B692" w14:textId="597C766D" w:rsidR="00F176A1" w:rsidRPr="00F176A1" w:rsidRDefault="00495AAA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(3) </w:t>
      </w:r>
      <w:r w:rsidR="00F176A1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Kto neoprávnene prechováva inú omamnú látku alebo psychotropnú látku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>ako uveden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 odseku 1</w:t>
      </w:r>
      <w:r w:rsidR="00F176A1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, jed alebo prekurzor</w:t>
      </w:r>
      <w:r w:rsidR="00C04A54" w:rsidRPr="00C04A5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pre vlastnú potrebu</w:t>
      </w:r>
      <w:r w:rsidR="00F176A1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, potrestá sa odňatím slobody až na tri roky.</w:t>
      </w:r>
    </w:p>
    <w:p w14:paraId="646FC9D1" w14:textId="77777777" w:rsidR="00F176A1" w:rsidRPr="00F176A1" w:rsidRDefault="00F176A1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2B61D9B" w14:textId="067916A2" w:rsidR="001B53E1" w:rsidRPr="00B04407" w:rsidRDefault="00F176A1" w:rsidP="00B04407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495AAA"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</w:t>
      </w:r>
      <w:r w:rsidR="00C04A5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Kto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neoprávnene prechováva inú omamnú látku alebo psychotropnú látku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>ako uveden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 odseku 1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, jed alebo prekurzor pre vlastnú potrebu vo väčšom rozsahu</w:t>
      </w:r>
      <w:r w:rsidR="00C04A5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potrestá sa odňatím slobody až 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na päť rokov.</w:t>
      </w:r>
      <w:r w:rsidRPr="00B04407"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320AE2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  <w:r w:rsidR="001B53E1" w:rsidRPr="00B04407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</w:p>
    <w:p w14:paraId="431F09C3" w14:textId="77777777" w:rsidR="001F4F35" w:rsidRPr="001F4F35" w:rsidRDefault="001F4F35" w:rsidP="001F4F35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1C5E66C" w14:textId="6523CB02" w:rsidR="00165B5D" w:rsidRPr="00502A98" w:rsidRDefault="00E54FFD" w:rsidP="00DB2609">
      <w:pPr>
        <w:pStyle w:val="Odsekzoznamu"/>
        <w:numPr>
          <w:ilvl w:val="0"/>
          <w:numId w:val="1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502A98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§ 172 znie: </w:t>
      </w:r>
    </w:p>
    <w:p w14:paraId="4B4DDF43" w14:textId="4A2B6218" w:rsidR="00165B5D" w:rsidRDefault="00165B5D" w:rsidP="00165B5D">
      <w:pPr>
        <w:pStyle w:val="Odsekzoznamu"/>
        <w:shd w:val="clear" w:color="auto" w:fill="FFFFFF"/>
        <w:jc w:val="center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„§ 17</w:t>
      </w:r>
      <w:r w:rsidR="00E54FFD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</w:p>
    <w:p w14:paraId="78B150B6" w14:textId="755962C5" w:rsidR="00165B5D" w:rsidRPr="00C4585E" w:rsidRDefault="00165B5D" w:rsidP="00284C36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(1) Kto neoprávnene</w:t>
      </w:r>
      <w:r w:rsidR="007219D2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B7529A" w:rsidRPr="007219D2">
        <w:rPr>
          <w:rFonts w:ascii="Book Antiqua" w:eastAsia="Times New Roman" w:hAnsi="Book Antiqua" w:cs="Times New Roman"/>
          <w:color w:val="000000" w:themeColor="text1"/>
          <w:lang w:eastAsia="sk-SK"/>
        </w:rPr>
        <w:t>prechováva po akúkoľvek dobu</w:t>
      </w:r>
      <w:r w:rsidR="007219D2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omamnú 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látk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u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psychotropn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látk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u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z rastl</w:t>
      </w:r>
      <w:r w:rsidR="00EE3BFF">
        <w:rPr>
          <w:rFonts w:ascii="Book Antiqua" w:eastAsia="Times New Roman" w:hAnsi="Book Antiqua" w:cs="Times New Roman"/>
          <w:color w:val="000000" w:themeColor="text1"/>
          <w:lang w:eastAsia="sk-SK"/>
        </w:rPr>
        <w:t>i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n</w:t>
      </w:r>
      <w:r w:rsidR="00EE3BFF"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rodu konopa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potrestá sa odňatím slobody na 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tri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roky až 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sedem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rokov.</w:t>
      </w:r>
    </w:p>
    <w:p w14:paraId="4572545F" w14:textId="572F4BAF" w:rsidR="00165B5D" w:rsidRDefault="00165B5D" w:rsidP="00284C36">
      <w:pPr>
        <w:shd w:val="clear" w:color="auto" w:fill="FFFFFF"/>
        <w:ind w:left="708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(2) Odňatím slobody na 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päť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ov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až 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desať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rokov sa páchateľ potrestá, ak spácha čin uvedený v odseku 1 a už bol za taký čin odsúdený.</w:t>
      </w:r>
    </w:p>
    <w:p w14:paraId="6A8EDB51" w14:textId="109F3CDE" w:rsidR="004629E1" w:rsidRDefault="00E54FFD" w:rsidP="00284C36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(3)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Kto neoprávnene </w:t>
      </w:r>
      <w:r w:rsidR="004629E1" w:rsidRPr="007219D2">
        <w:rPr>
          <w:rFonts w:ascii="Book Antiqua" w:eastAsia="Times New Roman" w:hAnsi="Book Antiqua" w:cs="Times New Roman"/>
          <w:color w:val="000000" w:themeColor="text1"/>
          <w:lang w:eastAsia="sk-SK"/>
        </w:rPr>
        <w:t>prechováva po akúkoľvek dobu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inú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omamn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látk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u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psychotropn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látk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u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ako uveden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 odseku 1, jed alebo prekurzor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potrestá sa odňatím slobody na </w:t>
      </w:r>
      <w:r w:rsidR="004629E1" w:rsidRPr="00E54FFD">
        <w:rPr>
          <w:rFonts w:ascii="Book Antiqua" w:eastAsia="Times New Roman" w:hAnsi="Book Antiqua" w:cs="Times New Roman"/>
          <w:color w:val="000000" w:themeColor="text1"/>
          <w:lang w:eastAsia="sk-SK"/>
        </w:rPr>
        <w:t>tri roky až desať rokov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47EEB85C" w14:textId="77777777" w:rsidR="004629E1" w:rsidRDefault="004629E1" w:rsidP="00284C36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2F7D77B" w14:textId="5477FE51" w:rsidR="007219D2" w:rsidRDefault="004629E1" w:rsidP="007219D2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(4) </w:t>
      </w:r>
      <w:r w:rsidR="007219D2">
        <w:rPr>
          <w:rFonts w:ascii="Book Antiqua" w:eastAsia="Times New Roman" w:hAnsi="Book Antiqua" w:cs="Times New Roman"/>
          <w:color w:val="000000" w:themeColor="text1"/>
          <w:lang w:eastAsia="sk-SK"/>
        </w:rPr>
        <w:t>Kto neoprávnene</w:t>
      </w:r>
      <w:r w:rsidR="007219D2" w:rsidRPr="007219D2">
        <w:t xml:space="preserve"> </w:t>
      </w:r>
    </w:p>
    <w:p w14:paraId="79124B18" w14:textId="77777777" w:rsidR="007219D2" w:rsidRPr="00B7529A" w:rsidRDefault="007219D2" w:rsidP="007219D2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B7529A">
        <w:rPr>
          <w:rFonts w:ascii="Book Antiqua" w:eastAsia="Times New Roman" w:hAnsi="Book Antiqua" w:cs="Times New Roman"/>
          <w:color w:val="000000" w:themeColor="text1"/>
          <w:lang w:eastAsia="sk-SK"/>
        </w:rPr>
        <w:t>a) vyrobí,</w:t>
      </w:r>
    </w:p>
    <w:p w14:paraId="4DD7C783" w14:textId="2DA95B84" w:rsidR="007219D2" w:rsidRPr="00B7529A" w:rsidRDefault="007219D2" w:rsidP="007219D2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B7529A">
        <w:rPr>
          <w:rFonts w:ascii="Book Antiqua" w:eastAsia="Times New Roman" w:hAnsi="Book Antiqua" w:cs="Times New Roman"/>
          <w:color w:val="000000" w:themeColor="text1"/>
          <w:lang w:eastAsia="sk-SK"/>
        </w:rPr>
        <w:t>b) dovezie, vyvezie, prevezie alebo dá prepraviť,</w:t>
      </w:r>
      <w:r w:rsidR="004629E1" w:rsidRP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4629E1" w:rsidRPr="00B7529A">
        <w:rPr>
          <w:rFonts w:ascii="Book Antiqua" w:eastAsia="Times New Roman" w:hAnsi="Book Antiqua" w:cs="Times New Roman"/>
          <w:color w:val="000000" w:themeColor="text1"/>
          <w:lang w:eastAsia="sk-SK"/>
        </w:rPr>
        <w:t>alebo</w:t>
      </w:r>
    </w:p>
    <w:p w14:paraId="6A0DDDCE" w14:textId="2359C93C" w:rsidR="007219D2" w:rsidRPr="00B7529A" w:rsidRDefault="007219D2" w:rsidP="007219D2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B7529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c) kúpi, predá, vymení, zadováži, </w:t>
      </w:r>
    </w:p>
    <w:p w14:paraId="7557EEBA" w14:textId="3CFEBEA2" w:rsidR="00E54FFD" w:rsidRDefault="004629E1" w:rsidP="007219D2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4629E1">
        <w:rPr>
          <w:rFonts w:ascii="Book Antiqua" w:eastAsia="Times New Roman" w:hAnsi="Book Antiqua" w:cs="Times New Roman"/>
          <w:color w:val="000000" w:themeColor="text1"/>
          <w:lang w:eastAsia="sk-SK"/>
        </w:rPr>
        <w:t>omamnú látku, psychotropnú látku, jed alebo prekurzor alebo kto takú činnosť sprostredkuje, potrestá sa odňatím slobody na tri roky až desať rokov.</w:t>
      </w:r>
    </w:p>
    <w:p w14:paraId="6BEB3FAB" w14:textId="5F427316" w:rsidR="00E54FFD" w:rsidRDefault="00E54FFD" w:rsidP="00165B5D">
      <w:pPr>
        <w:shd w:val="clear" w:color="auto" w:fill="FFFFFF"/>
        <w:ind w:left="708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5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Odňatím slobody na desať rokov až pätnásť rokov sa páchateľ potrestá, ak spácha čin uvedený v odseku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3 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alebo 4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 už bol 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za taký čin odsúdený.</w:t>
      </w:r>
    </w:p>
    <w:p w14:paraId="4E1B9CE6" w14:textId="7E5BE4DF" w:rsidR="00165B5D" w:rsidRPr="00A74D9B" w:rsidRDefault="00165B5D" w:rsidP="00165B5D">
      <w:pPr>
        <w:shd w:val="clear" w:color="auto" w:fill="FFFFFF"/>
        <w:ind w:left="708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6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) Odňatím slobody na desať rokov až pätnásť rokov sa páchateľ potrestá, ak spácha čin uvedený v odseku 1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, 3</w:t>
      </w:r>
      <w:r w:rsidR="00E54FFD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</w:p>
    <w:p w14:paraId="145EFBF9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a) pre osobu, ktorá sa lieči z drogovej závislosti,</w:t>
      </w:r>
    </w:p>
    <w:p w14:paraId="1AF53FD3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b) závažnejším spôsobom konania,</w:t>
      </w:r>
    </w:p>
    <w:p w14:paraId="4D9E3640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c) na chránenej osobe, alebo</w:t>
      </w:r>
    </w:p>
    <w:p w14:paraId="499422B8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d) vo väčšom rozsahu.</w:t>
      </w:r>
    </w:p>
    <w:p w14:paraId="5304D525" w14:textId="4EE7B9C0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7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) Odňatím slobody na pätnásť rokov až dvadsať rokov sa páchateľ potrestá, ak spácha čin uvedený v odseku 1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, 3</w:t>
      </w:r>
      <w:r w:rsidR="00E54FFD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</w:p>
    <w:p w14:paraId="7B71C048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a) a spôsobí ním ťažkú ujmu na zdraví alebo smrť,</w:t>
      </w:r>
    </w:p>
    <w:p w14:paraId="55EA942C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b) voči osobe mladšej ako pätnásť rokov alebo prostredníctvom takej osoby, alebo</w:t>
      </w:r>
    </w:p>
    <w:p w14:paraId="23434C4E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c) v značnom rozsahu.</w:t>
      </w:r>
    </w:p>
    <w:p w14:paraId="67D30A86" w14:textId="52BA6738" w:rsidR="00165B5D" w:rsidRPr="003526DE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lastRenderedPageBreak/>
        <w:t>(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8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) Odňatím slobody na dvadsať rokov až dvadsaťpäť rokov</w:t>
      </w: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alebo trestom odňatia slobody na doživotie </w:t>
      </w: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>sa páchateľ potrestá, ak spácha čin uvedený v odseku 1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, 3</w:t>
      </w:r>
      <w:r w:rsidR="00E54FFD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</w:p>
    <w:p w14:paraId="2647ADBE" w14:textId="77777777" w:rsidR="00165B5D" w:rsidRPr="003526DE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>a) a spôsobí ním ťažkú ujmu na zdraví viacerým osobám alebo smrť viacerých osôb,</w:t>
      </w:r>
    </w:p>
    <w:p w14:paraId="26E11D8E" w14:textId="77777777" w:rsidR="00165B5D" w:rsidRPr="003526DE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>b) ako člen nebezpečného zoskupenia, alebo</w:t>
      </w:r>
    </w:p>
    <w:p w14:paraId="6730E5C9" w14:textId="5C0E80A9" w:rsidR="00502A98" w:rsidRPr="00D77290" w:rsidRDefault="00165B5D" w:rsidP="00D77290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>c) vo veľkom rozsahu.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357B3B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38F62F1F" w14:textId="77777777" w:rsidR="004B3766" w:rsidRDefault="004B3766" w:rsidP="004B3766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4091EE1" w14:textId="3C4B89E7" w:rsidR="006C68E1" w:rsidRDefault="006C68E1" w:rsidP="00DB2609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V § 173 ods. 1 sa slová „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na jeden rok až päť rokov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 nahrádzajú slovami „až na päť rokov“.</w:t>
      </w:r>
    </w:p>
    <w:p w14:paraId="7FD078AE" w14:textId="77777777" w:rsidR="006C68E1" w:rsidRDefault="006C68E1" w:rsidP="0076474B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1C3BA72" w14:textId="426D84A0" w:rsidR="000F765E" w:rsidRDefault="000B2090" w:rsidP="00DB2609">
      <w:pPr>
        <w:pStyle w:val="Odsekzoznamu"/>
        <w:numPr>
          <w:ilvl w:val="0"/>
          <w:numId w:val="1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Za § </w:t>
      </w:r>
      <w:r w:rsidR="006C68E1">
        <w:rPr>
          <w:rFonts w:ascii="Book Antiqua" w:eastAsia="Times New Roman" w:hAnsi="Book Antiqua" w:cs="Times New Roman"/>
          <w:color w:val="000000" w:themeColor="text1"/>
          <w:lang w:eastAsia="sk-SK"/>
        </w:rPr>
        <w:t>438i</w:t>
      </w: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sa vkladá § </w:t>
      </w:r>
      <w:r w:rsidR="006C68E1">
        <w:rPr>
          <w:rFonts w:ascii="Book Antiqua" w:eastAsia="Times New Roman" w:hAnsi="Book Antiqua" w:cs="Times New Roman"/>
          <w:color w:val="000000" w:themeColor="text1"/>
          <w:lang w:eastAsia="sk-SK"/>
        </w:rPr>
        <w:t>438j</w:t>
      </w: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>, ktorý vrátane nadpisu znie:</w:t>
      </w:r>
    </w:p>
    <w:p w14:paraId="5985785F" w14:textId="77777777" w:rsidR="004A40EA" w:rsidRPr="004C489F" w:rsidRDefault="004A40EA" w:rsidP="004A40EA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19846F3" w14:textId="671566AC" w:rsidR="000B2090" w:rsidRPr="00A74D9B" w:rsidRDefault="000B2090" w:rsidP="000B2090">
      <w:pPr>
        <w:jc w:val="center"/>
        <w:rPr>
          <w:rFonts w:ascii="Book Antiqua" w:hAnsi="Book Antiqua" w:cs="Times New Roman"/>
        </w:rPr>
      </w:pPr>
      <w:r w:rsidRPr="00A74D9B">
        <w:rPr>
          <w:rFonts w:ascii="Book Antiqua" w:hAnsi="Book Antiqua" w:cs="Times New Roman"/>
        </w:rPr>
        <w:t xml:space="preserve">„§ </w:t>
      </w:r>
      <w:r w:rsidR="006C68E1" w:rsidRPr="00A74D9B">
        <w:rPr>
          <w:rFonts w:ascii="Book Antiqua" w:hAnsi="Book Antiqua" w:cs="Times New Roman"/>
        </w:rPr>
        <w:t>438j</w:t>
      </w:r>
    </w:p>
    <w:p w14:paraId="49E697BE" w14:textId="72583670" w:rsidR="000B2090" w:rsidRPr="00A74D9B" w:rsidRDefault="006C68E1" w:rsidP="000B2090">
      <w:pPr>
        <w:jc w:val="center"/>
        <w:rPr>
          <w:rFonts w:ascii="Book Antiqua" w:hAnsi="Book Antiqua" w:cs="Times New Roman"/>
        </w:rPr>
      </w:pPr>
      <w:r w:rsidRPr="00A74D9B">
        <w:rPr>
          <w:rFonts w:ascii="Book Antiqua" w:hAnsi="Book Antiqua" w:cs="Times New Roman"/>
        </w:rPr>
        <w:t xml:space="preserve">Prechodné ustanovenie k úpravám účinným od 1. </w:t>
      </w:r>
      <w:r w:rsidR="007F2DB8">
        <w:rPr>
          <w:rFonts w:ascii="Book Antiqua" w:hAnsi="Book Antiqua" w:cs="Times New Roman"/>
        </w:rPr>
        <w:t>mája</w:t>
      </w:r>
      <w:r w:rsidRPr="00A74D9B">
        <w:rPr>
          <w:rFonts w:ascii="Book Antiqua" w:hAnsi="Book Antiqua" w:cs="Times New Roman"/>
        </w:rPr>
        <w:t xml:space="preserve"> 202</w:t>
      </w:r>
      <w:r w:rsidR="005E1D2E" w:rsidRPr="00A74D9B">
        <w:rPr>
          <w:rFonts w:ascii="Book Antiqua" w:hAnsi="Book Antiqua" w:cs="Times New Roman"/>
        </w:rPr>
        <w:t>2</w:t>
      </w:r>
    </w:p>
    <w:p w14:paraId="4A517107" w14:textId="7CDEB0A2" w:rsidR="00AE77E0" w:rsidRDefault="006C68E1" w:rsidP="006C68E1">
      <w:pPr>
        <w:shd w:val="clear" w:color="auto" w:fill="FFFFFF"/>
        <w:ind w:left="708" w:firstLine="2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Trest odňatia slobody, ktorý nebol podmienečne odložený</w:t>
      </w:r>
      <w:r w:rsidR="009B1DFC">
        <w:rPr>
          <w:rFonts w:ascii="Book Antiqua" w:eastAsia="Times New Roman" w:hAnsi="Book Antiqua" w:cs="Times New Roman"/>
          <w:color w:val="000000" w:themeColor="text1"/>
          <w:lang w:eastAsia="sk-SK"/>
        </w:rPr>
        <w:t>,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 ktorý bol právoplatne uložený pred 1. </w:t>
      </w:r>
      <w:r w:rsidR="007F2DB8">
        <w:rPr>
          <w:rFonts w:ascii="Book Antiqua" w:eastAsia="Times New Roman" w:hAnsi="Book Antiqua" w:cs="Times New Roman"/>
          <w:color w:val="000000" w:themeColor="text1"/>
          <w:lang w:eastAsia="sk-SK"/>
        </w:rPr>
        <w:t>májom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202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za čin, ktorý bol posúdený ako trestný čin podľa § 17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1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§ 17</w:t>
      </w:r>
      <w:r w:rsidR="00D47F12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="00A15AEF">
        <w:rPr>
          <w:rFonts w:ascii="Book Antiqua" w:eastAsia="Times New Roman" w:hAnsi="Book Antiqua" w:cs="Times New Roman"/>
          <w:color w:val="000000" w:themeColor="text1"/>
          <w:lang w:eastAsia="sk-SK"/>
        </w:rPr>
        <w:t>,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 ktorý by bol po </w:t>
      </w:r>
      <w:r w:rsidR="00F3041B">
        <w:rPr>
          <w:rFonts w:ascii="Book Antiqua" w:eastAsia="Times New Roman" w:hAnsi="Book Antiqua" w:cs="Times New Roman"/>
          <w:color w:val="000000" w:themeColor="text1"/>
          <w:lang w:eastAsia="sk-SK"/>
        </w:rPr>
        <w:t>3</w:t>
      </w:r>
      <w:r w:rsidR="007F2DB8">
        <w:rPr>
          <w:rFonts w:ascii="Book Antiqua" w:eastAsia="Times New Roman" w:hAnsi="Book Antiqua" w:cs="Times New Roman"/>
          <w:color w:val="000000" w:themeColor="text1"/>
          <w:lang w:eastAsia="sk-SK"/>
        </w:rPr>
        <w:t>0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. </w:t>
      </w:r>
      <w:r w:rsidR="007F2DB8">
        <w:rPr>
          <w:rFonts w:ascii="Book Antiqua" w:eastAsia="Times New Roman" w:hAnsi="Book Antiqua" w:cs="Times New Roman"/>
          <w:color w:val="000000" w:themeColor="text1"/>
          <w:lang w:eastAsia="sk-SK"/>
        </w:rPr>
        <w:t>apríl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i 202</w:t>
      </w:r>
      <w:r w:rsidR="00F17106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D47F12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posúdený ako 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iný trestný čin alebo ako čin </w:t>
      </w:r>
      <w:r w:rsidR="00D47F12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miernejšie </w:t>
      </w:r>
      <w:r w:rsidR="00D47F12" w:rsidRPr="005E1D2E">
        <w:rPr>
          <w:rFonts w:ascii="Book Antiqua" w:eastAsia="Times New Roman" w:hAnsi="Book Antiqua" w:cs="Times New Roman"/>
          <w:color w:val="000000" w:themeColor="text1"/>
          <w:lang w:eastAsia="sk-SK"/>
        </w:rPr>
        <w:t>trestný</w:t>
      </w:r>
      <w:r w:rsidR="005E1D2E" w:rsidRPr="005E1D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A67119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súd 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po opätovnom posúdení </w:t>
      </w:r>
      <w:r w:rsidR="00A67119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pomerne skráti, ak 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dĺžka </w:t>
      </w:r>
      <w:r w:rsidR="002059C6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uloženého 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>trestu</w:t>
      </w:r>
      <w:r w:rsidR="00BE231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odňatia slobody prevyšuje hornú hranicu trestnej sadzby </w:t>
      </w:r>
      <w:r w:rsid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pre taký čin </w:t>
      </w:r>
      <w:r w:rsidR="00BE2315" w:rsidRPr="00E31403">
        <w:rPr>
          <w:rFonts w:ascii="Book Antiqua" w:eastAsia="Times New Roman" w:hAnsi="Book Antiqua" w:cs="Times New Roman"/>
          <w:color w:val="000000" w:themeColor="text1"/>
          <w:lang w:eastAsia="sk-SK"/>
        </w:rPr>
        <w:t>po nadobudnutí účinnosti tohto zákona</w:t>
      </w:r>
      <w:r w:rsidR="002059C6">
        <w:rPr>
          <w:rFonts w:ascii="Book Antiqua" w:eastAsia="Times New Roman" w:hAnsi="Book Antiqua" w:cs="Times New Roman"/>
          <w:color w:val="000000" w:themeColor="text1"/>
          <w:lang w:eastAsia="sk-SK"/>
        </w:rPr>
        <w:t>,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2059C6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ak </w:t>
      </w:r>
      <w:r w:rsidR="00A67119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vzhľadom na osobu páchateľa a okolnosti prípadu by bolo ponechanie pôvodnej dĺžky trestu odňatia slobody pre odsúdeného neprimerane prísne</w:t>
      </w:r>
      <w:r w:rsidR="00A6711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. 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>P</w:t>
      </w:r>
      <w:r w:rsidR="001F4F35" w:rsidRP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ritom 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súd </w:t>
      </w:r>
      <w:r w:rsidR="001F4F35" w:rsidRPr="001F4F35">
        <w:rPr>
          <w:rFonts w:ascii="Book Antiqua" w:eastAsia="Times New Roman" w:hAnsi="Book Antiqua" w:cs="Times New Roman"/>
          <w:color w:val="000000" w:themeColor="text1"/>
          <w:lang w:eastAsia="sk-SK"/>
        </w:rPr>
        <w:t>prihliadne na vzájomný pomer trestnej sadzby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ustanovenej </w:t>
      </w:r>
      <w:r w:rsidR="00502A98">
        <w:rPr>
          <w:rFonts w:ascii="Book Antiqua" w:eastAsia="Times New Roman" w:hAnsi="Book Antiqua" w:cs="Times New Roman"/>
          <w:color w:val="000000" w:themeColor="text1"/>
          <w:lang w:eastAsia="sk-SK"/>
        </w:rPr>
        <w:t>pre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čin </w:t>
      </w:r>
      <w:r w:rsidR="00E31403" w:rsidRPr="00E31403">
        <w:rPr>
          <w:rFonts w:ascii="Book Antiqua" w:eastAsia="Times New Roman" w:hAnsi="Book Antiqua" w:cs="Times New Roman"/>
          <w:color w:val="000000" w:themeColor="text1"/>
          <w:lang w:eastAsia="sk-SK"/>
        </w:rPr>
        <w:t>pred nadobudnutím a po nadobudnutí účinnosti tohto zákona.</w:t>
      </w:r>
      <w:r w:rsidR="005E1D2E" w:rsidRPr="005E1D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Podľa rovnakých zásad postupuje, ak za taký čin a zbiehajúci sa iný trestný čin bol uložený úhrnný alebo súhrnný trest.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 pomernom skrátení trestu rozhoduje súd, v obvode ktorého sa trest odňatia slobody vykonáva, a to aj bez návrhu.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357B3B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01C7084E" w14:textId="77777777" w:rsidR="00DD664C" w:rsidRDefault="00DD664C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</w:p>
    <w:p w14:paraId="0442F62D" w14:textId="5A517374" w:rsidR="00D47F12" w:rsidRPr="00D47F12" w:rsidRDefault="00D47F12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  <w:r w:rsidRPr="00D47F12">
        <w:rPr>
          <w:rFonts w:ascii="Book Antiqua" w:eastAsia="Times New Roman" w:hAnsi="Book Antiqua" w:cs="Times New Roman"/>
          <w:b/>
          <w:color w:val="000000" w:themeColor="text1"/>
          <w:lang w:eastAsia="sk-SK"/>
        </w:rPr>
        <w:t xml:space="preserve">Čl. </w:t>
      </w:r>
      <w:r>
        <w:rPr>
          <w:rFonts w:ascii="Book Antiqua" w:eastAsia="Times New Roman" w:hAnsi="Book Antiqua" w:cs="Times New Roman"/>
          <w:b/>
          <w:color w:val="000000" w:themeColor="text1"/>
          <w:lang w:eastAsia="sk-SK"/>
        </w:rPr>
        <w:t>II</w:t>
      </w:r>
    </w:p>
    <w:p w14:paraId="608CB976" w14:textId="45D4586A" w:rsidR="00293FDA" w:rsidRPr="004C489F" w:rsidRDefault="00293FDA" w:rsidP="006C68E1">
      <w:pPr>
        <w:ind w:firstLine="708"/>
        <w:jc w:val="both"/>
        <w:rPr>
          <w:rFonts w:ascii="Book Antiqua" w:hAnsi="Book Antiqua" w:cs="Times New Roman"/>
          <w:shd w:val="clear" w:color="auto" w:fill="FFFFFF"/>
        </w:rPr>
      </w:pPr>
      <w:r w:rsidRPr="004C489F">
        <w:rPr>
          <w:rFonts w:ascii="Book Antiqua" w:hAnsi="Book Antiqua" w:cs="Times New Roman"/>
          <w:shd w:val="clear" w:color="auto" w:fill="FFFFFF"/>
        </w:rPr>
        <w:t xml:space="preserve">Tento zákon nadobúda účinnosť 1. </w:t>
      </w:r>
      <w:r w:rsidR="007F2DB8">
        <w:rPr>
          <w:rFonts w:ascii="Book Antiqua" w:hAnsi="Book Antiqua" w:cs="Times New Roman"/>
          <w:shd w:val="clear" w:color="auto" w:fill="FFFFFF"/>
        </w:rPr>
        <w:t>mája</w:t>
      </w:r>
      <w:r w:rsidRPr="004C489F">
        <w:rPr>
          <w:rFonts w:ascii="Book Antiqua" w:hAnsi="Book Antiqua" w:cs="Times New Roman"/>
          <w:shd w:val="clear" w:color="auto" w:fill="FFFFFF"/>
        </w:rPr>
        <w:t xml:space="preserve"> 202</w:t>
      </w:r>
      <w:r w:rsidR="005E1D2E">
        <w:rPr>
          <w:rFonts w:ascii="Book Antiqua" w:hAnsi="Book Antiqua" w:cs="Times New Roman"/>
          <w:shd w:val="clear" w:color="auto" w:fill="FFFFFF"/>
        </w:rPr>
        <w:t>2</w:t>
      </w:r>
      <w:r w:rsidR="003B608C" w:rsidRPr="004C489F">
        <w:rPr>
          <w:rFonts w:ascii="Book Antiqua" w:hAnsi="Book Antiqua" w:cs="Times New Roman"/>
          <w:shd w:val="clear" w:color="auto" w:fill="FFFFFF"/>
        </w:rPr>
        <w:t>.</w:t>
      </w:r>
    </w:p>
    <w:p w14:paraId="6674BF3C" w14:textId="77777777" w:rsidR="00293FDA" w:rsidRPr="004C489F" w:rsidRDefault="00293FDA">
      <w:pPr>
        <w:rPr>
          <w:rFonts w:ascii="Book Antiqua" w:hAnsi="Book Antiqua" w:cs="Times New Roman"/>
          <w:b/>
        </w:rPr>
      </w:pPr>
    </w:p>
    <w:sectPr w:rsidR="00293FDA" w:rsidRPr="004C489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E6C2" w14:textId="77777777" w:rsidR="004F7E39" w:rsidRDefault="004F7E39" w:rsidP="00AD1973">
      <w:pPr>
        <w:spacing w:after="0" w:line="240" w:lineRule="auto"/>
      </w:pPr>
      <w:r>
        <w:separator/>
      </w:r>
    </w:p>
  </w:endnote>
  <w:endnote w:type="continuationSeparator" w:id="0">
    <w:p w14:paraId="2A5159D7" w14:textId="77777777" w:rsidR="004F7E39" w:rsidRDefault="004F7E39" w:rsidP="00AD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904933"/>
      <w:docPartObj>
        <w:docPartGallery w:val="Page Numbers (Bottom of Page)"/>
        <w:docPartUnique/>
      </w:docPartObj>
    </w:sdtPr>
    <w:sdtEndPr/>
    <w:sdtContent>
      <w:p w14:paraId="2ED25D9E" w14:textId="203E0A00" w:rsidR="00AD1973" w:rsidRDefault="00AD197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3359041" w14:textId="77777777" w:rsidR="00AD1973" w:rsidRDefault="00AD19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8E73" w14:textId="77777777" w:rsidR="004F7E39" w:rsidRDefault="004F7E39" w:rsidP="00AD1973">
      <w:pPr>
        <w:spacing w:after="0" w:line="240" w:lineRule="auto"/>
      </w:pPr>
      <w:r>
        <w:separator/>
      </w:r>
    </w:p>
  </w:footnote>
  <w:footnote w:type="continuationSeparator" w:id="0">
    <w:p w14:paraId="4B972F07" w14:textId="77777777" w:rsidR="004F7E39" w:rsidRDefault="004F7E39" w:rsidP="00AD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72E"/>
    <w:multiLevelType w:val="hybridMultilevel"/>
    <w:tmpl w:val="ACCEFA54"/>
    <w:lvl w:ilvl="0" w:tplc="ED624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A5D67"/>
    <w:multiLevelType w:val="hybridMultilevel"/>
    <w:tmpl w:val="D6842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C4AE3"/>
    <w:multiLevelType w:val="hybridMultilevel"/>
    <w:tmpl w:val="E61A197C"/>
    <w:lvl w:ilvl="0" w:tplc="C48A7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71A5"/>
    <w:multiLevelType w:val="hybridMultilevel"/>
    <w:tmpl w:val="C8248B54"/>
    <w:lvl w:ilvl="0" w:tplc="232CA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1602"/>
    <w:multiLevelType w:val="hybridMultilevel"/>
    <w:tmpl w:val="8698DD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65B3E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5D8C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F2A10"/>
    <w:multiLevelType w:val="hybridMultilevel"/>
    <w:tmpl w:val="61DA7C02"/>
    <w:lvl w:ilvl="0" w:tplc="CFD22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518D8"/>
    <w:multiLevelType w:val="hybridMultilevel"/>
    <w:tmpl w:val="2F2E4E92"/>
    <w:lvl w:ilvl="0" w:tplc="93303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E2B75"/>
    <w:multiLevelType w:val="hybridMultilevel"/>
    <w:tmpl w:val="52BC53AE"/>
    <w:lvl w:ilvl="0" w:tplc="9B104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957D2F"/>
    <w:multiLevelType w:val="hybridMultilevel"/>
    <w:tmpl w:val="2632C874"/>
    <w:lvl w:ilvl="0" w:tplc="068A4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F657A"/>
    <w:multiLevelType w:val="hybridMultilevel"/>
    <w:tmpl w:val="E69EC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DA"/>
    <w:rsid w:val="000039FD"/>
    <w:rsid w:val="00033723"/>
    <w:rsid w:val="00050EC4"/>
    <w:rsid w:val="00062804"/>
    <w:rsid w:val="000B2090"/>
    <w:rsid w:val="000B7682"/>
    <w:rsid w:val="000C1125"/>
    <w:rsid w:val="000C352C"/>
    <w:rsid w:val="000F765E"/>
    <w:rsid w:val="00160DCB"/>
    <w:rsid w:val="00165B5D"/>
    <w:rsid w:val="001934C9"/>
    <w:rsid w:val="00197545"/>
    <w:rsid w:val="001A3358"/>
    <w:rsid w:val="001B53E1"/>
    <w:rsid w:val="001C43E9"/>
    <w:rsid w:val="001F4F35"/>
    <w:rsid w:val="002059C6"/>
    <w:rsid w:val="002167C1"/>
    <w:rsid w:val="00247B83"/>
    <w:rsid w:val="002849DD"/>
    <w:rsid w:val="00284C36"/>
    <w:rsid w:val="00293FDA"/>
    <w:rsid w:val="002E2B05"/>
    <w:rsid w:val="002F23AD"/>
    <w:rsid w:val="003005BC"/>
    <w:rsid w:val="00316561"/>
    <w:rsid w:val="00320AE2"/>
    <w:rsid w:val="003526DE"/>
    <w:rsid w:val="00352D03"/>
    <w:rsid w:val="00357B3B"/>
    <w:rsid w:val="003B608C"/>
    <w:rsid w:val="00416242"/>
    <w:rsid w:val="00444E5A"/>
    <w:rsid w:val="004629E1"/>
    <w:rsid w:val="00495AAA"/>
    <w:rsid w:val="004A40EA"/>
    <w:rsid w:val="004A7AB4"/>
    <w:rsid w:val="004B3766"/>
    <w:rsid w:val="004C16A2"/>
    <w:rsid w:val="004C489F"/>
    <w:rsid w:val="004D6863"/>
    <w:rsid w:val="004F0CA9"/>
    <w:rsid w:val="004F6BAF"/>
    <w:rsid w:val="004F7E39"/>
    <w:rsid w:val="00502A98"/>
    <w:rsid w:val="00506F25"/>
    <w:rsid w:val="00543C73"/>
    <w:rsid w:val="005505B1"/>
    <w:rsid w:val="00554CD7"/>
    <w:rsid w:val="00575117"/>
    <w:rsid w:val="005A402D"/>
    <w:rsid w:val="005A4BEE"/>
    <w:rsid w:val="005A5D98"/>
    <w:rsid w:val="005E1D2E"/>
    <w:rsid w:val="005E41E4"/>
    <w:rsid w:val="005E657F"/>
    <w:rsid w:val="00617A3F"/>
    <w:rsid w:val="006471BC"/>
    <w:rsid w:val="006C68E1"/>
    <w:rsid w:val="006D7161"/>
    <w:rsid w:val="006E0154"/>
    <w:rsid w:val="006E746E"/>
    <w:rsid w:val="00700398"/>
    <w:rsid w:val="007219D2"/>
    <w:rsid w:val="00726F05"/>
    <w:rsid w:val="00745556"/>
    <w:rsid w:val="00755DD5"/>
    <w:rsid w:val="0076474B"/>
    <w:rsid w:val="00780672"/>
    <w:rsid w:val="0079436A"/>
    <w:rsid w:val="007C2ACE"/>
    <w:rsid w:val="007F2DB8"/>
    <w:rsid w:val="007F5C1C"/>
    <w:rsid w:val="008004D2"/>
    <w:rsid w:val="0081356E"/>
    <w:rsid w:val="00814478"/>
    <w:rsid w:val="008173F7"/>
    <w:rsid w:val="00825F62"/>
    <w:rsid w:val="00835F88"/>
    <w:rsid w:val="008411D7"/>
    <w:rsid w:val="00860C76"/>
    <w:rsid w:val="0089021D"/>
    <w:rsid w:val="008A60C5"/>
    <w:rsid w:val="008F0902"/>
    <w:rsid w:val="009544F5"/>
    <w:rsid w:val="0097740F"/>
    <w:rsid w:val="00985881"/>
    <w:rsid w:val="009863D9"/>
    <w:rsid w:val="009B1DFC"/>
    <w:rsid w:val="009B211B"/>
    <w:rsid w:val="009D5DD2"/>
    <w:rsid w:val="009F4562"/>
    <w:rsid w:val="00A15AEF"/>
    <w:rsid w:val="00A335D9"/>
    <w:rsid w:val="00A67119"/>
    <w:rsid w:val="00A74D9B"/>
    <w:rsid w:val="00A86F07"/>
    <w:rsid w:val="00AC7BBD"/>
    <w:rsid w:val="00AD1973"/>
    <w:rsid w:val="00AE76CD"/>
    <w:rsid w:val="00AE77E0"/>
    <w:rsid w:val="00AF4577"/>
    <w:rsid w:val="00AF540B"/>
    <w:rsid w:val="00B04407"/>
    <w:rsid w:val="00B22C15"/>
    <w:rsid w:val="00B41EDB"/>
    <w:rsid w:val="00B64F63"/>
    <w:rsid w:val="00B65460"/>
    <w:rsid w:val="00B7529A"/>
    <w:rsid w:val="00B96347"/>
    <w:rsid w:val="00BE22CD"/>
    <w:rsid w:val="00BE2315"/>
    <w:rsid w:val="00BF7599"/>
    <w:rsid w:val="00C04A54"/>
    <w:rsid w:val="00C4585E"/>
    <w:rsid w:val="00C8232A"/>
    <w:rsid w:val="00C863A4"/>
    <w:rsid w:val="00C92484"/>
    <w:rsid w:val="00CD0E43"/>
    <w:rsid w:val="00D31610"/>
    <w:rsid w:val="00D47F12"/>
    <w:rsid w:val="00D50641"/>
    <w:rsid w:val="00D5400B"/>
    <w:rsid w:val="00D63608"/>
    <w:rsid w:val="00D77290"/>
    <w:rsid w:val="00DB2609"/>
    <w:rsid w:val="00DD664C"/>
    <w:rsid w:val="00E31403"/>
    <w:rsid w:val="00E36132"/>
    <w:rsid w:val="00E54FFD"/>
    <w:rsid w:val="00E85548"/>
    <w:rsid w:val="00E915EC"/>
    <w:rsid w:val="00EC1B98"/>
    <w:rsid w:val="00ED3ABB"/>
    <w:rsid w:val="00EE3BFF"/>
    <w:rsid w:val="00F17106"/>
    <w:rsid w:val="00F176A1"/>
    <w:rsid w:val="00F2152E"/>
    <w:rsid w:val="00F3041B"/>
    <w:rsid w:val="00F56257"/>
    <w:rsid w:val="00F95B6F"/>
    <w:rsid w:val="00FB2148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785F"/>
  <w15:docId w15:val="{F207DB1C-DFED-44DA-A05C-850F2033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3FD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93FDA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6D7161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D716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D7161"/>
  </w:style>
  <w:style w:type="paragraph" w:styleId="Textbubliny">
    <w:name w:val="Balloon Text"/>
    <w:basedOn w:val="Normlny"/>
    <w:link w:val="TextbublinyChar"/>
    <w:uiPriority w:val="99"/>
    <w:semiHidden/>
    <w:unhideWhenUsed/>
    <w:rsid w:val="005A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D9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B20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61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61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61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613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1973"/>
  </w:style>
  <w:style w:type="paragraph" w:styleId="Pta">
    <w:name w:val="footer"/>
    <w:basedOn w:val="Normlny"/>
    <w:link w:val="Pt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1973"/>
  </w:style>
  <w:style w:type="paragraph" w:styleId="Revzia">
    <w:name w:val="Revision"/>
    <w:hidden/>
    <w:uiPriority w:val="99"/>
    <w:semiHidden/>
    <w:rsid w:val="00320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WKX3UHSAJ2R6-2-1068209</_dlc_DocId>
    <_dlc_DocIdUrl xmlns="e60a29af-d413-48d4-bd90-fe9d2a897e4b">
      <Url>https://ovdmasv601/sites/DMS/_layouts/15/DocIdRedir.aspx?ID=WKX3UHSAJ2R6-2-1068209</Url>
      <Description>WKX3UHSAJ2R6-2-1068209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8CF83-A0A9-4210-A6E2-BFA30FE3A3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372A40-566E-4B0F-A4E3-1CAC3EEA9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E4D36-6FC2-40E2-9541-E545830B1512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A6A7877F-FFE4-4506-97E5-D18430F33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Martin Kozar</cp:lastModifiedBy>
  <cp:revision>4</cp:revision>
  <cp:lastPrinted>2021-02-23T10:32:00Z</cp:lastPrinted>
  <dcterms:created xsi:type="dcterms:W3CDTF">2022-01-11T17:53:00Z</dcterms:created>
  <dcterms:modified xsi:type="dcterms:W3CDTF">2022-01-12T10:11:00Z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65f8e135-d974-417c-af01-f8f5589d48b4</vt:lpwstr>
  </property>
</Properties>
</file>