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4717" w14:textId="77777777" w:rsidR="006B71D9" w:rsidRPr="00CF2DB7" w:rsidRDefault="006B71D9" w:rsidP="006B71D9">
      <w:pPr>
        <w:pStyle w:val="Normlnywebov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175F2668" w14:textId="77777777" w:rsidR="006B71D9" w:rsidRPr="00CF2DB7" w:rsidRDefault="006B71D9" w:rsidP="006B71D9">
      <w:pPr>
        <w:pStyle w:val="Nadpis1"/>
        <w:rPr>
          <w:rFonts w:ascii="Book Antiqua" w:hAnsi="Book Antiqua"/>
          <w:sz w:val="22"/>
          <w:szCs w:val="22"/>
        </w:rPr>
      </w:pPr>
    </w:p>
    <w:p w14:paraId="38513095" w14:textId="77777777" w:rsidR="006B71D9" w:rsidRPr="00CF2DB7" w:rsidRDefault="006B71D9" w:rsidP="006B71D9">
      <w:pPr>
        <w:pStyle w:val="Nadpis1"/>
        <w:jc w:val="both"/>
        <w:rPr>
          <w:rFonts w:ascii="Book Antiqua" w:hAnsi="Book Antiqua"/>
          <w:sz w:val="22"/>
          <w:szCs w:val="22"/>
          <w:lang w:eastAsia="x-none"/>
        </w:rPr>
      </w:pPr>
      <w:r w:rsidRPr="00CF2DB7">
        <w:rPr>
          <w:rFonts w:ascii="Book Antiqua" w:hAnsi="Book Antiqua"/>
          <w:sz w:val="22"/>
          <w:szCs w:val="22"/>
        </w:rPr>
        <w:t>A. Všeobecná časť</w:t>
      </w:r>
    </w:p>
    <w:p w14:paraId="71A3DA1B" w14:textId="77777777" w:rsidR="004742E4" w:rsidRDefault="004742E4" w:rsidP="004742E4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564082A8" w14:textId="651F0230" w:rsidR="0001541C" w:rsidRPr="00CF2DB7" w:rsidRDefault="006B71D9" w:rsidP="004742E4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Návrh </w:t>
      </w:r>
      <w:r w:rsidR="0001541C">
        <w:rPr>
          <w:rFonts w:ascii="Book Antiqua" w:hAnsi="Book Antiqu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 xml:space="preserve">zákona, ktorým sa dopĺňa </w:t>
      </w:r>
      <w:r w:rsidR="000A4C14">
        <w:rPr>
          <w:rFonts w:ascii="Book Antiqua" w:hAnsi="Book Antiqua"/>
          <w:sz w:val="22"/>
          <w:szCs w:val="22"/>
        </w:rPr>
        <w:t xml:space="preserve">ústavný </w:t>
      </w:r>
      <w:r w:rsidRPr="00CF2DB7">
        <w:rPr>
          <w:rFonts w:ascii="Book Antiqua" w:hAnsi="Book Antiqua"/>
          <w:sz w:val="22"/>
          <w:szCs w:val="22"/>
        </w:rPr>
        <w:t>zákon č.</w:t>
      </w:r>
      <w:r w:rsidRPr="0001541C">
        <w:rPr>
          <w:rFonts w:ascii="Book Antiqua" w:hAnsi="Book Antiqua"/>
          <w:sz w:val="22"/>
          <w:szCs w:val="22"/>
        </w:rPr>
        <w:t xml:space="preserve"> </w:t>
      </w:r>
      <w:r w:rsidR="0001541C" w:rsidRPr="0001541C">
        <w:rPr>
          <w:rFonts w:ascii="Book Antiqua" w:hAnsi="Book Antiqua"/>
          <w:sz w:val="22"/>
          <w:szCs w:val="22"/>
          <w:shd w:val="clear" w:color="auto" w:fill="FFFFFF"/>
        </w:rPr>
        <w:t xml:space="preserve">254/2006 Z. z. </w:t>
      </w:r>
      <w:r w:rsidR="0001541C" w:rsidRPr="0001541C">
        <w:rPr>
          <w:rFonts w:ascii="Book Antiqua" w:hAnsi="Book Antiqua" w:cstheme="minorHAnsi"/>
          <w:sz w:val="22"/>
          <w:szCs w:val="22"/>
        </w:rPr>
        <w:t>o zriadení a činnosti výboru Národnej rady Slovenskej republiky na preskúmavanie rozhodnutí Národného bezpečnostného úradu</w:t>
      </w:r>
      <w:r w:rsidR="0001541C" w:rsidRPr="00CF2DB7" w:rsidDel="0001541C">
        <w:rPr>
          <w:rFonts w:ascii="Book Antiqua" w:hAnsi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 xml:space="preserve">(ďalej len „návrh </w:t>
      </w:r>
      <w:r w:rsidR="0001541C">
        <w:rPr>
          <w:rFonts w:ascii="Book Antiqua" w:hAnsi="Book Antiqu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 xml:space="preserve">zákona“) predkladá </w:t>
      </w:r>
      <w:r w:rsidR="00666F9C" w:rsidRPr="00CF2DB7">
        <w:rPr>
          <w:rFonts w:ascii="Book Antiqua" w:hAnsi="Book Antiqua"/>
          <w:sz w:val="22"/>
          <w:szCs w:val="22"/>
        </w:rPr>
        <w:t>skupina poslancov</w:t>
      </w:r>
      <w:r w:rsidRPr="00CF2DB7">
        <w:rPr>
          <w:rFonts w:ascii="Book Antiqua" w:hAnsi="Book Antiqua"/>
          <w:sz w:val="22"/>
          <w:szCs w:val="22"/>
        </w:rPr>
        <w:t xml:space="preserve"> Národnej rady Slovenskej republiky. </w:t>
      </w:r>
    </w:p>
    <w:p w14:paraId="1313EBCD" w14:textId="5A092BC1" w:rsidR="0076365B" w:rsidRDefault="00E06F28" w:rsidP="004742E4">
      <w:pPr>
        <w:ind w:firstLine="708"/>
        <w:jc w:val="both"/>
        <w:rPr>
          <w:rFonts w:ascii="Book Antiqua" w:hAnsi="Book Antiqua" w:cstheme="minorHAnsi"/>
          <w:sz w:val="22"/>
          <w:szCs w:val="22"/>
        </w:rPr>
      </w:pPr>
      <w:r w:rsidRPr="00E06F28">
        <w:rPr>
          <w:rFonts w:ascii="Book Antiqua" w:hAnsi="Book Antiqua"/>
          <w:sz w:val="22"/>
          <w:szCs w:val="22"/>
        </w:rPr>
        <w:t xml:space="preserve">Cieľom predkladaného návrhu </w:t>
      </w:r>
      <w:r w:rsidR="0001541C">
        <w:rPr>
          <w:rFonts w:ascii="Book Antiqua" w:hAnsi="Book Antiqua"/>
          <w:sz w:val="22"/>
          <w:szCs w:val="22"/>
        </w:rPr>
        <w:t xml:space="preserve">ústavného </w:t>
      </w:r>
      <w:r w:rsidRPr="00E06F28">
        <w:rPr>
          <w:rFonts w:ascii="Book Antiqua" w:hAnsi="Book Antiqua"/>
          <w:sz w:val="22"/>
          <w:szCs w:val="22"/>
        </w:rPr>
        <w:t xml:space="preserve">zákona je </w:t>
      </w:r>
      <w:r w:rsidR="000A4C14">
        <w:rPr>
          <w:rFonts w:ascii="Book Antiqua" w:hAnsi="Book Antiqua"/>
          <w:sz w:val="22"/>
          <w:szCs w:val="22"/>
        </w:rPr>
        <w:t xml:space="preserve">podporiť jednoznačnosť výkladu </w:t>
      </w:r>
      <w:r w:rsidR="007558C1">
        <w:rPr>
          <w:rFonts w:ascii="Book Antiqua" w:hAnsi="Book Antiqua"/>
          <w:sz w:val="22"/>
          <w:szCs w:val="22"/>
        </w:rPr>
        <w:t>čl</w:t>
      </w:r>
      <w:r w:rsidR="000A4C14">
        <w:rPr>
          <w:rFonts w:ascii="Book Antiqua" w:hAnsi="Book Antiqua"/>
          <w:sz w:val="22"/>
          <w:szCs w:val="22"/>
        </w:rPr>
        <w:t xml:space="preserve">. 5 </w:t>
      </w:r>
      <w:r w:rsidR="00790E19">
        <w:rPr>
          <w:rFonts w:ascii="Book Antiqua" w:hAnsi="Book Antiqua"/>
          <w:sz w:val="22"/>
          <w:szCs w:val="22"/>
        </w:rPr>
        <w:t xml:space="preserve">ústavného </w:t>
      </w:r>
      <w:r w:rsidR="000A4C14" w:rsidRPr="00CF2DB7">
        <w:rPr>
          <w:rFonts w:ascii="Book Antiqua" w:hAnsi="Book Antiqua"/>
          <w:sz w:val="22"/>
          <w:szCs w:val="22"/>
        </w:rPr>
        <w:t>zákon</w:t>
      </w:r>
      <w:r w:rsidR="000A4C14">
        <w:rPr>
          <w:rFonts w:ascii="Book Antiqua" w:hAnsi="Book Antiqua"/>
          <w:sz w:val="22"/>
          <w:szCs w:val="22"/>
        </w:rPr>
        <w:t>a</w:t>
      </w:r>
      <w:r w:rsidR="000A4C14" w:rsidRPr="00CF2DB7">
        <w:rPr>
          <w:rFonts w:ascii="Book Antiqua" w:hAnsi="Book Antiqua"/>
          <w:sz w:val="22"/>
          <w:szCs w:val="22"/>
        </w:rPr>
        <w:t xml:space="preserve"> č.</w:t>
      </w:r>
      <w:r w:rsidR="000A4C14" w:rsidRPr="0001541C">
        <w:rPr>
          <w:rFonts w:ascii="Book Antiqua" w:hAnsi="Book Antiqua"/>
          <w:sz w:val="22"/>
          <w:szCs w:val="22"/>
        </w:rPr>
        <w:t xml:space="preserve"> </w:t>
      </w:r>
      <w:r w:rsidR="000A4C14" w:rsidRPr="0001541C">
        <w:rPr>
          <w:rFonts w:ascii="Book Antiqua" w:hAnsi="Book Antiqua"/>
          <w:sz w:val="22"/>
          <w:szCs w:val="22"/>
          <w:shd w:val="clear" w:color="auto" w:fill="FFFFFF"/>
        </w:rPr>
        <w:t xml:space="preserve">254/2006 Z. z. </w:t>
      </w:r>
      <w:r w:rsidR="000A4C14" w:rsidRPr="0001541C">
        <w:rPr>
          <w:rFonts w:ascii="Book Antiqua" w:hAnsi="Book Antiqua" w:cstheme="minorHAnsi"/>
          <w:sz w:val="22"/>
          <w:szCs w:val="22"/>
        </w:rPr>
        <w:t>o zriadení a činnosti výboru Národnej rady Slovenskej republiky na preskúmavanie rozhodnutí Národného bezpečnostného úradu</w:t>
      </w:r>
      <w:r w:rsidR="000A4C14">
        <w:rPr>
          <w:rFonts w:ascii="Book Antiqua" w:hAnsi="Book Antiqua" w:cstheme="minorHAnsi"/>
          <w:sz w:val="22"/>
          <w:szCs w:val="22"/>
        </w:rPr>
        <w:t xml:space="preserve"> vo vzťahu k určeniu súdu príslušného na preskúmanie rozhodnutia výboru.</w:t>
      </w:r>
      <w:r w:rsidR="00154729">
        <w:rPr>
          <w:rFonts w:ascii="Book Antiqua" w:hAnsi="Book Antiqua" w:cstheme="minorHAnsi"/>
          <w:sz w:val="22"/>
          <w:szCs w:val="22"/>
        </w:rPr>
        <w:t xml:space="preserve"> </w:t>
      </w:r>
    </w:p>
    <w:p w14:paraId="2347E273" w14:textId="28BF3462" w:rsidR="00E06F28" w:rsidRPr="00E06F28" w:rsidRDefault="003C569F" w:rsidP="004742E4">
      <w:pPr>
        <w:ind w:firstLine="708"/>
        <w:jc w:val="both"/>
      </w:pPr>
      <w:r>
        <w:rPr>
          <w:rFonts w:ascii="Book Antiqua" w:hAnsi="Book Antiqua" w:cstheme="minorHAnsi"/>
          <w:sz w:val="22"/>
          <w:szCs w:val="22"/>
        </w:rPr>
        <w:t>Ú</w:t>
      </w:r>
      <w:r w:rsidR="00154729" w:rsidRPr="00154729">
        <w:rPr>
          <w:rFonts w:ascii="Book Antiqua" w:hAnsi="Book Antiqua" w:cstheme="minorHAnsi"/>
          <w:sz w:val="22"/>
          <w:szCs w:val="22"/>
        </w:rPr>
        <w:t>stavný</w:t>
      </w:r>
      <w:r>
        <w:rPr>
          <w:rFonts w:ascii="Book Antiqua" w:hAnsi="Book Antiqua" w:cstheme="minorHAnsi"/>
          <w:sz w:val="22"/>
          <w:szCs w:val="22"/>
        </w:rPr>
        <w:t>m</w:t>
      </w:r>
      <w:r w:rsidR="00154729" w:rsidRPr="00154729">
        <w:rPr>
          <w:rFonts w:ascii="Book Antiqua" w:hAnsi="Book Antiqua" w:cstheme="minorHAnsi"/>
          <w:sz w:val="22"/>
          <w:szCs w:val="22"/>
        </w:rPr>
        <w:t xml:space="preserve"> zákon</w:t>
      </w:r>
      <w:r>
        <w:rPr>
          <w:rFonts w:ascii="Book Antiqua" w:hAnsi="Book Antiqua" w:cstheme="minorHAnsi"/>
          <w:sz w:val="22"/>
          <w:szCs w:val="22"/>
        </w:rPr>
        <w:t>om</w:t>
      </w:r>
      <w:r w:rsidR="00154729" w:rsidRPr="00154729">
        <w:rPr>
          <w:rFonts w:ascii="Book Antiqua" w:hAnsi="Book Antiqua" w:cstheme="minorHAnsi"/>
          <w:sz w:val="22"/>
          <w:szCs w:val="22"/>
        </w:rPr>
        <w:t xml:space="preserve"> č. 422/2020 Z. z., </w:t>
      </w:r>
      <w:r w:rsidR="00154729" w:rsidRPr="00154729">
        <w:rPr>
          <w:rFonts w:ascii="Book Antiqua" w:hAnsi="Book Antiqua" w:cs="Helvetica"/>
          <w:sz w:val="22"/>
          <w:szCs w:val="22"/>
        </w:rPr>
        <w:t xml:space="preserve">ktorým sa mení a dopĺňa Ústava Slovenskej republiky </w:t>
      </w:r>
      <w:r w:rsidR="00154729" w:rsidRPr="00154729">
        <w:rPr>
          <w:rStyle w:val="PremennHTML"/>
          <w:rFonts w:ascii="Book Antiqua" w:hAnsi="Book Antiqua" w:cs="Helvetica"/>
          <w:i w:val="0"/>
          <w:sz w:val="22"/>
          <w:szCs w:val="22"/>
        </w:rPr>
        <w:t>č.</w:t>
      </w:r>
      <w:r w:rsidR="00154729" w:rsidRPr="006E616B">
        <w:rPr>
          <w:rFonts w:ascii="Book Antiqua" w:hAnsi="Book Antiqua" w:cs="Helvetica"/>
          <w:sz w:val="22"/>
          <w:szCs w:val="22"/>
        </w:rPr>
        <w:t xml:space="preserve"> 460/1992 Zb. v znení neskorších predpisov</w:t>
      </w:r>
      <w:r>
        <w:rPr>
          <w:rFonts w:ascii="Book Antiqua" w:hAnsi="Book Antiqua" w:cs="Helvetica"/>
          <w:sz w:val="22"/>
          <w:szCs w:val="22"/>
        </w:rPr>
        <w:t xml:space="preserve"> </w:t>
      </w:r>
      <w:r w:rsidR="00154729">
        <w:rPr>
          <w:rFonts w:ascii="Book Antiqua" w:hAnsi="Book Antiqua" w:cs="Helvetica"/>
          <w:sz w:val="22"/>
          <w:szCs w:val="22"/>
        </w:rPr>
        <w:t xml:space="preserve">bola vykonaná novelizácia všetkých ustanovení </w:t>
      </w:r>
      <w:r w:rsidR="00FB3F17">
        <w:rPr>
          <w:rFonts w:ascii="Book Antiqua" w:hAnsi="Book Antiqua" w:cs="Helvetica"/>
          <w:sz w:val="22"/>
          <w:szCs w:val="22"/>
        </w:rPr>
        <w:t>Ú</w:t>
      </w:r>
      <w:r w:rsidR="00154729">
        <w:rPr>
          <w:rFonts w:ascii="Book Antiqua" w:hAnsi="Book Antiqua" w:cs="Helvetica"/>
          <w:sz w:val="22"/>
          <w:szCs w:val="22"/>
        </w:rPr>
        <w:t xml:space="preserve">stavy </w:t>
      </w:r>
      <w:r w:rsidR="00FB3F17">
        <w:rPr>
          <w:rFonts w:ascii="Book Antiqua" w:hAnsi="Book Antiqua" w:cs="Helvetica"/>
          <w:sz w:val="22"/>
          <w:szCs w:val="22"/>
        </w:rPr>
        <w:t xml:space="preserve">Slovenskej republiky </w:t>
      </w:r>
      <w:r w:rsidR="00154729">
        <w:rPr>
          <w:rFonts w:ascii="Book Antiqua" w:hAnsi="Book Antiqua" w:cs="Helvetica"/>
          <w:sz w:val="22"/>
          <w:szCs w:val="22"/>
        </w:rPr>
        <w:t>týkajúcich sa Najvyššieho súdu</w:t>
      </w:r>
      <w:r>
        <w:rPr>
          <w:rFonts w:ascii="Book Antiqua" w:hAnsi="Book Antiqua" w:cs="Helvetica"/>
          <w:sz w:val="22"/>
          <w:szCs w:val="22"/>
        </w:rPr>
        <w:t xml:space="preserve"> Slovenskej republiky</w:t>
      </w:r>
      <w:r w:rsidR="0050518C">
        <w:rPr>
          <w:rFonts w:ascii="Book Antiqua" w:hAnsi="Book Antiqua" w:cs="Helvetica"/>
          <w:sz w:val="22"/>
          <w:szCs w:val="22"/>
        </w:rPr>
        <w:t xml:space="preserve"> (ďalej len „najvyšší súd“)</w:t>
      </w:r>
      <w:r w:rsidR="0076365B">
        <w:rPr>
          <w:rFonts w:ascii="Book Antiqua" w:hAnsi="Book Antiqua" w:cs="Helvetica"/>
          <w:sz w:val="22"/>
          <w:szCs w:val="22"/>
        </w:rPr>
        <w:t xml:space="preserve">, ktorá mala za účel zohľadniť zaradenie Najvyššieho správneho súdu Slovenskej republiky </w:t>
      </w:r>
      <w:r w:rsidR="0050518C">
        <w:rPr>
          <w:rFonts w:ascii="Book Antiqua" w:hAnsi="Book Antiqua" w:cs="Helvetica"/>
          <w:sz w:val="22"/>
          <w:szCs w:val="22"/>
        </w:rPr>
        <w:t xml:space="preserve">(ďalej len „najvyšší správny súd“) </w:t>
      </w:r>
      <w:r w:rsidR="0076365B">
        <w:rPr>
          <w:rFonts w:ascii="Book Antiqua" w:hAnsi="Book Antiqua" w:cs="Helvetica"/>
          <w:sz w:val="22"/>
          <w:szCs w:val="22"/>
        </w:rPr>
        <w:t xml:space="preserve">do sústavy súdov. Hierarchické postavenie </w:t>
      </w:r>
      <w:r w:rsidR="0050518C">
        <w:rPr>
          <w:rFonts w:ascii="Book Antiqua" w:hAnsi="Book Antiqua" w:cs="Helvetica"/>
          <w:sz w:val="22"/>
          <w:szCs w:val="22"/>
        </w:rPr>
        <w:t>n</w:t>
      </w:r>
      <w:r w:rsidR="0076365B">
        <w:rPr>
          <w:rFonts w:ascii="Book Antiqua" w:hAnsi="Book Antiqua" w:cs="Helvetica"/>
          <w:sz w:val="22"/>
          <w:szCs w:val="22"/>
        </w:rPr>
        <w:t xml:space="preserve">ajvyššieho správneho súdu je rovnocenné s postavením </w:t>
      </w:r>
      <w:r w:rsidR="0050518C">
        <w:rPr>
          <w:rFonts w:ascii="Book Antiqua" w:hAnsi="Book Antiqua" w:cs="Helvetica"/>
          <w:sz w:val="22"/>
          <w:szCs w:val="22"/>
        </w:rPr>
        <w:t>n</w:t>
      </w:r>
      <w:r w:rsidR="0076365B">
        <w:rPr>
          <w:rFonts w:ascii="Book Antiqua" w:hAnsi="Book Antiqua" w:cs="Helvetica"/>
          <w:sz w:val="22"/>
          <w:szCs w:val="22"/>
        </w:rPr>
        <w:t xml:space="preserve">ajvyššieho súdu. </w:t>
      </w:r>
      <w:r w:rsidR="00730F3B">
        <w:rPr>
          <w:rFonts w:ascii="Book Antiqua" w:hAnsi="Book Antiqua" w:cs="Helvetica"/>
          <w:sz w:val="22"/>
          <w:szCs w:val="22"/>
        </w:rPr>
        <w:t xml:space="preserve">Zaradením </w:t>
      </w:r>
      <w:r w:rsidR="0050518C">
        <w:rPr>
          <w:rFonts w:ascii="Book Antiqua" w:hAnsi="Book Antiqua" w:cs="Helvetica"/>
          <w:sz w:val="22"/>
          <w:szCs w:val="22"/>
        </w:rPr>
        <w:t>n</w:t>
      </w:r>
      <w:r w:rsidR="00730F3B">
        <w:rPr>
          <w:rFonts w:ascii="Book Antiqua" w:hAnsi="Book Antiqua" w:cs="Helvetica"/>
          <w:sz w:val="22"/>
          <w:szCs w:val="22"/>
        </w:rPr>
        <w:t xml:space="preserve">ajvyššieho správneho súdu do sústavy súdov teda </w:t>
      </w:r>
      <w:r w:rsidR="007558C1">
        <w:rPr>
          <w:rFonts w:ascii="Book Antiqua" w:hAnsi="Book Antiqua" w:cs="Helvetica"/>
          <w:sz w:val="22"/>
          <w:szCs w:val="22"/>
        </w:rPr>
        <w:t xml:space="preserve">vznikla </w:t>
      </w:r>
      <w:r w:rsidR="00730F3B">
        <w:rPr>
          <w:rFonts w:ascii="Book Antiqua" w:hAnsi="Book Antiqua" w:cs="Helvetica"/>
          <w:sz w:val="22"/>
          <w:szCs w:val="22"/>
        </w:rPr>
        <w:t xml:space="preserve">ďalšia najvyššia súdna inštancia, ktorej pôsobnosť je vymedzená odlišne od pôsobnosti </w:t>
      </w:r>
      <w:r w:rsidR="0050518C">
        <w:rPr>
          <w:rFonts w:ascii="Book Antiqua" w:hAnsi="Book Antiqua" w:cs="Helvetica"/>
          <w:sz w:val="22"/>
          <w:szCs w:val="22"/>
        </w:rPr>
        <w:t>n</w:t>
      </w:r>
      <w:r w:rsidR="00730F3B">
        <w:rPr>
          <w:rFonts w:ascii="Book Antiqua" w:hAnsi="Book Antiqua" w:cs="Helvetica"/>
          <w:sz w:val="22"/>
          <w:szCs w:val="22"/>
        </w:rPr>
        <w:t>ajvyššieho súdu, čo je napokon aj rozlišujúcim kritériom</w:t>
      </w:r>
      <w:r w:rsidR="005E35CD">
        <w:rPr>
          <w:rFonts w:ascii="Book Antiqua" w:hAnsi="Book Antiqua" w:cs="Helvetica"/>
          <w:sz w:val="22"/>
          <w:szCs w:val="22"/>
        </w:rPr>
        <w:t xml:space="preserve"> medzi oboma súdmi</w:t>
      </w:r>
      <w:r w:rsidR="00730F3B">
        <w:rPr>
          <w:rFonts w:ascii="Book Antiqua" w:hAnsi="Book Antiqua" w:cs="Helvetica"/>
          <w:sz w:val="22"/>
          <w:szCs w:val="22"/>
        </w:rPr>
        <w:t>.</w:t>
      </w:r>
      <w:r w:rsidR="005E35CD">
        <w:rPr>
          <w:rFonts w:ascii="Book Antiqua" w:hAnsi="Book Antiqua" w:cs="Helvetica"/>
          <w:sz w:val="22"/>
          <w:szCs w:val="22"/>
        </w:rPr>
        <w:t xml:space="preserve"> S poukazom na všeobecnú časť dôvodovej správy k ústavnému zákonu </w:t>
      </w:r>
      <w:r w:rsidR="005E35CD" w:rsidRPr="00154729">
        <w:rPr>
          <w:rFonts w:ascii="Book Antiqua" w:hAnsi="Book Antiqua" w:cstheme="minorHAnsi"/>
          <w:sz w:val="22"/>
          <w:szCs w:val="22"/>
        </w:rPr>
        <w:t xml:space="preserve">č. 422/2020 Z. z., </w:t>
      </w:r>
      <w:r w:rsidR="005E35CD" w:rsidRPr="00154729">
        <w:rPr>
          <w:rFonts w:ascii="Book Antiqua" w:hAnsi="Book Antiqua" w:cs="Helvetica"/>
          <w:sz w:val="22"/>
          <w:szCs w:val="22"/>
        </w:rPr>
        <w:t xml:space="preserve">ktorým sa mení a dopĺňa Ústava Slovenskej republiky </w:t>
      </w:r>
      <w:r w:rsidR="005E35CD" w:rsidRPr="00154729">
        <w:rPr>
          <w:rStyle w:val="PremennHTML"/>
          <w:rFonts w:ascii="Book Antiqua" w:hAnsi="Book Antiqua" w:cs="Helvetica"/>
          <w:i w:val="0"/>
          <w:sz w:val="22"/>
          <w:szCs w:val="22"/>
        </w:rPr>
        <w:t>č.</w:t>
      </w:r>
      <w:r w:rsidR="005E35CD" w:rsidRPr="006E616B">
        <w:rPr>
          <w:rFonts w:ascii="Book Antiqua" w:hAnsi="Book Antiqua" w:cs="Helvetica"/>
          <w:sz w:val="22"/>
          <w:szCs w:val="22"/>
        </w:rPr>
        <w:t xml:space="preserve"> 460/1992 Zb. v znení neskorších predpisov</w:t>
      </w:r>
      <w:r w:rsidR="005E35CD">
        <w:rPr>
          <w:rFonts w:ascii="Book Antiqua" w:hAnsi="Book Antiqua" w:cs="Helvetica"/>
          <w:sz w:val="22"/>
          <w:szCs w:val="22"/>
        </w:rPr>
        <w:t xml:space="preserve"> </w:t>
      </w:r>
      <w:r w:rsidR="0050518C">
        <w:rPr>
          <w:rFonts w:ascii="Book Antiqua" w:hAnsi="Book Antiqua" w:cs="Helvetica"/>
          <w:sz w:val="22"/>
          <w:szCs w:val="22"/>
        </w:rPr>
        <w:t>n</w:t>
      </w:r>
      <w:r w:rsidR="005E35CD">
        <w:rPr>
          <w:rFonts w:ascii="Book Antiqua" w:hAnsi="Book Antiqua" w:cs="Helvetica"/>
          <w:sz w:val="22"/>
          <w:szCs w:val="22"/>
        </w:rPr>
        <w:t xml:space="preserve">ajvyšší súd bude najvyššou súdnou inštanciou pre oblasť občianskoprávnych, obchodnoprávnych a trestných vecí, zatiaľ čo </w:t>
      </w:r>
      <w:r w:rsidR="0050518C">
        <w:rPr>
          <w:rFonts w:ascii="Book Antiqua" w:hAnsi="Book Antiqua" w:cs="Helvetica"/>
          <w:sz w:val="22"/>
          <w:szCs w:val="22"/>
        </w:rPr>
        <w:t>n</w:t>
      </w:r>
      <w:r w:rsidR="005E35CD">
        <w:rPr>
          <w:rFonts w:ascii="Book Antiqua" w:hAnsi="Book Antiqua" w:cs="Helvetica"/>
          <w:sz w:val="22"/>
          <w:szCs w:val="22"/>
        </w:rPr>
        <w:t xml:space="preserve">ajvyšší správny súd najvyššou súdnou inštanciou </w:t>
      </w:r>
      <w:r w:rsidR="0050518C">
        <w:rPr>
          <w:rFonts w:ascii="Book Antiqua" w:hAnsi="Book Antiqua" w:cs="Helvetica"/>
          <w:sz w:val="22"/>
          <w:szCs w:val="22"/>
        </w:rPr>
        <w:t>pre oblasť správneho súdnictva.</w:t>
      </w:r>
      <w:r w:rsidR="00FB3F17">
        <w:rPr>
          <w:rFonts w:ascii="Book Antiqua" w:hAnsi="Book Antiqua" w:cs="Helvetica"/>
          <w:sz w:val="22"/>
          <w:szCs w:val="22"/>
        </w:rPr>
        <w:t xml:space="preserve"> P</w:t>
      </w:r>
      <w:r w:rsidR="0050518C">
        <w:rPr>
          <w:rFonts w:ascii="Book Antiqua" w:hAnsi="Book Antiqua" w:cs="Helvetica"/>
          <w:sz w:val="22"/>
          <w:szCs w:val="22"/>
        </w:rPr>
        <w:t xml:space="preserve">reskúmanie rozhodnutia výboru podľa </w:t>
      </w:r>
      <w:r w:rsidR="007558C1">
        <w:rPr>
          <w:rFonts w:ascii="Book Antiqua" w:hAnsi="Book Antiqua" w:cs="Helvetica"/>
          <w:sz w:val="22"/>
          <w:szCs w:val="22"/>
        </w:rPr>
        <w:t>čl</w:t>
      </w:r>
      <w:r w:rsidR="0050518C">
        <w:rPr>
          <w:rFonts w:ascii="Book Antiqua" w:hAnsi="Book Antiqua" w:cs="Helvetica"/>
          <w:sz w:val="22"/>
          <w:szCs w:val="22"/>
        </w:rPr>
        <w:t xml:space="preserve">. 5 </w:t>
      </w:r>
      <w:r w:rsidR="007558C1">
        <w:rPr>
          <w:rFonts w:ascii="Book Antiqua" w:hAnsi="Book Antiqua" w:cs="Helvetica"/>
          <w:sz w:val="22"/>
          <w:szCs w:val="22"/>
        </w:rPr>
        <w:t xml:space="preserve">ústavného </w:t>
      </w:r>
      <w:r w:rsidR="0050518C" w:rsidRPr="00CF2DB7">
        <w:rPr>
          <w:rFonts w:ascii="Book Antiqua" w:hAnsi="Book Antiqua"/>
          <w:sz w:val="22"/>
          <w:szCs w:val="22"/>
        </w:rPr>
        <w:t>zákon</w:t>
      </w:r>
      <w:r w:rsidR="0050518C">
        <w:rPr>
          <w:rFonts w:ascii="Book Antiqua" w:hAnsi="Book Antiqua"/>
          <w:sz w:val="22"/>
          <w:szCs w:val="22"/>
        </w:rPr>
        <w:t>a</w:t>
      </w:r>
      <w:r w:rsidR="0050518C" w:rsidRPr="00CF2DB7">
        <w:rPr>
          <w:rFonts w:ascii="Book Antiqua" w:hAnsi="Book Antiqua"/>
          <w:sz w:val="22"/>
          <w:szCs w:val="22"/>
        </w:rPr>
        <w:t xml:space="preserve"> č.</w:t>
      </w:r>
      <w:r w:rsidR="0050518C" w:rsidRPr="0001541C">
        <w:rPr>
          <w:rFonts w:ascii="Book Antiqua" w:hAnsi="Book Antiqua"/>
          <w:sz w:val="22"/>
          <w:szCs w:val="22"/>
        </w:rPr>
        <w:t xml:space="preserve"> </w:t>
      </w:r>
      <w:r w:rsidR="0050518C" w:rsidRPr="0001541C">
        <w:rPr>
          <w:rFonts w:ascii="Book Antiqua" w:hAnsi="Book Antiqua"/>
          <w:sz w:val="22"/>
          <w:szCs w:val="22"/>
          <w:shd w:val="clear" w:color="auto" w:fill="FFFFFF"/>
        </w:rPr>
        <w:t xml:space="preserve">254/2006 Z. z. </w:t>
      </w:r>
      <w:r w:rsidR="0050518C" w:rsidRPr="0001541C">
        <w:rPr>
          <w:rFonts w:ascii="Book Antiqua" w:hAnsi="Book Antiqua" w:cstheme="minorHAnsi"/>
          <w:sz w:val="22"/>
          <w:szCs w:val="22"/>
        </w:rPr>
        <w:t>o zriadení a činnosti výboru Národnej rady Slovenskej republiky na preskúmavanie rozhodnutí Národného bezpečnostného úradu</w:t>
      </w:r>
      <w:r w:rsidR="0050518C">
        <w:rPr>
          <w:rFonts w:ascii="Book Antiqua" w:hAnsi="Book Antiqua" w:cstheme="minorHAnsi"/>
          <w:sz w:val="22"/>
          <w:szCs w:val="22"/>
        </w:rPr>
        <w:t xml:space="preserve"> </w:t>
      </w:r>
      <w:r w:rsidR="007558C1">
        <w:rPr>
          <w:rFonts w:ascii="Book Antiqua" w:hAnsi="Book Antiqua" w:cstheme="minorHAnsi"/>
          <w:sz w:val="22"/>
          <w:szCs w:val="22"/>
        </w:rPr>
        <w:t xml:space="preserve">je výkonom správneho súdnictva, a teda výkladom novej úpravy v Ústave Slovenskej republiky možno dospieť k záveru, že táto agenda patrí </w:t>
      </w:r>
      <w:r w:rsidR="0050518C">
        <w:rPr>
          <w:rFonts w:ascii="Book Antiqua" w:hAnsi="Book Antiqua" w:cstheme="minorHAnsi"/>
          <w:sz w:val="22"/>
          <w:szCs w:val="22"/>
        </w:rPr>
        <w:t>do pôsobnosti najvyššieho správneho súdu</w:t>
      </w:r>
      <w:r w:rsidR="00FB3F17">
        <w:rPr>
          <w:rFonts w:ascii="Book Antiqua" w:hAnsi="Book Antiqua" w:cstheme="minorHAnsi"/>
          <w:sz w:val="22"/>
          <w:szCs w:val="22"/>
        </w:rPr>
        <w:t xml:space="preserve">. </w:t>
      </w:r>
      <w:r w:rsidR="007558C1">
        <w:rPr>
          <w:rFonts w:ascii="Book Antiqua" w:hAnsi="Book Antiqua" w:cstheme="minorHAnsi"/>
          <w:sz w:val="22"/>
          <w:szCs w:val="22"/>
        </w:rPr>
        <w:t>Uveden</w:t>
      </w:r>
      <w:r w:rsidR="00983EDF">
        <w:rPr>
          <w:rFonts w:ascii="Book Antiqua" w:hAnsi="Book Antiqua" w:cstheme="minorHAnsi"/>
          <w:sz w:val="22"/>
          <w:szCs w:val="22"/>
        </w:rPr>
        <w:t>é</w:t>
      </w:r>
      <w:r w:rsidR="007558C1">
        <w:rPr>
          <w:rFonts w:ascii="Book Antiqua" w:hAnsi="Book Antiqua" w:cstheme="minorHAnsi"/>
          <w:sz w:val="22"/>
          <w:szCs w:val="22"/>
        </w:rPr>
        <w:t xml:space="preserve"> je podporené aj tou skutočnosťou, že procesná úprava v Správnom súdnom poriadku neumožňuje aplikovať tento procesný predpis najvyššiemu súdu. </w:t>
      </w:r>
      <w:r w:rsidR="00FB3F17">
        <w:rPr>
          <w:rFonts w:ascii="Book Antiqua" w:hAnsi="Book Antiqua" w:cstheme="minorHAnsi"/>
          <w:sz w:val="22"/>
          <w:szCs w:val="22"/>
        </w:rPr>
        <w:t>Na podporenie jednoznačnosti tohto výkladu, ako aj na zamedzenie vzniku prípadných kompetenčných sporov medzi najvyšším súdom a najvyšším správnym súdom, sa javí ako vhodné riešenie precizovanie znenia dotknutého článku.</w:t>
      </w:r>
    </w:p>
    <w:p w14:paraId="686ADF32" w14:textId="7830173D" w:rsidR="006839E0" w:rsidRPr="00CF2DB7" w:rsidRDefault="006B71D9" w:rsidP="004742E4">
      <w:pPr>
        <w:autoSpaceDE w:val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Návrh </w:t>
      </w:r>
      <w:r w:rsidR="00FB3F17">
        <w:rPr>
          <w:rFonts w:ascii="Book Antiqua" w:hAnsi="Book Antiqu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 xml:space="preserve">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CF2DB7">
        <w:rPr>
          <w:rFonts w:ascii="Book Antiqua" w:hAnsi="Book Antiqua"/>
          <w:sz w:val="22"/>
          <w:szCs w:val="22"/>
        </w:rPr>
        <w:t>v súlade s právom Európskej únie a v súlade s nálezmi Ústavného súdu Slovenskej republiky.</w:t>
      </w:r>
    </w:p>
    <w:p w14:paraId="6120D9B6" w14:textId="56FA3930" w:rsidR="006839E0" w:rsidRPr="00CF2DB7" w:rsidRDefault="006839E0" w:rsidP="004742E4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Predkladaný návrh </w:t>
      </w:r>
      <w:r w:rsidR="000A4C14">
        <w:rPr>
          <w:rFonts w:ascii="Book Antiqua" w:hAnsi="Book Antiqu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 xml:space="preserve">zákona </w:t>
      </w:r>
      <w:r w:rsidR="000A4C14">
        <w:rPr>
          <w:rFonts w:ascii="Book Antiqua" w:hAnsi="Book Antiqua"/>
          <w:sz w:val="22"/>
          <w:szCs w:val="22"/>
        </w:rPr>
        <w:t xml:space="preserve">nemá vplyv </w:t>
      </w:r>
      <w:r w:rsidRPr="00CF2DB7">
        <w:rPr>
          <w:rFonts w:ascii="Book Antiqua" w:hAnsi="Book Antiqua"/>
          <w:sz w:val="22"/>
          <w:szCs w:val="22"/>
        </w:rPr>
        <w:t xml:space="preserve">na </w:t>
      </w:r>
      <w:r w:rsidR="00FB7F1A" w:rsidRPr="00CF2DB7">
        <w:rPr>
          <w:rFonts w:ascii="Book Antiqua" w:hAnsi="Book Antiqua"/>
          <w:sz w:val="22"/>
          <w:szCs w:val="22"/>
        </w:rPr>
        <w:t>rozpočet verejnej správy (štátny rozpočet)</w:t>
      </w:r>
      <w:r w:rsidR="00FB7F1A">
        <w:rPr>
          <w:rFonts w:ascii="Book Antiqua" w:hAnsi="Book Antiqua"/>
          <w:sz w:val="22"/>
          <w:szCs w:val="22"/>
        </w:rPr>
        <w:t xml:space="preserve">. </w:t>
      </w:r>
      <w:r w:rsidRPr="00CF2DB7">
        <w:rPr>
          <w:rFonts w:ascii="Book Antiqua" w:hAnsi="Book Antiqua"/>
          <w:sz w:val="22"/>
          <w:szCs w:val="22"/>
        </w:rPr>
        <w:t xml:space="preserve">Návrh </w:t>
      </w:r>
      <w:r w:rsidR="0048199C">
        <w:rPr>
          <w:rFonts w:ascii="Book Antiqua" w:hAnsi="Book Antiqu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 xml:space="preserve">zákona nemá vplyv na podnikateľské prostredie, na životné </w:t>
      </w:r>
      <w:r w:rsidRPr="00CF2DB7">
        <w:rPr>
          <w:rFonts w:ascii="Book Antiqua" w:hAnsi="Book Antiqua"/>
          <w:sz w:val="22"/>
          <w:szCs w:val="22"/>
        </w:rPr>
        <w:lastRenderedPageBreak/>
        <w:t>prostredie, na manželstvo, rodičovstvo a</w:t>
      </w:r>
      <w:r w:rsidR="00FB7F1A">
        <w:rPr>
          <w:rFonts w:ascii="Book Antiqua" w:hAnsi="Book Antiqua"/>
          <w:sz w:val="22"/>
          <w:szCs w:val="22"/>
        </w:rPr>
        <w:t> </w:t>
      </w:r>
      <w:r w:rsidRPr="00CF2DB7">
        <w:rPr>
          <w:rFonts w:ascii="Book Antiqua" w:hAnsi="Book Antiqua"/>
          <w:sz w:val="22"/>
          <w:szCs w:val="22"/>
        </w:rPr>
        <w:t>rodinu</w:t>
      </w:r>
      <w:r w:rsidR="00FB7F1A">
        <w:rPr>
          <w:rFonts w:ascii="Book Antiqua" w:hAnsi="Book Antiqua"/>
          <w:sz w:val="22"/>
          <w:szCs w:val="22"/>
        </w:rPr>
        <w:t>,</w:t>
      </w:r>
      <w:r w:rsidRPr="00CF2DB7">
        <w:rPr>
          <w:rFonts w:ascii="Book Antiqua" w:hAnsi="Book Antiqua"/>
          <w:sz w:val="22"/>
          <w:szCs w:val="22"/>
        </w:rPr>
        <w:t xml:space="preserve"> na informatizáciu spoločnosti</w:t>
      </w:r>
      <w:r w:rsidR="00FB7F1A" w:rsidRPr="00FB7F1A">
        <w:rPr>
          <w:rFonts w:ascii="Book Antiqua" w:hAnsi="Book Antiqua"/>
          <w:sz w:val="22"/>
          <w:szCs w:val="22"/>
        </w:rPr>
        <w:t xml:space="preserve"> </w:t>
      </w:r>
      <w:r w:rsidR="00FB7F1A" w:rsidRPr="00CF2DB7">
        <w:rPr>
          <w:rFonts w:ascii="Book Antiqua" w:hAnsi="Book Antiqua"/>
          <w:sz w:val="22"/>
          <w:szCs w:val="22"/>
        </w:rPr>
        <w:t>a ani</w:t>
      </w:r>
      <w:r w:rsidRPr="00CF2DB7">
        <w:rPr>
          <w:rFonts w:ascii="Book Antiqua" w:hAnsi="Book Antiqua"/>
          <w:sz w:val="22"/>
          <w:szCs w:val="22"/>
        </w:rPr>
        <w:t xml:space="preserve"> </w:t>
      </w:r>
      <w:r w:rsidR="00FB7F1A">
        <w:rPr>
          <w:rFonts w:ascii="Book Antiqua" w:hAnsi="Book Antiqua"/>
          <w:sz w:val="22"/>
          <w:szCs w:val="22"/>
        </w:rPr>
        <w:t>s</w:t>
      </w:r>
      <w:r w:rsidR="00FB7F1A" w:rsidRPr="00FB7F1A">
        <w:rPr>
          <w:rFonts w:ascii="Book Antiqua" w:hAnsi="Book Antiqua"/>
          <w:sz w:val="22"/>
          <w:szCs w:val="22"/>
        </w:rPr>
        <w:t>ociálne vplyvy</w:t>
      </w:r>
      <w:r w:rsidR="00FB7F1A">
        <w:rPr>
          <w:rFonts w:ascii="Book Antiqua" w:hAnsi="Book Antiqua"/>
          <w:sz w:val="22"/>
          <w:szCs w:val="22"/>
        </w:rPr>
        <w:t>.</w:t>
      </w:r>
    </w:p>
    <w:p w14:paraId="786FD332" w14:textId="75061EB2" w:rsidR="00000CB9" w:rsidRPr="00CF2DB7" w:rsidRDefault="00000CB9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232E18E8" w14:textId="3A7E3B39" w:rsidR="00000CB9" w:rsidRPr="00CF2DB7" w:rsidRDefault="00000CB9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51517926" w14:textId="77777777" w:rsidR="00000CB9" w:rsidRPr="00CF2DB7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7B3244AF" w14:textId="77777777" w:rsidR="00000CB9" w:rsidRPr="00CF2DB7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5B8EF401" w14:textId="77777777" w:rsidR="00000CB9" w:rsidRPr="00CF2DB7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5848B861" w14:textId="34140A0C" w:rsidR="00000CB9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7FD23E3B" w14:textId="79897EF6" w:rsidR="009E0F1B" w:rsidRDefault="009E0F1B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2AD88D64" w14:textId="2FAA163C" w:rsidR="009E0F1B" w:rsidRDefault="009E0F1B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43239D86" w14:textId="1F928E2C" w:rsidR="004E05E2" w:rsidRPr="00CF2DB7" w:rsidRDefault="004E05E2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08633831" w14:textId="77777777" w:rsidR="00E06F28" w:rsidRDefault="00E06F28">
      <w:pPr>
        <w:spacing w:before="0" w:after="160" w:line="259" w:lineRule="auto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br w:type="page"/>
      </w:r>
    </w:p>
    <w:p w14:paraId="17B2C35D" w14:textId="28B37A2F" w:rsidR="00000CB9" w:rsidRPr="00CF2DB7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3E9BB1E0" w14:textId="77777777" w:rsidR="004742E4" w:rsidRDefault="004742E4">
      <w:pPr>
        <w:rPr>
          <w:rFonts w:ascii="Book Antiqua" w:hAnsi="Book Antiqua"/>
          <w:b/>
          <w:bCs/>
          <w:sz w:val="22"/>
          <w:szCs w:val="22"/>
        </w:rPr>
      </w:pPr>
    </w:p>
    <w:p w14:paraId="5072FA9D" w14:textId="25BC29C8" w:rsidR="006B71D9" w:rsidRDefault="00000CB9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K Čl. I</w:t>
      </w:r>
    </w:p>
    <w:p w14:paraId="2D3A6A52" w14:textId="2C5A52F7" w:rsidR="00983EDF" w:rsidRPr="00CF2DB7" w:rsidRDefault="00790E19" w:rsidP="004742E4">
      <w:pPr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790E19">
        <w:rPr>
          <w:rFonts w:ascii="Book Antiqua" w:hAnsi="Book Antiqua"/>
          <w:bCs/>
          <w:sz w:val="22"/>
          <w:szCs w:val="22"/>
        </w:rPr>
        <w:t>V záujme jednoznačnosti výkladu čl. 5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 w:cs="Helvetic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>zákon</w:t>
      </w:r>
      <w:r>
        <w:rPr>
          <w:rFonts w:ascii="Book Antiqua" w:hAnsi="Book Antiqua"/>
          <w:sz w:val="22"/>
          <w:szCs w:val="22"/>
        </w:rPr>
        <w:t>a</w:t>
      </w:r>
      <w:r w:rsidRPr="00CF2DB7">
        <w:rPr>
          <w:rFonts w:ascii="Book Antiqua" w:hAnsi="Book Antiqua"/>
          <w:sz w:val="22"/>
          <w:szCs w:val="22"/>
        </w:rPr>
        <w:t xml:space="preserve"> č.</w:t>
      </w:r>
      <w:r w:rsidRPr="0001541C">
        <w:rPr>
          <w:rFonts w:ascii="Book Antiqua" w:hAnsi="Book Antiqua"/>
          <w:sz w:val="22"/>
          <w:szCs w:val="22"/>
        </w:rPr>
        <w:t xml:space="preserve"> </w:t>
      </w:r>
      <w:r w:rsidRPr="0001541C">
        <w:rPr>
          <w:rFonts w:ascii="Book Antiqua" w:hAnsi="Book Antiqua"/>
          <w:sz w:val="22"/>
          <w:szCs w:val="22"/>
          <w:shd w:val="clear" w:color="auto" w:fill="FFFFFF"/>
        </w:rPr>
        <w:t xml:space="preserve">254/2006 Z. z. </w:t>
      </w:r>
      <w:r w:rsidRPr="0001541C">
        <w:rPr>
          <w:rFonts w:ascii="Book Antiqua" w:hAnsi="Book Antiqua" w:cstheme="minorHAnsi"/>
          <w:sz w:val="22"/>
          <w:szCs w:val="22"/>
        </w:rPr>
        <w:t>o zriadení a činnosti výboru Národnej rady Slovenskej republiky na preskúmavanie rozhodnutí Národného bezpečnostného úradu</w:t>
      </w:r>
      <w:r>
        <w:rPr>
          <w:rFonts w:ascii="Book Antiqua" w:hAnsi="Book Antiqua" w:cstheme="minorHAnsi"/>
          <w:sz w:val="22"/>
          <w:szCs w:val="22"/>
        </w:rPr>
        <w:t xml:space="preserve"> dochádza </w:t>
      </w:r>
      <w:r w:rsidR="00090D42">
        <w:rPr>
          <w:rFonts w:ascii="Book Antiqua" w:hAnsi="Book Antiqua" w:cstheme="minorHAnsi"/>
          <w:sz w:val="22"/>
          <w:szCs w:val="22"/>
        </w:rPr>
        <w:t xml:space="preserve">navrhovaným doplnením </w:t>
      </w:r>
      <w:r>
        <w:rPr>
          <w:rFonts w:ascii="Book Antiqua" w:hAnsi="Book Antiqua" w:cstheme="minorHAnsi"/>
          <w:sz w:val="22"/>
          <w:szCs w:val="22"/>
        </w:rPr>
        <w:t>k jeho precizovaniu</w:t>
      </w:r>
      <w:r w:rsidR="000F2CEA">
        <w:rPr>
          <w:rFonts w:ascii="Book Antiqua" w:hAnsi="Book Antiqua" w:cstheme="minorHAnsi"/>
          <w:sz w:val="22"/>
          <w:szCs w:val="22"/>
        </w:rPr>
        <w:t>.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0F2CEA">
        <w:rPr>
          <w:rFonts w:ascii="Book Antiqua" w:hAnsi="Book Antiqua" w:cstheme="minorHAnsi"/>
          <w:sz w:val="22"/>
          <w:szCs w:val="22"/>
        </w:rPr>
        <w:t>P</w:t>
      </w:r>
      <w:r>
        <w:rPr>
          <w:rFonts w:ascii="Book Antiqua" w:hAnsi="Book Antiqua" w:cstheme="minorHAnsi"/>
          <w:sz w:val="22"/>
          <w:szCs w:val="22"/>
        </w:rPr>
        <w:t xml:space="preserve">redmetné ustanovenie bude v súlade s platným právnym stavom vo vzťahu k určeniu súdu príslušného na preskúmanie rozhodnutia výboru </w:t>
      </w:r>
      <w:r w:rsidR="00090D42">
        <w:rPr>
          <w:rFonts w:ascii="Book Antiqua" w:hAnsi="Book Antiqua" w:cstheme="minorHAnsi"/>
          <w:sz w:val="22"/>
          <w:szCs w:val="22"/>
        </w:rPr>
        <w:t>odkazovať</w:t>
      </w:r>
      <w:r>
        <w:rPr>
          <w:rFonts w:ascii="Book Antiqua" w:hAnsi="Book Antiqua" w:cstheme="minorHAnsi"/>
          <w:sz w:val="22"/>
          <w:szCs w:val="22"/>
        </w:rPr>
        <w:t xml:space="preserve"> na Najvyšší správny súd Slovenskej republiky.</w:t>
      </w:r>
    </w:p>
    <w:p w14:paraId="21333C8F" w14:textId="77777777" w:rsidR="004742E4" w:rsidRDefault="004742E4" w:rsidP="00090C53">
      <w:pPr>
        <w:rPr>
          <w:rFonts w:ascii="Book Antiqua" w:hAnsi="Book Antiqua"/>
          <w:b/>
          <w:bCs/>
          <w:sz w:val="22"/>
          <w:szCs w:val="22"/>
        </w:rPr>
      </w:pPr>
    </w:p>
    <w:p w14:paraId="66A33393" w14:textId="71F3633E" w:rsidR="00D719A4" w:rsidRPr="00CF2DB7" w:rsidRDefault="00D719A4" w:rsidP="00090C53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K Čl. II</w:t>
      </w:r>
    </w:p>
    <w:p w14:paraId="6DDF2386" w14:textId="77777777" w:rsidR="004742E4" w:rsidRDefault="004742E4" w:rsidP="004742E4">
      <w:pPr>
        <w:jc w:val="both"/>
        <w:rPr>
          <w:rFonts w:ascii="Book Antiqua" w:hAnsi="Book Antiqua"/>
          <w:sz w:val="22"/>
          <w:szCs w:val="22"/>
        </w:rPr>
      </w:pPr>
    </w:p>
    <w:p w14:paraId="1632C9CF" w14:textId="3B4F5791" w:rsidR="00D719A4" w:rsidRPr="00CF2DB7" w:rsidRDefault="00983EDF" w:rsidP="004742E4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Účinnosť návrhu ústavného zákona sa navrhuje dňom vyhlásenia z dôvodu, aby bol čo možno najskôr zabezpečený jednoznačný výklad dopĺňaného ustanovenia.</w:t>
      </w:r>
    </w:p>
    <w:p w14:paraId="50713013" w14:textId="238C7AD5" w:rsidR="00000CB9" w:rsidRPr="00CF2DB7" w:rsidRDefault="00000CB9" w:rsidP="00D719A4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5FCDC1EB" w14:textId="64C82191" w:rsidR="00000CB9" w:rsidRPr="00CF2DB7" w:rsidRDefault="00000CB9">
      <w:pPr>
        <w:rPr>
          <w:rFonts w:ascii="Book Antiqua" w:hAnsi="Book Antiqua"/>
          <w:b/>
          <w:bCs/>
          <w:sz w:val="22"/>
          <w:szCs w:val="22"/>
        </w:rPr>
      </w:pPr>
    </w:p>
    <w:p w14:paraId="6CBC9350" w14:textId="196C4386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69672F0A" w14:textId="368477C9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12F43C1B" w14:textId="3EB2825E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61403094" w14:textId="76949533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3D2CB3E6" w14:textId="76FE4775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14084998" w14:textId="1CFC09E3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0C140FC0" w14:textId="77777777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56C19710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6E605F1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19C8DFC2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1BE7286E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3791DD7E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5C6BE3CA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777223A6" w14:textId="7777777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7E1A8F4" w14:textId="1F51BB81" w:rsidR="00CF2DB7" w:rsidRPr="00CF2DB7" w:rsidRDefault="00090C53" w:rsidP="00FA18CB">
      <w:pPr>
        <w:spacing w:before="0" w:after="160" w:line="259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br w:type="page"/>
      </w:r>
    </w:p>
    <w:p w14:paraId="119D8543" w14:textId="7C3A692C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630E0AEB" w14:textId="77777777" w:rsidR="00CF2DB7" w:rsidRPr="00CF2DB7" w:rsidRDefault="00CF2DB7" w:rsidP="00CF2DB7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CC5C053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sz w:val="22"/>
          <w:szCs w:val="22"/>
        </w:rPr>
        <w:t> </w:t>
      </w:r>
    </w:p>
    <w:p w14:paraId="396FF9A8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>skupina poslancov Národnej rady Slovenskej republiky</w:t>
      </w:r>
    </w:p>
    <w:p w14:paraId="17C98324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8B8BF24" w14:textId="1030EEDE" w:rsidR="00CF2DB7" w:rsidRPr="00CF2DB7" w:rsidRDefault="00CF2DB7" w:rsidP="00CF2DB7">
      <w:pPr>
        <w:jc w:val="both"/>
        <w:rPr>
          <w:rStyle w:val="awspan"/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2. Názov návrhu právneho predpisu:</w:t>
      </w:r>
      <w:r w:rsidRPr="00CF2DB7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 xml:space="preserve">návrh </w:t>
      </w:r>
      <w:r w:rsidR="005A0156">
        <w:rPr>
          <w:rFonts w:ascii="Book Antiqua" w:hAnsi="Book Antiqua"/>
          <w:sz w:val="22"/>
          <w:szCs w:val="22"/>
        </w:rPr>
        <w:t xml:space="preserve">ústavného </w:t>
      </w:r>
      <w:r w:rsidRPr="00CF2DB7">
        <w:rPr>
          <w:rFonts w:ascii="Book Antiqua" w:hAnsi="Book Antiqua"/>
          <w:sz w:val="22"/>
          <w:szCs w:val="22"/>
        </w:rPr>
        <w:t xml:space="preserve">zákona, </w:t>
      </w:r>
      <w:r w:rsidR="005A0156" w:rsidRPr="00CF2DB7">
        <w:rPr>
          <w:rFonts w:ascii="Book Antiqua" w:hAnsi="Book Antiqua"/>
          <w:sz w:val="22"/>
          <w:szCs w:val="22"/>
        </w:rPr>
        <w:t xml:space="preserve">ktorým sa dopĺňa </w:t>
      </w:r>
      <w:r w:rsidR="005A0156">
        <w:rPr>
          <w:rFonts w:ascii="Book Antiqua" w:hAnsi="Book Antiqua"/>
          <w:sz w:val="22"/>
          <w:szCs w:val="22"/>
        </w:rPr>
        <w:t xml:space="preserve">ústavný </w:t>
      </w:r>
      <w:r w:rsidR="005A0156" w:rsidRPr="00CF2DB7">
        <w:rPr>
          <w:rFonts w:ascii="Book Antiqua" w:hAnsi="Book Antiqua"/>
          <w:sz w:val="22"/>
          <w:szCs w:val="22"/>
        </w:rPr>
        <w:t>zákon č.</w:t>
      </w:r>
      <w:r w:rsidR="005A0156" w:rsidRPr="0001541C">
        <w:rPr>
          <w:rFonts w:ascii="Book Antiqua" w:hAnsi="Book Antiqua"/>
          <w:sz w:val="22"/>
          <w:szCs w:val="22"/>
        </w:rPr>
        <w:t xml:space="preserve"> </w:t>
      </w:r>
      <w:r w:rsidR="005A0156" w:rsidRPr="0001541C">
        <w:rPr>
          <w:rFonts w:ascii="Book Antiqua" w:hAnsi="Book Antiqua"/>
          <w:sz w:val="22"/>
          <w:szCs w:val="22"/>
          <w:shd w:val="clear" w:color="auto" w:fill="FFFFFF"/>
        </w:rPr>
        <w:t xml:space="preserve">254/2006 Z. z. </w:t>
      </w:r>
      <w:r w:rsidR="005A0156" w:rsidRPr="0001541C">
        <w:rPr>
          <w:rFonts w:ascii="Book Antiqua" w:hAnsi="Book Antiqua" w:cstheme="minorHAnsi"/>
          <w:sz w:val="22"/>
          <w:szCs w:val="22"/>
        </w:rPr>
        <w:t>o zriadení a činnosti výboru Národnej rady Slovenskej republiky na preskúmavanie rozhodnutí Národného bezpečnostného úradu</w:t>
      </w:r>
      <w:r w:rsidR="005A0156" w:rsidRPr="00CF2DB7" w:rsidDel="0001541C">
        <w:rPr>
          <w:rFonts w:ascii="Book Antiqua" w:hAnsi="Book Antiqua"/>
          <w:sz w:val="22"/>
          <w:szCs w:val="22"/>
        </w:rPr>
        <w:t xml:space="preserve"> </w:t>
      </w:r>
    </w:p>
    <w:p w14:paraId="5289915B" w14:textId="77777777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</w:p>
    <w:p w14:paraId="029A42A1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72FAC38C" w14:textId="77777777" w:rsidR="00CF2DB7" w:rsidRPr="00CF2DB7" w:rsidRDefault="00CF2DB7" w:rsidP="00CF2DB7">
      <w:pPr>
        <w:pStyle w:val="Vchodzie"/>
        <w:numPr>
          <w:ilvl w:val="0"/>
          <w:numId w:val="2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192CC062" w14:textId="77777777" w:rsidR="00CF2DB7" w:rsidRPr="00CF2DB7" w:rsidRDefault="00CF2DB7" w:rsidP="00CF2DB7">
      <w:pPr>
        <w:pStyle w:val="Normlnywebov"/>
        <w:numPr>
          <w:ilvl w:val="0"/>
          <w:numId w:val="2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</w:t>
      </w:r>
      <w:r w:rsidRPr="00CF2DB7">
        <w:rPr>
          <w:rFonts w:ascii="Book Antiqua" w:hAnsi="Book Antiqua" w:cs="Book Antiqua"/>
          <w:bCs/>
          <w:sz w:val="22"/>
          <w:szCs w:val="22"/>
        </w:rPr>
        <w:t xml:space="preserve"> je upravený v sekundárnom práve Európskej únie, </w:t>
      </w:r>
    </w:p>
    <w:p w14:paraId="64DD3702" w14:textId="77777777" w:rsidR="00CF2DB7" w:rsidRPr="00CF2DB7" w:rsidRDefault="00CF2DB7" w:rsidP="00CF2DB7">
      <w:pPr>
        <w:pStyle w:val="Normlnywebov"/>
        <w:numPr>
          <w:ilvl w:val="0"/>
          <w:numId w:val="2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</w:t>
      </w:r>
      <w:r w:rsidRPr="00CF2DB7">
        <w:rPr>
          <w:rFonts w:ascii="Book Antiqua" w:hAnsi="Book Antiqua" w:cs="Book Antiqua"/>
          <w:bCs/>
          <w:sz w:val="22"/>
          <w:szCs w:val="22"/>
        </w:rPr>
        <w:t xml:space="preserve"> je obsiahnutý v judikatúre Súdneho dvora Európskej únie.</w:t>
      </w:r>
    </w:p>
    <w:p w14:paraId="1594258A" w14:textId="77777777" w:rsidR="00CF2DB7" w:rsidRPr="00CF2DB7" w:rsidRDefault="00CF2DB7" w:rsidP="00CF2DB7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F70E27E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0AD1119E" w14:textId="20C98800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E7328F6" w14:textId="52F751B6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06A621" w14:textId="1B20393A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E4015A6" w14:textId="1446D0CB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BC4BECE" w14:textId="45D8D47B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A5C3F0A" w14:textId="2FEB19A2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9431BC3" w14:textId="4E8D05B8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32143AE" w14:textId="7E2E29E6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85A2889" w14:textId="77777777" w:rsidR="00CF2DB7" w:rsidRPr="00CF2DB7" w:rsidRDefault="00CF2DB7" w:rsidP="00CF2DB7">
      <w:pPr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5C7A50A9" w14:textId="77777777" w:rsidR="00CF2DB7" w:rsidRPr="00CF2DB7" w:rsidRDefault="00CF2DB7" w:rsidP="00CF2DB7">
      <w:pPr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7F722E7B" w14:textId="77777777" w:rsidR="00CF2DB7" w:rsidRPr="00CF2DB7" w:rsidRDefault="00CF2DB7" w:rsidP="00CF2DB7">
      <w:pPr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2D616F17" w14:textId="1D930F05" w:rsidR="00CF2DB7" w:rsidRDefault="00CF2DB7" w:rsidP="00FA18CB">
      <w:pP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2DB3ED69" w14:textId="77777777" w:rsidR="00FA18CB" w:rsidRPr="00CF2DB7" w:rsidRDefault="00FA18CB" w:rsidP="00FA18CB">
      <w:pP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1166BB7A" w14:textId="2D72EFAC" w:rsidR="00CF2DB7" w:rsidRPr="00CF2DB7" w:rsidRDefault="00CF2DB7" w:rsidP="00CF2DB7">
      <w:pPr>
        <w:jc w:val="center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2D32EE52" w14:textId="77777777" w:rsidR="00CF2DB7" w:rsidRPr="00CF2DB7" w:rsidRDefault="00CF2DB7" w:rsidP="00CF2DB7">
      <w:pPr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vybraných vplyvov</w:t>
      </w:r>
    </w:p>
    <w:p w14:paraId="15ED7FB5" w14:textId="77777777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</w:p>
    <w:p w14:paraId="5348F3E8" w14:textId="5AE85648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 xml:space="preserve">A.1. Názov materiálu: </w:t>
      </w:r>
      <w:r w:rsidR="005A0156" w:rsidRPr="00CF2DB7">
        <w:rPr>
          <w:rFonts w:ascii="Book Antiqua" w:hAnsi="Book Antiqua"/>
          <w:sz w:val="22"/>
          <w:szCs w:val="22"/>
        </w:rPr>
        <w:t xml:space="preserve">návrh </w:t>
      </w:r>
      <w:r w:rsidR="005A0156">
        <w:rPr>
          <w:rFonts w:ascii="Book Antiqua" w:hAnsi="Book Antiqua"/>
          <w:sz w:val="22"/>
          <w:szCs w:val="22"/>
        </w:rPr>
        <w:t xml:space="preserve">ústavného </w:t>
      </w:r>
      <w:r w:rsidR="005A0156" w:rsidRPr="00CF2DB7">
        <w:rPr>
          <w:rFonts w:ascii="Book Antiqua" w:hAnsi="Book Antiqua"/>
          <w:sz w:val="22"/>
          <w:szCs w:val="22"/>
        </w:rPr>
        <w:t xml:space="preserve">zákona, ktorým sa dopĺňa </w:t>
      </w:r>
      <w:r w:rsidR="005A0156">
        <w:rPr>
          <w:rFonts w:ascii="Book Antiqua" w:hAnsi="Book Antiqua"/>
          <w:sz w:val="22"/>
          <w:szCs w:val="22"/>
        </w:rPr>
        <w:t xml:space="preserve">ústavný </w:t>
      </w:r>
      <w:r w:rsidR="005A0156" w:rsidRPr="00CF2DB7">
        <w:rPr>
          <w:rFonts w:ascii="Book Antiqua" w:hAnsi="Book Antiqua"/>
          <w:sz w:val="22"/>
          <w:szCs w:val="22"/>
        </w:rPr>
        <w:t>zákon č.</w:t>
      </w:r>
      <w:r w:rsidR="005A0156" w:rsidRPr="0001541C">
        <w:rPr>
          <w:rFonts w:ascii="Book Antiqua" w:hAnsi="Book Antiqua"/>
          <w:sz w:val="22"/>
          <w:szCs w:val="22"/>
        </w:rPr>
        <w:t xml:space="preserve"> </w:t>
      </w:r>
      <w:r w:rsidR="005A0156" w:rsidRPr="0001541C">
        <w:rPr>
          <w:rFonts w:ascii="Book Antiqua" w:hAnsi="Book Antiqua"/>
          <w:sz w:val="22"/>
          <w:szCs w:val="22"/>
          <w:shd w:val="clear" w:color="auto" w:fill="FFFFFF"/>
        </w:rPr>
        <w:t xml:space="preserve">254/2006 Z. z. </w:t>
      </w:r>
      <w:r w:rsidR="005A0156" w:rsidRPr="0001541C">
        <w:rPr>
          <w:rFonts w:ascii="Book Antiqua" w:hAnsi="Book Antiqua" w:cstheme="minorHAnsi"/>
          <w:sz w:val="22"/>
          <w:szCs w:val="22"/>
        </w:rPr>
        <w:t>o zriadení a činnosti výboru Národnej rady Slovenskej republiky na preskúmavanie rozhodnutí Národného bezpečnostného úradu</w:t>
      </w:r>
      <w:r w:rsidR="005A0156" w:rsidRPr="00CF2DB7" w:rsidDel="0001541C">
        <w:rPr>
          <w:rFonts w:ascii="Book Antiqua" w:hAnsi="Book Antiqua"/>
          <w:sz w:val="22"/>
          <w:szCs w:val="22"/>
        </w:rPr>
        <w:t xml:space="preserve"> </w:t>
      </w:r>
    </w:p>
    <w:p w14:paraId="30C1EB1E" w14:textId="77777777" w:rsidR="00CF2DB7" w:rsidRPr="00CF2DB7" w:rsidRDefault="00CF2DB7" w:rsidP="00CF2DB7">
      <w:pPr>
        <w:jc w:val="both"/>
        <w:rPr>
          <w:rFonts w:ascii="Book Antiqua" w:hAnsi="Book Antiqua" w:cs="Book Antiqua"/>
          <w:bCs/>
          <w:sz w:val="22"/>
          <w:szCs w:val="22"/>
        </w:rPr>
      </w:pPr>
    </w:p>
    <w:p w14:paraId="1A659D97" w14:textId="77777777" w:rsidR="00CF2DB7" w:rsidRPr="00CF2DB7" w:rsidRDefault="00CF2DB7" w:rsidP="00CF2DB7">
      <w:pPr>
        <w:jc w:val="both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Termín začatia a ukončenia PPK: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14:paraId="475B6C77" w14:textId="77777777" w:rsidR="00CF2DB7" w:rsidRPr="00CF2DB7" w:rsidRDefault="00CF2DB7" w:rsidP="00CF2DB7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14:paraId="195CFD6E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4"/>
        <w:gridCol w:w="1196"/>
        <w:gridCol w:w="1180"/>
        <w:gridCol w:w="1204"/>
      </w:tblGrid>
      <w:tr w:rsidR="00CF2DB7" w:rsidRPr="00CF2DB7" w14:paraId="371CD4BF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2387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BF39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A4A2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93C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CF2DB7" w:rsidRPr="00CF2DB7" w14:paraId="6BB5F9CC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82D8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820B" w14:textId="7C6C1644" w:rsidR="00CF2DB7" w:rsidRPr="00CF2DB7" w:rsidRDefault="009E0F1B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B736" w14:textId="27631B2B" w:rsidR="00CF2DB7" w:rsidRPr="00CF2DB7" w:rsidRDefault="005A0156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7CF0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2DB7" w:rsidRPr="00CF2DB7" w14:paraId="481E3C21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F5A1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F855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9C5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5A33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716ECC5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A384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DD83" w14:textId="1F2A450E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CD46" w14:textId="33A7F5EA" w:rsidR="00CF2DB7" w:rsidRPr="00CF2DB7" w:rsidRDefault="00090C53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B25F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13D491C4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F9A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43431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2D8A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FCFE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3FE70A54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B87C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544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CCFD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D688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2DB7" w:rsidRPr="00CF2DB7" w14:paraId="08208F00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1A13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1168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C00F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F443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411C780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B29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3130A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56F2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8CE9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7190E03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4C8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BD47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109B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CC8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5DF67126" w14:textId="77777777" w:rsidR="00CF2DB7" w:rsidRPr="00CF2DB7" w:rsidRDefault="00CF2DB7" w:rsidP="00CF2DB7">
      <w:pPr>
        <w:pStyle w:val="Normlnywebov"/>
        <w:spacing w:before="120" w:after="0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color w:val="000000"/>
          <w:sz w:val="22"/>
          <w:szCs w:val="22"/>
        </w:rPr>
        <w:t> </w:t>
      </w:r>
    </w:p>
    <w:p w14:paraId="525FB09F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  <w:r w:rsidRPr="00CF2DB7">
        <w:rPr>
          <w:rFonts w:ascii="Book Antiqua" w:hAnsi="Book Antiqua"/>
          <w:bCs/>
          <w:i/>
          <w:sz w:val="22"/>
          <w:szCs w:val="22"/>
        </w:rPr>
        <w:t xml:space="preserve"> </w:t>
      </w:r>
    </w:p>
    <w:p w14:paraId="3C079A3B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  <w:r w:rsidRPr="00CF2DB7">
        <w:rPr>
          <w:rFonts w:ascii="Book Antiqua" w:hAnsi="Book Antiqua"/>
          <w:bCs/>
          <w:i/>
          <w:sz w:val="22"/>
          <w:szCs w:val="22"/>
        </w:rPr>
        <w:t>bezpredmetné</w:t>
      </w:r>
    </w:p>
    <w:p w14:paraId="0AB49471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</w:p>
    <w:p w14:paraId="4CAF5FB5" w14:textId="77777777" w:rsidR="00CF2DB7" w:rsidRPr="00CF2DB7" w:rsidRDefault="00CF2DB7" w:rsidP="00CF2DB7">
      <w:pPr>
        <w:jc w:val="both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7EF7867B" w14:textId="77777777" w:rsidR="00CF2DB7" w:rsidRPr="00CF2DB7" w:rsidRDefault="00CF2DB7" w:rsidP="00CF2DB7">
      <w:pPr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i/>
          <w:sz w:val="22"/>
          <w:szCs w:val="22"/>
        </w:rPr>
        <w:t>bezpredmetné </w:t>
      </w:r>
    </w:p>
    <w:p w14:paraId="78EF13D1" w14:textId="77777777" w:rsidR="00CF2DB7" w:rsidRPr="00CF2DB7" w:rsidRDefault="00CF2DB7" w:rsidP="00CF2DB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06D831F0" w14:textId="77777777" w:rsidR="00CF2DB7" w:rsidRPr="00CF2DB7" w:rsidRDefault="00CF2DB7" w:rsidP="00CF2DB7">
      <w:pPr>
        <w:pStyle w:val="Normlnywebov"/>
        <w:spacing w:before="120" w:after="0"/>
        <w:ind w:left="567" w:hanging="567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CF2DB7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5230DC19" w14:textId="3CD252A1" w:rsidR="00000CB9" w:rsidRPr="00CF2DB7" w:rsidRDefault="00000CB9">
      <w:pPr>
        <w:rPr>
          <w:rFonts w:ascii="Book Antiqua" w:hAnsi="Book Antiqua"/>
          <w:b/>
          <w:bCs/>
          <w:sz w:val="22"/>
          <w:szCs w:val="22"/>
        </w:rPr>
      </w:pPr>
    </w:p>
    <w:sectPr w:rsidR="00000CB9" w:rsidRPr="00CF2DB7" w:rsidSect="00786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8ABC" w14:textId="77777777" w:rsidR="009B2E8C" w:rsidRDefault="009B2E8C" w:rsidP="006839E0">
      <w:pPr>
        <w:spacing w:before="0" w:line="240" w:lineRule="auto"/>
      </w:pPr>
      <w:r>
        <w:separator/>
      </w:r>
    </w:p>
  </w:endnote>
  <w:endnote w:type="continuationSeparator" w:id="0">
    <w:p w14:paraId="6C0154E9" w14:textId="77777777" w:rsidR="009B2E8C" w:rsidRDefault="009B2E8C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E675" w14:textId="77777777" w:rsidR="002F3F57" w:rsidRDefault="002F3F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98482"/>
      <w:docPartObj>
        <w:docPartGallery w:val="Page Numbers (Bottom of Page)"/>
        <w:docPartUnique/>
      </w:docPartObj>
    </w:sdtPr>
    <w:sdtEndPr/>
    <w:sdtContent>
      <w:p w14:paraId="7944160D" w14:textId="5AA7F56C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C99">
          <w:rPr>
            <w:noProof/>
          </w:rPr>
          <w:t>5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2173" w14:textId="77777777" w:rsidR="002F3F57" w:rsidRDefault="002F3F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8EC0" w14:textId="77777777" w:rsidR="009B2E8C" w:rsidRDefault="009B2E8C" w:rsidP="006839E0">
      <w:pPr>
        <w:spacing w:before="0" w:line="240" w:lineRule="auto"/>
      </w:pPr>
      <w:r>
        <w:separator/>
      </w:r>
    </w:p>
  </w:footnote>
  <w:footnote w:type="continuationSeparator" w:id="0">
    <w:p w14:paraId="1F7549F6" w14:textId="77777777" w:rsidR="009B2E8C" w:rsidRDefault="009B2E8C" w:rsidP="006839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C3CC" w14:textId="77777777" w:rsidR="002F3F57" w:rsidRDefault="002F3F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F4B7" w14:textId="77777777" w:rsidR="002F3F57" w:rsidRDefault="002F3F5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8EEC" w14:textId="77777777" w:rsidR="002F3F57" w:rsidRDefault="002F3F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9"/>
    <w:rsid w:val="00000CB9"/>
    <w:rsid w:val="0001541C"/>
    <w:rsid w:val="00090C53"/>
    <w:rsid w:val="00090D42"/>
    <w:rsid w:val="000A4C14"/>
    <w:rsid w:val="000B6D3D"/>
    <w:rsid w:val="000C4F8A"/>
    <w:rsid w:val="000F2CEA"/>
    <w:rsid w:val="00154729"/>
    <w:rsid w:val="001C2EB3"/>
    <w:rsid w:val="001C3305"/>
    <w:rsid w:val="0027046A"/>
    <w:rsid w:val="00276A84"/>
    <w:rsid w:val="00291E1C"/>
    <w:rsid w:val="002E43D1"/>
    <w:rsid w:val="002F3F57"/>
    <w:rsid w:val="003038F6"/>
    <w:rsid w:val="00331052"/>
    <w:rsid w:val="00356EFD"/>
    <w:rsid w:val="00366C01"/>
    <w:rsid w:val="003C569F"/>
    <w:rsid w:val="004742E4"/>
    <w:rsid w:val="0048199C"/>
    <w:rsid w:val="00496384"/>
    <w:rsid w:val="004E05E2"/>
    <w:rsid w:val="0050518C"/>
    <w:rsid w:val="00547D21"/>
    <w:rsid w:val="0057492A"/>
    <w:rsid w:val="005863DD"/>
    <w:rsid w:val="005A0156"/>
    <w:rsid w:val="005C4B67"/>
    <w:rsid w:val="005E35CD"/>
    <w:rsid w:val="00624A93"/>
    <w:rsid w:val="00666F9C"/>
    <w:rsid w:val="006839E0"/>
    <w:rsid w:val="006B71D9"/>
    <w:rsid w:val="006D0EAB"/>
    <w:rsid w:val="006D2EED"/>
    <w:rsid w:val="006E0F4D"/>
    <w:rsid w:val="00727644"/>
    <w:rsid w:val="00730F3B"/>
    <w:rsid w:val="007558C1"/>
    <w:rsid w:val="0076365B"/>
    <w:rsid w:val="007867AB"/>
    <w:rsid w:val="00790E19"/>
    <w:rsid w:val="007B44FD"/>
    <w:rsid w:val="007B52B5"/>
    <w:rsid w:val="007F10B5"/>
    <w:rsid w:val="0088609C"/>
    <w:rsid w:val="008F44FF"/>
    <w:rsid w:val="00934C99"/>
    <w:rsid w:val="00944C58"/>
    <w:rsid w:val="00983EDF"/>
    <w:rsid w:val="009B2E8C"/>
    <w:rsid w:val="009E0F1B"/>
    <w:rsid w:val="00AA0693"/>
    <w:rsid w:val="00AA6412"/>
    <w:rsid w:val="00AB1332"/>
    <w:rsid w:val="00B05589"/>
    <w:rsid w:val="00B10D78"/>
    <w:rsid w:val="00B52959"/>
    <w:rsid w:val="00B722B0"/>
    <w:rsid w:val="00C148D6"/>
    <w:rsid w:val="00C24525"/>
    <w:rsid w:val="00C35578"/>
    <w:rsid w:val="00C370B0"/>
    <w:rsid w:val="00C91374"/>
    <w:rsid w:val="00CD57C2"/>
    <w:rsid w:val="00CF2DB7"/>
    <w:rsid w:val="00D029B2"/>
    <w:rsid w:val="00D56C01"/>
    <w:rsid w:val="00D719A4"/>
    <w:rsid w:val="00D8372A"/>
    <w:rsid w:val="00D97B6F"/>
    <w:rsid w:val="00E06F28"/>
    <w:rsid w:val="00F11725"/>
    <w:rsid w:val="00F33795"/>
    <w:rsid w:val="00FA18CB"/>
    <w:rsid w:val="00FB3F17"/>
    <w:rsid w:val="00FB7F1A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DF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54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CCED-64FC-4434-ACD5-8F4F2900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2022-01-12T10:39:00Z</dcterms:created>
  <dcterms:modified xsi:type="dcterms:W3CDTF">2022-01-12T10:39:00Z</dcterms:modified>
</cp:coreProperties>
</file>