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2414" w14:textId="77777777" w:rsidR="00C03FC3" w:rsidRDefault="00C03FC3" w:rsidP="00C03FC3">
      <w:pPr>
        <w:widowControl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24A19CB3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7E3FBAB2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56DABBC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9AE2" id="Rovná spojnica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yAhQEAAAoDAAAOAAAAZHJzL2Uyb0RvYy54bWysUk1PJCEQvZvsfyDcHdqJo6YzPR407sW4&#10;Jq4/gKFhmggUqcLpnn+/wHzsRG+b5UDqi0e9V7W8n7xjW41kIXT8atZwpoOC3oZNx99/P13ecUZJ&#10;hl46CLrjO038fvXjYjnGVs9hANdrZBkkUDvGjg8pxVYIUoP2kmYQdchJA+hlyi5uRI9yzOjeiXnT&#10;3IgRsI8IShPl6OM+yVcV3xit0i9jSCfmOp57S/XGeq/LLVZL2W5QxsGqQxvyH7rw0ob86QnqUSbJ&#10;PtF+g/JWIRCYNFPgBRhjla4cMpur5gubt0FGXblkcSieZKL/B6tetg/hFUvragpv8RnUB2VRxBip&#10;PSWLQ3FfNhn0pTz3zqYq5O4kpJ4SUzm4uL1rrpsFZyrn5ovrqrOQ7fFtREo/NXhWjI47GwpN2crt&#10;M6Xyu2yPJSUc4Mk6V0flQgkQONuXWHVws35wyLayzLieMtaMcVaWvf1TXZfi8M1fXsVaQ797xSP5&#10;LHgFOSxHmei5n+3zFV79AQAA//8DAFBLAwQUAAYACAAAACEAbiCzfdsAAAAFAQAADwAAAGRycy9k&#10;b3ducmV2LnhtbEyOwU7DMBBE70j8g7VIXKrWpkDUhGwqBOTGhQLqdZssSUS8TmO3DXw95gTH0Yze&#10;vHw92V4defSdE4SrhQHFUrm6kwbh7bWcr0D5QFJT74QRvtjDujg/yymr3Ule+LgJjYoQ8RkhtCEM&#10;mda+atmSX7iBJXYfbrQUYhwbXY90inDb66UxibbUSXxoaeCHlqvPzcEi+PKd9+X3rJqZ7XXjeLl/&#10;fH4ixMuL6f4OVOAp/I3hVz+qQxGddu4gtVc9wvwmDhFuE1CxTU2agtohJAZ0kev/9sUPAAAA//8D&#10;AFBLAQItABQABgAIAAAAIQC2gziS/gAAAOEBAAATAAAAAAAAAAAAAAAAAAAAAABbQ29udGVudF9U&#10;eXBlc10ueG1sUEsBAi0AFAAGAAgAAAAhADj9If/WAAAAlAEAAAsAAAAAAAAAAAAAAAAALwEAAF9y&#10;ZWxzLy5yZWxzUEsBAi0AFAAGAAgAAAAhAOgabICFAQAACgMAAA4AAAAAAAAAAAAAAAAALgIAAGRy&#10;cy9lMm9Eb2MueG1sUEsBAi0AFAAGAAgAAAAhAG4gs33bAAAABQEAAA8AAAAAAAAAAAAAAAAA3wMA&#10;AGRycy9kb3ducmV2LnhtbFBLBQYAAAAABAAEAPMAAADnBAAAAAA=&#10;">
                <o:lock v:ext="edit" shapetype="f"/>
              </v:line>
            </w:pict>
          </mc:Fallback>
        </mc:AlternateContent>
      </w:r>
    </w:p>
    <w:p w14:paraId="4FEC8847" w14:textId="3FD12403" w:rsidR="00C03FC3" w:rsidRP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Kotlebovci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Naše Slovensko </w:t>
      </w:r>
      <w:proofErr w:type="spellStart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Marian</w:t>
      </w:r>
      <w:proofErr w:type="spellEnd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proofErr w:type="spellStart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Andrej Medvecký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Rastislav </w:t>
      </w:r>
      <w:proofErr w:type="spellStart"/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Schlosár</w:t>
      </w:r>
      <w:proofErr w:type="spellEnd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Magdaléna </w:t>
      </w:r>
      <w:proofErr w:type="spellStart"/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Sulanová</w:t>
      </w:r>
      <w:proofErr w:type="spellEnd"/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predkladajú do Národnej rady Slovenskej republiky návrh zákona, ktorým sa mení a dopĺňa zákon č. 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79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/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2015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Z. z.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 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odpadoch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14:paraId="4341F603" w14:textId="288A18BD" w:rsid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Cieľom uvedenej novely zákona je 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zefektívniť triedenie odpadov na cintorínoch.</w:t>
      </w:r>
      <w:r w:rsidR="00CA3B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cintorínoch </w:t>
      </w:r>
      <w:r w:rsidR="00F804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sa </w:t>
      </w:r>
      <w:r w:rsidR="0026175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vyprodukuje </w:t>
      </w:r>
      <w:r w:rsidR="00774CB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veľká</w:t>
      </w:r>
      <w:r w:rsidR="00CA3B3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časť odpadov. Len v hlavnom meste cintoríny vyprodukujú tisíc ton odpad</w:t>
      </w:r>
      <w:r w:rsidR="00F804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ročne.</w:t>
      </w:r>
      <w:r w:rsidR="00773B9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Aj v malých obciach Slovenska sa na cintorínoch vyprodukuje priemerne 6 ton odpadu</w:t>
      </w:r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ročne</w:t>
      </w:r>
      <w:r w:rsidR="00773B9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Ide pritom o odpad, ktorý sa dá vytriediť a nemusí tak skončiť na skládke. </w:t>
      </w:r>
    </w:p>
    <w:p w14:paraId="2E2833D4" w14:textId="2E587FF0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F2197" wp14:editId="40E3A0C9">
            <wp:simplePos x="0" y="0"/>
            <wp:positionH relativeFrom="column">
              <wp:posOffset>-636</wp:posOffset>
            </wp:positionH>
            <wp:positionV relativeFrom="paragraph">
              <wp:posOffset>676275</wp:posOffset>
            </wp:positionV>
            <wp:extent cx="5861307" cy="3552190"/>
            <wp:effectExtent l="0" t="0" r="0" b="0"/>
            <wp:wrapNone/>
            <wp:docPr id="1" name="Obrázok 1" descr="Analýza odpadu na cintoríne vo Vrak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lýza odpadu na cintoríne vo Vraku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564" cy="35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B9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Spoločnosť JRK v októbri 2021 vypracovala analýzu odpadu na cintoríne Vrakúňa v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="00773B9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Bratislave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pričom zistila, že až 86% odpadu sa dal vytriediť a až 57% tvoril zelený kompostovateľný odpad. </w:t>
      </w:r>
    </w:p>
    <w:p w14:paraId="0DE963F4" w14:textId="41E94DBF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66FF760E" w14:textId="3F7B4126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2D246447" w14:textId="7DEEF058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55D97C9D" w14:textId="77777777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5E436D62" w14:textId="64547FAD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2C1CA9D7" w14:textId="325B7246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14:paraId="3D906EFA" w14:textId="0B4F57B5" w:rsidR="00773B94" w:rsidRPr="00C03FC3" w:rsidRDefault="00773B94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 </w:t>
      </w:r>
    </w:p>
    <w:p w14:paraId="4C4B65D5" w14:textId="77777777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09ADC74A" w14:textId="77777777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590E9C7B" w14:textId="77777777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359B95CA" w14:textId="77777777" w:rsidR="00774CB3" w:rsidRDefault="00774CB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</w:p>
    <w:p w14:paraId="6D4BD4CD" w14:textId="3C1D329B" w:rsidR="00DF75BC" w:rsidRDefault="004A09F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Zákon č. 79/2015 Z. z. o odpadoch už ukladá samosprávam povinnosť triediť</w:t>
      </w:r>
      <w:r w:rsidR="00D135C8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na cintorínoch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kompostovateľný odpad. V praxi sa však zvykne vyskytnúť problém, kedy veľkokapacitné kontajnery na kompostovateľný odpad ľudia naplnia aj odpadom iným, čím namiesto triedeného odpadu vznikn</w:t>
      </w:r>
      <w:r w:rsidR="00DF75BC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e odpad zmesový. Samosprávy potom musia vynaložiť ďalšie prostriedky na vytriedenie odpadu, alebo </w:t>
      </w:r>
      <w:r w:rsidR="00D135C8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často </w:t>
      </w:r>
      <w:r w:rsidR="00DF75BC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odpad končí nevytriedený na skládkac</w:t>
      </w:r>
      <w:r w:rsidR="00D135C8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h</w:t>
      </w:r>
      <w:r w:rsidR="00DF75BC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. </w:t>
      </w:r>
    </w:p>
    <w:p w14:paraId="5F4BDE9A" w14:textId="54EC9A5B" w:rsidR="00C03FC3" w:rsidRPr="00C03FC3" w:rsidRDefault="00DF75BC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lastRenderedPageBreak/>
        <w:t xml:space="preserve">Tento problém by mohlo vyriešiť umiestnenie kontajnerov na </w:t>
      </w:r>
      <w:r w:rsidR="00D135C8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separovanie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odpadu</w:t>
      </w:r>
      <w:r w:rsidR="000E7385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na cintorínoch.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Aby však ľudia triedili odpad správne, </w:t>
      </w:r>
      <w:r w:rsidR="00D135C8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súčasťou návrhu zákona je aj umiestnenie usmernenia zloženia jednotlivých častí odpadu na daných kontajneroch.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</w:t>
      </w:r>
    </w:p>
    <w:p w14:paraId="192AF983" w14:textId="6B46D56A" w:rsidR="00C03FC3" w:rsidRDefault="00595D7B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Návrh zákona má okrem zefektívnenia separovania odpadu na cintorínoch tiež výchovnú úlohu. </w:t>
      </w:r>
      <w:r w:rsidR="00B1077B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Triedenie odpadov na cintorínoch m</w:t>
      </w:r>
      <w:r w:rsidR="0040195B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ôže ešte viac motivovať ľudí odpady separovať a ísť tak príkladom mladej generácií, ktorá triedenie odpadov začne chápať ako samozrejmosť v každom aspekte ich života.</w:t>
      </w:r>
    </w:p>
    <w:p w14:paraId="1776284A" w14:textId="0A292144" w:rsidR="0040195B" w:rsidRPr="00C03FC3" w:rsidRDefault="0040195B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Návrh zákona </w:t>
      </w:r>
      <w:r w:rsidR="00095EE1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má tiež pozitívny vplyv na životné prostredi</w:t>
      </w:r>
      <w:r w:rsidR="00A80AEE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e. </w:t>
      </w:r>
    </w:p>
    <w:p w14:paraId="672A6659" w14:textId="77777777" w:rsidR="00C03FC3" w:rsidRDefault="00C03FC3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w14:paraId="404AC2F4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6D4E27CF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A1B1A7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9E659" id="Rovná spojnica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yAhQEAAAoDAAAOAAAAZHJzL2Uyb0RvYy54bWysUk1PJCEQvZvsfyDcHdqJo6YzPR407sW4&#10;Jq4/gKFhmggUqcLpnn+/wHzsRG+b5UDqi0e9V7W8n7xjW41kIXT8atZwpoOC3oZNx99/P13ecUZJ&#10;hl46CLrjO038fvXjYjnGVs9hANdrZBkkUDvGjg8pxVYIUoP2kmYQdchJA+hlyi5uRI9yzOjeiXnT&#10;3IgRsI8IShPl6OM+yVcV3xit0i9jSCfmOp57S/XGeq/LLVZL2W5QxsGqQxvyH7rw0ob86QnqUSbJ&#10;PtF+g/JWIRCYNFPgBRhjla4cMpur5gubt0FGXblkcSieZKL/B6tetg/hFUvragpv8RnUB2VRxBip&#10;PSWLQ3FfNhn0pTz3zqYq5O4kpJ4SUzm4uL1rrpsFZyrn5ovrqrOQ7fFtREo/NXhWjI47GwpN2crt&#10;M6Xyu2yPJSUc4Mk6V0flQgkQONuXWHVws35wyLayzLieMtaMcVaWvf1TXZfi8M1fXsVaQ797xSP5&#10;LHgFOSxHmei5n+3zFV79AQAA//8DAFBLAwQUAAYACAAAACEAbiCzfdsAAAAFAQAADwAAAGRycy9k&#10;b3ducmV2LnhtbEyOwU7DMBBE70j8g7VIXKrWpkDUhGwqBOTGhQLqdZssSUS8TmO3DXw95gTH0Yze&#10;vHw92V4defSdE4SrhQHFUrm6kwbh7bWcr0D5QFJT74QRvtjDujg/yymr3Ule+LgJjYoQ8RkhtCEM&#10;mda+atmSX7iBJXYfbrQUYhwbXY90inDb66UxibbUSXxoaeCHlqvPzcEi+PKd9+X3rJqZ7XXjeLl/&#10;fH4ixMuL6f4OVOAp/I3hVz+qQxGddu4gtVc9wvwmDhFuE1CxTU2agtohJAZ0kev/9sUPAAAA//8D&#10;AFBLAQItABQABgAIAAAAIQC2gziS/gAAAOEBAAATAAAAAAAAAAAAAAAAAAAAAABbQ29udGVudF9U&#10;eXBlc10ueG1sUEsBAi0AFAAGAAgAAAAhADj9If/WAAAAlAEAAAsAAAAAAAAAAAAAAAAALwEAAF9y&#10;ZWxzLy5yZWxzUEsBAi0AFAAGAAgAAAAhAOgabICFAQAACgMAAA4AAAAAAAAAAAAAAAAALgIAAGRy&#10;cy9lMm9Eb2MueG1sUEsBAi0AFAAGAAgAAAAhAG4gs33bAAAABQEAAA8AAAAAAAAAAAAAAAAA3wMA&#10;AGRycy9kb3ducmV2LnhtbFBLBQYAAAAABAAEAPMAAADnBAAAAAA=&#10;">
                <o:lock v:ext="edit" shapetype="f"/>
              </v:line>
            </w:pict>
          </mc:Fallback>
        </mc:AlternateContent>
      </w:r>
    </w:p>
    <w:p w14:paraId="3972CB42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14:paraId="52D9392A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1 </w:t>
      </w:r>
    </w:p>
    <w:p w14:paraId="52E158B3" w14:textId="6567D4D0" w:rsidR="00C03FC3" w:rsidRDefault="007E59E3" w:rsidP="00C03FC3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Stanovenie </w:t>
      </w:r>
      <w:r w:rsidR="003E52B9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povinnos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ti miest a obcí</w:t>
      </w:r>
      <w:r w:rsidR="003E52B9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umiestniť kontajnery na separovanie odpadu v lokalitách cintorínov. Kontajnery pritom musia byť označené aj druh</w:t>
      </w:r>
      <w:r w:rsidR="00CA5829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mi odpadu, ktoré majú tvoriť obsah </w:t>
      </w:r>
      <w:r w:rsidR="007753E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recyklačných</w:t>
      </w:r>
      <w:r w:rsidR="00CA5829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 konta</w:t>
      </w:r>
      <w:r w:rsidR="007753EF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>j</w:t>
      </w:r>
      <w:r w:rsidR="00CA5829">
        <w:rPr>
          <w:rFonts w:ascii="Book Antiqua" w:hAnsi="Book Antiqua" w:cs="Arial"/>
          <w:color w:val="000000" w:themeColor="text1"/>
          <w:sz w:val="22"/>
          <w:szCs w:val="22"/>
          <w:lang w:bidi="ar-SA"/>
        </w:rPr>
        <w:t xml:space="preserve">nerov. </w:t>
      </w:r>
    </w:p>
    <w:p w14:paraId="0A37501D" w14:textId="77777777" w:rsidR="00C03FC3" w:rsidRDefault="00C03FC3" w:rsidP="00C03FC3">
      <w:pPr>
        <w:spacing w:after="200" w:line="276" w:lineRule="auto"/>
        <w:ind w:firstLine="708"/>
        <w:jc w:val="both"/>
        <w:rPr>
          <w:rFonts w:ascii="Book Antiqua" w:hAnsi="Book Antiqua" w:cs="Arial"/>
          <w:color w:val="000000" w:themeColor="text1"/>
          <w:lang w:bidi="ar-SA"/>
        </w:rPr>
      </w:pPr>
    </w:p>
    <w:p w14:paraId="5DAB6C7B" w14:textId="77777777" w:rsid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14:paraId="09C087FC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 w:rsidRPr="115D94DF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Čl. II</w:t>
      </w:r>
    </w:p>
    <w:p w14:paraId="70267B4D" w14:textId="6B62D847" w:rsidR="00C03FC3" w:rsidRDefault="00C03FC3" w:rsidP="00C03FC3">
      <w:pPr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115D94DF">
        <w:rPr>
          <w:rFonts w:ascii="Book Antiqua" w:hAnsi="Book Antiqua" w:cs="Liberation Serif"/>
          <w:color w:val="000000" w:themeColor="text1"/>
          <w:sz w:val="22"/>
          <w:szCs w:val="22"/>
        </w:rPr>
        <w:t xml:space="preserve">Navrhuje sa účinnosť zákona </w:t>
      </w:r>
      <w:r w:rsidR="008702D1">
        <w:rPr>
          <w:rFonts w:ascii="Book Antiqua" w:hAnsi="Book Antiqua" w:cs="Liberation Serif"/>
          <w:color w:val="000000" w:themeColor="text1"/>
          <w:sz w:val="22"/>
          <w:szCs w:val="22"/>
        </w:rPr>
        <w:t>pätnástym</w:t>
      </w:r>
      <w:r w:rsidRPr="115D94DF">
        <w:rPr>
          <w:rFonts w:ascii="Book Antiqua" w:hAnsi="Book Antiqua" w:cs="Liberation Serif"/>
          <w:color w:val="000000" w:themeColor="text1"/>
          <w:sz w:val="22"/>
          <w:szCs w:val="22"/>
        </w:rPr>
        <w:t xml:space="preserve"> dňom po jeho vyhlásení v Zbierke zákonov.</w:t>
      </w:r>
    </w:p>
    <w:p w14:paraId="02EB378F" w14:textId="77777777" w:rsidR="00D04AD0" w:rsidRDefault="00D04AD0"/>
    <w:sectPr w:rsidR="00D0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65E2" w14:textId="77777777" w:rsidR="00FB34E0" w:rsidRDefault="00FB34E0" w:rsidP="00C03FC3">
      <w:r>
        <w:separator/>
      </w:r>
    </w:p>
  </w:endnote>
  <w:endnote w:type="continuationSeparator" w:id="0">
    <w:p w14:paraId="31BD3691" w14:textId="77777777" w:rsidR="00FB34E0" w:rsidRDefault="00FB34E0" w:rsidP="00C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908B" w14:textId="77777777" w:rsidR="00FB34E0" w:rsidRDefault="00FB34E0" w:rsidP="00C03FC3">
      <w:r>
        <w:separator/>
      </w:r>
    </w:p>
  </w:footnote>
  <w:footnote w:type="continuationSeparator" w:id="0">
    <w:p w14:paraId="28E59664" w14:textId="77777777" w:rsidR="00FB34E0" w:rsidRDefault="00FB34E0" w:rsidP="00C0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E2F"/>
    <w:multiLevelType w:val="multilevel"/>
    <w:tmpl w:val="397A6E38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FC3"/>
    <w:rsid w:val="000474EA"/>
    <w:rsid w:val="00095EE1"/>
    <w:rsid w:val="000E7385"/>
    <w:rsid w:val="00160637"/>
    <w:rsid w:val="00261755"/>
    <w:rsid w:val="0026548A"/>
    <w:rsid w:val="003E52B9"/>
    <w:rsid w:val="0040195B"/>
    <w:rsid w:val="004A09F3"/>
    <w:rsid w:val="00595D7B"/>
    <w:rsid w:val="005D652C"/>
    <w:rsid w:val="006E341A"/>
    <w:rsid w:val="006F2B27"/>
    <w:rsid w:val="00773B94"/>
    <w:rsid w:val="00774CB3"/>
    <w:rsid w:val="007753EF"/>
    <w:rsid w:val="007B56CD"/>
    <w:rsid w:val="007C7DBE"/>
    <w:rsid w:val="007E59E3"/>
    <w:rsid w:val="008365C6"/>
    <w:rsid w:val="00844601"/>
    <w:rsid w:val="008702D1"/>
    <w:rsid w:val="008D35BF"/>
    <w:rsid w:val="009C363C"/>
    <w:rsid w:val="00A80AEE"/>
    <w:rsid w:val="00B1077B"/>
    <w:rsid w:val="00BA267A"/>
    <w:rsid w:val="00C03FC3"/>
    <w:rsid w:val="00CA3B36"/>
    <w:rsid w:val="00CA5829"/>
    <w:rsid w:val="00D04AD0"/>
    <w:rsid w:val="00D135C8"/>
    <w:rsid w:val="00D55402"/>
    <w:rsid w:val="00DF75BC"/>
    <w:rsid w:val="00F8040F"/>
    <w:rsid w:val="00FB34E0"/>
    <w:rsid w:val="1137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FE74"/>
  <w15:docId w15:val="{D99DD1BB-522C-4FB8-BD70-06D7D0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FC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C03FC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Lihocka</dc:creator>
  <cp:lastModifiedBy>Maroško Študuje</cp:lastModifiedBy>
  <cp:revision>16</cp:revision>
  <dcterms:created xsi:type="dcterms:W3CDTF">2021-02-16T14:47:00Z</dcterms:created>
  <dcterms:modified xsi:type="dcterms:W3CDTF">2022-01-12T10:52:00Z</dcterms:modified>
</cp:coreProperties>
</file>