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68C01" w14:textId="77777777" w:rsidR="00EF3A99" w:rsidRPr="00DB3F01" w:rsidRDefault="00EF3A99" w:rsidP="00EF3A99">
      <w:pPr>
        <w:widowControl w:val="0"/>
        <w:pBdr>
          <w:bottom w:val="single" w:sz="12" w:space="1" w:color="000000"/>
        </w:pBdr>
        <w:spacing w:after="0"/>
        <w:jc w:val="center"/>
        <w:rPr>
          <w:rFonts w:ascii="Book Antiqua" w:hAnsi="Book Antiqua" w:cs="Times New Roman"/>
        </w:rPr>
      </w:pPr>
      <w:r w:rsidRPr="00DB3F01">
        <w:rPr>
          <w:rFonts w:ascii="Book Antiqua" w:hAnsi="Book Antiqua" w:cs="Times New Roman"/>
          <w:b/>
          <w:bCs/>
        </w:rPr>
        <w:t>NÁRODNÁ RADA SLOVENSKEJ REPUBLIKY</w:t>
      </w:r>
    </w:p>
    <w:p w14:paraId="6685E711" w14:textId="77777777" w:rsidR="00EF3A99" w:rsidRPr="00DB3F01" w:rsidRDefault="00EF3A99" w:rsidP="00EF3A99">
      <w:pPr>
        <w:widowControl w:val="0"/>
        <w:spacing w:after="0"/>
        <w:jc w:val="center"/>
        <w:rPr>
          <w:rFonts w:ascii="Book Antiqua" w:hAnsi="Book Antiqua" w:cs="Times New Roman"/>
        </w:rPr>
      </w:pPr>
    </w:p>
    <w:p w14:paraId="39FE6432" w14:textId="77777777" w:rsidR="00EF3A99" w:rsidRPr="00DB3F01" w:rsidRDefault="00EF3A99" w:rsidP="00EF3A99">
      <w:pPr>
        <w:widowControl w:val="0"/>
        <w:spacing w:after="0"/>
        <w:jc w:val="center"/>
        <w:rPr>
          <w:rFonts w:ascii="Book Antiqua" w:hAnsi="Book Antiqua" w:cs="Times New Roman"/>
        </w:rPr>
      </w:pPr>
      <w:r w:rsidRPr="00DB3F01">
        <w:rPr>
          <w:rFonts w:ascii="Book Antiqua" w:hAnsi="Book Antiqua" w:cs="Times New Roman"/>
          <w:spacing w:val="20"/>
        </w:rPr>
        <w:t>VIII. volebné obdobie</w:t>
      </w:r>
    </w:p>
    <w:p w14:paraId="6F56B704" w14:textId="77777777" w:rsidR="00EF3A99" w:rsidRPr="00DB3F01" w:rsidRDefault="00EF3A99" w:rsidP="00EF3A99">
      <w:pPr>
        <w:pStyle w:val="Zkladntext"/>
        <w:spacing w:line="276" w:lineRule="auto"/>
        <w:jc w:val="center"/>
        <w:rPr>
          <w:rFonts w:ascii="Book Antiqua" w:hAnsi="Book Antiqua"/>
          <w:bCs/>
          <w:iCs/>
          <w:sz w:val="22"/>
          <w:szCs w:val="22"/>
        </w:rPr>
      </w:pPr>
    </w:p>
    <w:p w14:paraId="6CB80106" w14:textId="77777777" w:rsidR="00EF3A99" w:rsidRPr="00DB3F01" w:rsidRDefault="00EF3A99" w:rsidP="00EF3A99">
      <w:pPr>
        <w:pStyle w:val="Zkladntext"/>
        <w:spacing w:line="276" w:lineRule="auto"/>
        <w:jc w:val="center"/>
        <w:rPr>
          <w:rFonts w:ascii="Book Antiqua" w:hAnsi="Book Antiqua"/>
          <w:bCs/>
          <w:iCs/>
          <w:sz w:val="22"/>
          <w:szCs w:val="22"/>
        </w:rPr>
      </w:pPr>
    </w:p>
    <w:p w14:paraId="6A0C24A9" w14:textId="77777777" w:rsidR="00EF3A99" w:rsidRPr="00DB3F01" w:rsidRDefault="00EF3A99" w:rsidP="00EF3A99">
      <w:pPr>
        <w:pStyle w:val="Zkladntext"/>
        <w:spacing w:line="276" w:lineRule="auto"/>
        <w:jc w:val="center"/>
        <w:rPr>
          <w:rFonts w:ascii="Book Antiqua" w:hAnsi="Book Antiqua"/>
          <w:sz w:val="22"/>
          <w:szCs w:val="22"/>
        </w:rPr>
      </w:pPr>
      <w:r w:rsidRPr="00DB3F01">
        <w:rPr>
          <w:rFonts w:ascii="Book Antiqua" w:hAnsi="Book Antiqua"/>
          <w:bCs/>
          <w:iCs/>
          <w:sz w:val="22"/>
          <w:szCs w:val="22"/>
        </w:rPr>
        <w:t>Návrh</w:t>
      </w:r>
    </w:p>
    <w:p w14:paraId="6EE74D5F" w14:textId="77777777" w:rsidR="00EF3A99" w:rsidRPr="00DB3F01" w:rsidRDefault="00EF3A99" w:rsidP="00EF3A99">
      <w:pPr>
        <w:pStyle w:val="Zkladntext"/>
        <w:spacing w:line="276" w:lineRule="auto"/>
        <w:jc w:val="center"/>
        <w:rPr>
          <w:rFonts w:ascii="Book Antiqua" w:hAnsi="Book Antiqua"/>
          <w:bCs/>
          <w:iCs/>
          <w:sz w:val="22"/>
          <w:szCs w:val="22"/>
        </w:rPr>
      </w:pPr>
    </w:p>
    <w:p w14:paraId="44E31345" w14:textId="77777777" w:rsidR="00EF3A99" w:rsidRPr="00DB3F01" w:rsidRDefault="00EF3A99" w:rsidP="00EF3A99">
      <w:pPr>
        <w:pStyle w:val="Zkladntext"/>
        <w:spacing w:line="276" w:lineRule="auto"/>
        <w:jc w:val="center"/>
        <w:rPr>
          <w:rFonts w:ascii="Book Antiqua" w:hAnsi="Book Antiqua"/>
          <w:sz w:val="22"/>
          <w:szCs w:val="22"/>
        </w:rPr>
      </w:pPr>
      <w:r w:rsidRPr="00DB3F01">
        <w:rPr>
          <w:rFonts w:ascii="Book Antiqua" w:hAnsi="Book Antiqua"/>
          <w:b/>
          <w:bCs/>
          <w:iCs/>
          <w:sz w:val="22"/>
          <w:szCs w:val="22"/>
        </w:rPr>
        <w:t>ZÁKON</w:t>
      </w:r>
    </w:p>
    <w:p w14:paraId="5667229E" w14:textId="77777777" w:rsidR="00EF3A99" w:rsidRPr="00DB3F01" w:rsidRDefault="00EF3A99" w:rsidP="00EF3A99">
      <w:pPr>
        <w:pStyle w:val="Zkladntext"/>
        <w:spacing w:line="276" w:lineRule="auto"/>
        <w:jc w:val="center"/>
        <w:rPr>
          <w:rFonts w:ascii="Book Antiqua" w:hAnsi="Book Antiqua"/>
          <w:b/>
          <w:bCs/>
          <w:iCs/>
          <w:sz w:val="22"/>
          <w:szCs w:val="22"/>
        </w:rPr>
      </w:pPr>
    </w:p>
    <w:p w14:paraId="4DA7FE75" w14:textId="1455DE9A" w:rsidR="00EF3A99" w:rsidRPr="00DB3F01" w:rsidRDefault="00EF3A99" w:rsidP="00EF3A99">
      <w:pPr>
        <w:pStyle w:val="Zkladntext"/>
        <w:spacing w:line="276" w:lineRule="auto"/>
        <w:jc w:val="center"/>
        <w:rPr>
          <w:rFonts w:ascii="Book Antiqua" w:hAnsi="Book Antiqua"/>
          <w:sz w:val="22"/>
          <w:szCs w:val="22"/>
        </w:rPr>
      </w:pPr>
      <w:r w:rsidRPr="00DB3F01">
        <w:rPr>
          <w:rFonts w:ascii="Book Antiqua" w:hAnsi="Book Antiqua"/>
          <w:bCs/>
          <w:iCs/>
          <w:sz w:val="22"/>
          <w:szCs w:val="22"/>
        </w:rPr>
        <w:t>z ........... 202</w:t>
      </w:r>
      <w:r w:rsidR="002B591B">
        <w:rPr>
          <w:rFonts w:ascii="Book Antiqua" w:hAnsi="Book Antiqua"/>
          <w:bCs/>
          <w:iCs/>
          <w:sz w:val="22"/>
          <w:szCs w:val="22"/>
        </w:rPr>
        <w:t>2</w:t>
      </w:r>
      <w:r w:rsidRPr="00DB3F01">
        <w:rPr>
          <w:rFonts w:ascii="Book Antiqua" w:hAnsi="Book Antiqua"/>
          <w:bCs/>
          <w:iCs/>
          <w:sz w:val="22"/>
          <w:szCs w:val="22"/>
        </w:rPr>
        <w:t>,</w:t>
      </w:r>
    </w:p>
    <w:p w14:paraId="40D9C065" w14:textId="77777777" w:rsidR="00EF3A99" w:rsidRPr="00DB3F01" w:rsidRDefault="00EF3A99" w:rsidP="00EF3A99">
      <w:pPr>
        <w:spacing w:after="0"/>
        <w:jc w:val="center"/>
        <w:rPr>
          <w:rFonts w:ascii="Book Antiqua" w:hAnsi="Book Antiqua" w:cs="Times New Roman"/>
          <w:b/>
          <w:shd w:val="clear" w:color="auto" w:fill="FFFFFF"/>
        </w:rPr>
      </w:pPr>
    </w:p>
    <w:p w14:paraId="7CB6C020" w14:textId="77777777" w:rsidR="00EF3A99" w:rsidRDefault="00EF3A99" w:rsidP="00EF3A99">
      <w:pPr>
        <w:spacing w:after="0"/>
        <w:jc w:val="center"/>
        <w:rPr>
          <w:rFonts w:ascii="Book Antiqua" w:hAnsi="Book Antiqua" w:cs="Times New Roman"/>
          <w:b/>
          <w:shd w:val="clear" w:color="auto" w:fill="FFFFFF"/>
        </w:rPr>
      </w:pPr>
      <w:bookmarkStart w:id="0" w:name="_Hlk72919308"/>
      <w:r w:rsidRPr="00DB3F01">
        <w:rPr>
          <w:rFonts w:ascii="Book Antiqua" w:hAnsi="Book Antiqua" w:cs="Times New Roman"/>
          <w:b/>
          <w:shd w:val="clear" w:color="auto" w:fill="FFFFFF"/>
        </w:rPr>
        <w:t xml:space="preserve">ktorým sa mení a dopĺňa zákon č. 300/2005 Z. z. Trestný zákon </w:t>
      </w:r>
    </w:p>
    <w:p w14:paraId="09F578E0" w14:textId="77777777" w:rsidR="00EF3A99" w:rsidRPr="00DB3F01" w:rsidRDefault="00EF3A99" w:rsidP="00EF3A99">
      <w:pPr>
        <w:spacing w:after="0"/>
        <w:jc w:val="center"/>
        <w:rPr>
          <w:rFonts w:ascii="Book Antiqua" w:hAnsi="Book Antiqua" w:cs="Times New Roman"/>
          <w:b/>
          <w:shd w:val="clear" w:color="auto" w:fill="FFFFFF"/>
        </w:rPr>
      </w:pPr>
      <w:r w:rsidRPr="00DB3F01">
        <w:rPr>
          <w:rFonts w:ascii="Book Antiqua" w:hAnsi="Book Antiqua" w:cs="Times New Roman"/>
          <w:b/>
          <w:shd w:val="clear" w:color="auto" w:fill="FFFFFF"/>
        </w:rPr>
        <w:t>v znení neskorších predpisov</w:t>
      </w:r>
      <w:bookmarkEnd w:id="0"/>
    </w:p>
    <w:p w14:paraId="292AD68F" w14:textId="77777777" w:rsidR="00EF3A99" w:rsidRPr="00DB3F01" w:rsidRDefault="00EF3A99" w:rsidP="00EF3A99">
      <w:pPr>
        <w:spacing w:after="0"/>
        <w:rPr>
          <w:rFonts w:ascii="Book Antiqua" w:hAnsi="Book Antiqua" w:cs="Times New Roman"/>
          <w:b/>
          <w:shd w:val="clear" w:color="auto" w:fill="FFFFFF"/>
        </w:rPr>
      </w:pPr>
    </w:p>
    <w:p w14:paraId="6B75F3BA" w14:textId="77777777" w:rsidR="00EF3A99" w:rsidRPr="00DB3F01" w:rsidRDefault="00EF3A99" w:rsidP="00EF3A99">
      <w:pPr>
        <w:spacing w:after="0"/>
        <w:ind w:firstLine="708"/>
        <w:rPr>
          <w:rFonts w:ascii="Book Antiqua" w:hAnsi="Book Antiqua" w:cs="Times New Roman"/>
          <w:b/>
          <w:shd w:val="clear" w:color="auto" w:fill="FFFFFF"/>
        </w:rPr>
      </w:pPr>
      <w:r w:rsidRPr="00DB3F01">
        <w:rPr>
          <w:rFonts w:ascii="Book Antiqua" w:hAnsi="Book Antiqua" w:cs="Times New Roman"/>
          <w:shd w:val="clear" w:color="auto" w:fill="FFFFFF"/>
        </w:rPr>
        <w:t>Národná rada Slovenskej republiky sa uzniesla na tomto zákone:</w:t>
      </w:r>
    </w:p>
    <w:p w14:paraId="27142739" w14:textId="7BE90B68" w:rsidR="00EF3A99" w:rsidRDefault="00EF3A99" w:rsidP="00EF3A99">
      <w:pPr>
        <w:spacing w:after="0"/>
        <w:jc w:val="center"/>
        <w:rPr>
          <w:rFonts w:ascii="Book Antiqua" w:hAnsi="Book Antiqua" w:cs="Times New Roman"/>
          <w:shd w:val="clear" w:color="auto" w:fill="FFFFFF"/>
        </w:rPr>
      </w:pPr>
    </w:p>
    <w:p w14:paraId="3667803B" w14:textId="77777777" w:rsidR="002B591B" w:rsidRPr="00DB3F01" w:rsidRDefault="002B591B" w:rsidP="00EF3A99">
      <w:pPr>
        <w:spacing w:after="0"/>
        <w:jc w:val="center"/>
        <w:rPr>
          <w:rFonts w:ascii="Book Antiqua" w:hAnsi="Book Antiqua" w:cs="Times New Roman"/>
          <w:shd w:val="clear" w:color="auto" w:fill="FFFFFF"/>
        </w:rPr>
      </w:pPr>
    </w:p>
    <w:p w14:paraId="4B318AE6" w14:textId="77777777" w:rsidR="00EF3A99" w:rsidRPr="00DB3F01" w:rsidRDefault="00EF3A99" w:rsidP="00EF3A99">
      <w:pPr>
        <w:spacing w:after="0"/>
        <w:jc w:val="center"/>
        <w:rPr>
          <w:rFonts w:ascii="Book Antiqua" w:hAnsi="Book Antiqua" w:cs="Times New Roman"/>
          <w:b/>
          <w:shd w:val="clear" w:color="auto" w:fill="FFFFFF"/>
        </w:rPr>
      </w:pPr>
      <w:r w:rsidRPr="00DB3F01">
        <w:rPr>
          <w:rFonts w:ascii="Book Antiqua" w:hAnsi="Book Antiqua" w:cs="Times New Roman"/>
          <w:b/>
          <w:shd w:val="clear" w:color="auto" w:fill="FFFFFF"/>
        </w:rPr>
        <w:t>Čl. I.</w:t>
      </w:r>
    </w:p>
    <w:p w14:paraId="46AA878D" w14:textId="77777777" w:rsidR="00EF3A99" w:rsidRPr="00DB3F01" w:rsidRDefault="00EF3A99" w:rsidP="00EF3A99">
      <w:pPr>
        <w:spacing w:after="0"/>
        <w:jc w:val="center"/>
        <w:rPr>
          <w:rFonts w:ascii="Book Antiqua" w:hAnsi="Book Antiqua" w:cs="Times New Roman"/>
          <w:shd w:val="clear" w:color="auto" w:fill="FFFFFF"/>
        </w:rPr>
      </w:pPr>
    </w:p>
    <w:p w14:paraId="171EF894" w14:textId="77777777" w:rsidR="00EF3A99" w:rsidRDefault="00EF3A99" w:rsidP="002B591B">
      <w:pPr>
        <w:spacing w:after="0" w:line="240" w:lineRule="auto"/>
        <w:ind w:firstLine="708"/>
        <w:jc w:val="both"/>
        <w:rPr>
          <w:rFonts w:ascii="Book Antiqua" w:hAnsi="Book Antiqua" w:cs="Times New Roman"/>
          <w:shd w:val="clear" w:color="auto" w:fill="FFFFFF"/>
        </w:rPr>
      </w:pPr>
      <w:r w:rsidRPr="00DB3F01">
        <w:rPr>
          <w:rFonts w:ascii="Book Antiqua" w:hAnsi="Book Antiqua" w:cs="Times New Roman"/>
          <w:shd w:val="clear" w:color="auto" w:fill="FFFFFF"/>
        </w:rPr>
        <w:t>Zákon č. </w:t>
      </w:r>
      <w:hyperlink r:id="rId7" w:tooltip="Odkaz na predpis alebo ustanovenie" w:history="1">
        <w:r w:rsidRPr="00DB3F01">
          <w:rPr>
            <w:rStyle w:val="Hypertextovprepojenie"/>
            <w:rFonts w:ascii="Book Antiqua" w:hAnsi="Book Antiqua" w:cs="Times New Roman"/>
            <w:color w:val="auto"/>
            <w:u w:val="none"/>
            <w:shd w:val="clear" w:color="auto" w:fill="FFFFFF"/>
          </w:rPr>
          <w:t>300/2005 Z. z.</w:t>
        </w:r>
      </w:hyperlink>
      <w:r w:rsidRPr="00DB3F01">
        <w:rPr>
          <w:rFonts w:ascii="Book Antiqua" w:hAnsi="Book Antiqua" w:cs="Times New Roman"/>
          <w:shd w:val="clear" w:color="auto" w:fill="FFFFFF"/>
        </w:rPr>
        <w:t>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nálezu Ústavného súdu Slovenskej republiky č. 38/2019 Z. z., zákona č. 214/2019 Z. z., zákona č. 420/2019 Z. z., zákona č. 474/2019 Z. z., zákona č 288/2020 Z. z., zákona č. 312/2020 Z. z.</w:t>
      </w:r>
      <w:r>
        <w:rPr>
          <w:rFonts w:ascii="Book Antiqua" w:hAnsi="Book Antiqua" w:cs="Times New Roman"/>
          <w:shd w:val="clear" w:color="auto" w:fill="FFFFFF"/>
        </w:rPr>
        <w:t>,</w:t>
      </w:r>
      <w:r w:rsidRPr="00DB3F01">
        <w:rPr>
          <w:rFonts w:ascii="Book Antiqua" w:hAnsi="Book Antiqua" w:cs="Times New Roman"/>
          <w:shd w:val="clear" w:color="auto" w:fill="FFFFFF"/>
        </w:rPr>
        <w:t xml:space="preserve"> zákona č. 236/2021 Z. z. </w:t>
      </w:r>
      <w:r>
        <w:rPr>
          <w:rFonts w:ascii="Book Antiqua" w:hAnsi="Book Antiqua" w:cs="Times New Roman"/>
          <w:shd w:val="clear" w:color="auto" w:fill="FFFFFF"/>
        </w:rPr>
        <w:t xml:space="preserve">a zákona č. 357/2021 Z. z. </w:t>
      </w:r>
      <w:r w:rsidRPr="00DB3F01">
        <w:rPr>
          <w:rFonts w:ascii="Book Antiqua" w:hAnsi="Book Antiqua" w:cs="Times New Roman"/>
          <w:shd w:val="clear" w:color="auto" w:fill="FFFFFF"/>
        </w:rPr>
        <w:t>sa mení a dopĺňa takto:</w:t>
      </w:r>
    </w:p>
    <w:p w14:paraId="1A32FCC4" w14:textId="77777777" w:rsidR="00EF3A99" w:rsidRDefault="00EF3A99" w:rsidP="002B591B">
      <w:pPr>
        <w:spacing w:after="0"/>
        <w:jc w:val="both"/>
        <w:rPr>
          <w:rFonts w:ascii="Book Antiqua" w:hAnsi="Book Antiqua" w:cs="Times New Roman"/>
          <w:shd w:val="clear" w:color="auto" w:fill="FFFFFF"/>
        </w:rPr>
      </w:pPr>
    </w:p>
    <w:p w14:paraId="3117AB1E" w14:textId="77777777" w:rsidR="00EF3A99" w:rsidRPr="00DB3F01" w:rsidRDefault="00EF3A99" w:rsidP="002B591B">
      <w:pPr>
        <w:spacing w:after="0"/>
        <w:ind w:firstLine="708"/>
        <w:jc w:val="both"/>
        <w:rPr>
          <w:rFonts w:ascii="Book Antiqua" w:hAnsi="Book Antiqua"/>
        </w:rPr>
      </w:pPr>
      <w:r w:rsidRPr="00DB3F01">
        <w:rPr>
          <w:rFonts w:ascii="Book Antiqua" w:hAnsi="Book Antiqua" w:cs="Times New Roman"/>
          <w:b/>
          <w:shd w:val="clear" w:color="auto" w:fill="FFFFFF"/>
        </w:rPr>
        <w:t>1.</w:t>
      </w:r>
      <w:r>
        <w:rPr>
          <w:rFonts w:ascii="Book Antiqua" w:hAnsi="Book Antiqua" w:cs="Times New Roman"/>
          <w:shd w:val="clear" w:color="auto" w:fill="FFFFFF"/>
        </w:rPr>
        <w:t xml:space="preserve"> </w:t>
      </w:r>
      <w:r w:rsidRPr="00DB3F01">
        <w:rPr>
          <w:rFonts w:ascii="Book Antiqua" w:hAnsi="Book Antiqua"/>
        </w:rPr>
        <w:t xml:space="preserve">§ 124 sa dopĺňa odsekom 4, ktorý znie: </w:t>
      </w:r>
    </w:p>
    <w:p w14:paraId="3F41EFE2" w14:textId="77777777" w:rsidR="002B591B" w:rsidRDefault="002B591B" w:rsidP="002B591B">
      <w:pPr>
        <w:spacing w:after="0"/>
        <w:ind w:firstLine="708"/>
        <w:jc w:val="both"/>
        <w:rPr>
          <w:rFonts w:ascii="Book Antiqua" w:hAnsi="Book Antiqua"/>
        </w:rPr>
      </w:pPr>
    </w:p>
    <w:p w14:paraId="740C7569" w14:textId="428D3BF5" w:rsidR="00EF3A99" w:rsidRPr="00DB3F01" w:rsidRDefault="00EF3A99" w:rsidP="002B591B">
      <w:pPr>
        <w:spacing w:after="0"/>
        <w:ind w:firstLine="708"/>
        <w:jc w:val="both"/>
        <w:rPr>
          <w:rFonts w:ascii="Book Antiqua" w:hAnsi="Book Antiqua"/>
        </w:rPr>
      </w:pPr>
      <w:r w:rsidRPr="00DB3F01">
        <w:rPr>
          <w:rFonts w:ascii="Book Antiqua" w:hAnsi="Book Antiqua"/>
        </w:rPr>
        <w:t xml:space="preserve">„(4) Pri trestnom čine machinácie pri verejnom obstarávaní a verejnej dražbe podľa § 266 sa rozsahom činu pri verejnom obstarávaní rozumie zmluvná cena dojednaná zadaním zákazky alebo koncesie; ak táto zmluvná cena nebola dojednaná, rozsahom činu sa rozumie predpokladaná hodnota zákazky, koncesie alebo súťaže návrhov a pri verejnej dražbe hodnota predmetu verejnej dražby. Ak zmluvná cena alebo predpokladaná hodnota zákazky, koncesie alebo súťaže návrhov, alebo hodnota predmetu dražby nie je určená alebo je zjavne podhodnotená alebo nadhodnotená, určí sa podľa § 126 ods. 3.“.  </w:t>
      </w:r>
    </w:p>
    <w:p w14:paraId="1D014358" w14:textId="77777777" w:rsidR="00EF3A99" w:rsidRPr="00DB3F01" w:rsidRDefault="00EF3A99" w:rsidP="002B591B">
      <w:pPr>
        <w:pStyle w:val="Odsekzoznamu"/>
        <w:shd w:val="clear" w:color="auto" w:fill="FFFFFF"/>
        <w:spacing w:after="0"/>
        <w:rPr>
          <w:rFonts w:ascii="Book Antiqua" w:eastAsia="Times New Roman" w:hAnsi="Book Antiqua" w:cs="Times New Roman"/>
          <w:color w:val="000000" w:themeColor="text1"/>
          <w:lang w:eastAsia="sk-SK"/>
        </w:rPr>
      </w:pPr>
    </w:p>
    <w:p w14:paraId="548146BB" w14:textId="77777777" w:rsidR="00EF3A99" w:rsidRPr="00DB3F01" w:rsidRDefault="00EF3A99" w:rsidP="002B591B">
      <w:pPr>
        <w:spacing w:after="0" w:line="259" w:lineRule="auto"/>
        <w:ind w:firstLine="708"/>
        <w:jc w:val="both"/>
        <w:rPr>
          <w:rFonts w:ascii="Book Antiqua" w:hAnsi="Book Antiqua"/>
          <w:iCs/>
        </w:rPr>
      </w:pPr>
      <w:r w:rsidRPr="00DB3F01">
        <w:rPr>
          <w:rFonts w:ascii="Book Antiqua" w:hAnsi="Book Antiqua"/>
          <w:b/>
          <w:iCs/>
        </w:rPr>
        <w:lastRenderedPageBreak/>
        <w:t>2.</w:t>
      </w:r>
      <w:r>
        <w:rPr>
          <w:rFonts w:ascii="Book Antiqua" w:hAnsi="Book Antiqua"/>
          <w:iCs/>
        </w:rPr>
        <w:t xml:space="preserve"> </w:t>
      </w:r>
      <w:r w:rsidRPr="00DB3F01">
        <w:rPr>
          <w:rFonts w:ascii="Book Antiqua" w:hAnsi="Book Antiqua"/>
          <w:iCs/>
        </w:rPr>
        <w:t xml:space="preserve">§ 266 vrátane nadpisu nad paragrafom znie: </w:t>
      </w:r>
    </w:p>
    <w:p w14:paraId="7E8363DF" w14:textId="77777777" w:rsidR="00EF3A99" w:rsidRPr="00DB3F01" w:rsidRDefault="00EF3A99" w:rsidP="00EF3A99">
      <w:pPr>
        <w:pStyle w:val="Odsekzoznamu"/>
        <w:spacing w:after="0" w:line="259" w:lineRule="auto"/>
        <w:ind w:left="340"/>
        <w:jc w:val="both"/>
        <w:rPr>
          <w:rFonts w:ascii="Book Antiqua" w:hAnsi="Book Antiqua"/>
          <w:iCs/>
        </w:rPr>
      </w:pPr>
    </w:p>
    <w:p w14:paraId="119B7074" w14:textId="77777777" w:rsidR="00EF3A99" w:rsidRPr="002B591B" w:rsidRDefault="00EF3A99" w:rsidP="00EF3A99">
      <w:pPr>
        <w:pStyle w:val="Odsekzoznamu"/>
        <w:spacing w:after="0"/>
        <w:ind w:left="340"/>
        <w:jc w:val="center"/>
        <w:rPr>
          <w:rFonts w:ascii="Book Antiqua" w:hAnsi="Book Antiqua"/>
          <w:b/>
          <w:bCs/>
          <w:iCs/>
          <w:spacing w:val="30"/>
        </w:rPr>
      </w:pPr>
      <w:r w:rsidRPr="00DB3F01">
        <w:rPr>
          <w:rFonts w:ascii="Book Antiqua" w:hAnsi="Book Antiqua"/>
          <w:iCs/>
        </w:rPr>
        <w:t>„</w:t>
      </w:r>
      <w:r w:rsidRPr="002B591B">
        <w:rPr>
          <w:rFonts w:ascii="Book Antiqua" w:hAnsi="Book Antiqua"/>
          <w:b/>
          <w:bCs/>
          <w:iCs/>
          <w:spacing w:val="30"/>
        </w:rPr>
        <w:t>Machinácie pri verejnom obstarávaní a verejnej dražbe</w:t>
      </w:r>
    </w:p>
    <w:p w14:paraId="12A5BC28" w14:textId="77777777" w:rsidR="00EF3A99" w:rsidRPr="002B591B" w:rsidRDefault="00EF3A99" w:rsidP="00EF3A99">
      <w:pPr>
        <w:pStyle w:val="Odsekzoznamu"/>
        <w:spacing w:after="0"/>
        <w:ind w:left="340"/>
        <w:jc w:val="center"/>
        <w:rPr>
          <w:rFonts w:ascii="Book Antiqua" w:hAnsi="Book Antiqua"/>
          <w:b/>
          <w:bCs/>
          <w:iCs/>
        </w:rPr>
      </w:pPr>
      <w:r w:rsidRPr="002B591B">
        <w:rPr>
          <w:rFonts w:ascii="Book Antiqua" w:hAnsi="Book Antiqua"/>
          <w:b/>
          <w:bCs/>
          <w:iCs/>
        </w:rPr>
        <w:t>§ 266</w:t>
      </w:r>
    </w:p>
    <w:p w14:paraId="7B300F16" w14:textId="77777777" w:rsidR="00EF3A99" w:rsidRPr="00DB3F01" w:rsidRDefault="00EF3A99" w:rsidP="00EF3A99">
      <w:pPr>
        <w:pStyle w:val="Odsekzoznamu"/>
        <w:spacing w:after="0"/>
        <w:ind w:left="340"/>
        <w:jc w:val="center"/>
        <w:rPr>
          <w:rFonts w:ascii="Book Antiqua" w:hAnsi="Book Antiqua"/>
          <w:iCs/>
        </w:rPr>
      </w:pPr>
    </w:p>
    <w:p w14:paraId="7DBFC6E9" w14:textId="77777777" w:rsidR="00EF3A99" w:rsidRDefault="00EF3A99" w:rsidP="00EF3A99">
      <w:pPr>
        <w:spacing w:after="0" w:line="240" w:lineRule="auto"/>
        <w:ind w:firstLine="708"/>
        <w:jc w:val="both"/>
        <w:rPr>
          <w:rFonts w:ascii="Book Antiqua" w:hAnsi="Book Antiqua"/>
        </w:rPr>
      </w:pPr>
      <w:r w:rsidRPr="00DB3F01">
        <w:rPr>
          <w:rFonts w:ascii="Book Antiqua" w:hAnsi="Book Antiqua"/>
        </w:rPr>
        <w:t xml:space="preserve">(1) Kto v súvislosti s verejným obstarávaním alebo verejnou dražbou v úmysle spôsobiť inému škodu alebo zadovážiť sebe alebo inému prospech koná v rozpore so všeobecne záväzným právnym predpisom o verejnom obstarávaní alebo verejnej dražbe alebo dojedná niektorému </w:t>
      </w:r>
      <w:r>
        <w:rPr>
          <w:rFonts w:ascii="Book Antiqua" w:hAnsi="Book Antiqua"/>
        </w:rPr>
        <w:t>súťažiteľovi</w:t>
      </w:r>
      <w:r w:rsidRPr="00DB3F01">
        <w:rPr>
          <w:rFonts w:ascii="Book Antiqua" w:hAnsi="Book Antiqua"/>
          <w:color w:val="FF0000"/>
        </w:rPr>
        <w:t xml:space="preserve"> </w:t>
      </w:r>
      <w:r w:rsidRPr="00DB3F01">
        <w:rPr>
          <w:rFonts w:ascii="Book Antiqua" w:hAnsi="Book Antiqua"/>
        </w:rPr>
        <w:t xml:space="preserve">alebo účastníkovi verejnej dražby prednosť alebo výhodnejšie podmienky na úkor iných </w:t>
      </w:r>
      <w:r>
        <w:rPr>
          <w:rFonts w:ascii="Book Antiqua" w:hAnsi="Book Antiqua"/>
        </w:rPr>
        <w:t>súťažiteľov</w:t>
      </w:r>
      <w:r w:rsidRPr="00DB3F01">
        <w:rPr>
          <w:rFonts w:ascii="Book Antiqua" w:hAnsi="Book Antiqua"/>
          <w:color w:val="FF0000"/>
        </w:rPr>
        <w:t xml:space="preserve"> </w:t>
      </w:r>
      <w:r w:rsidRPr="00DB3F01">
        <w:rPr>
          <w:rFonts w:ascii="Book Antiqua" w:hAnsi="Book Antiqua"/>
        </w:rPr>
        <w:t>alebo účastníkov verejnej dražby</w:t>
      </w:r>
      <w:r w:rsidRPr="00DB3F01">
        <w:rPr>
          <w:rFonts w:ascii="Book Antiqua" w:hAnsi="Book Antiqua"/>
          <w:color w:val="00B0F0"/>
        </w:rPr>
        <w:t xml:space="preserve"> </w:t>
      </w:r>
      <w:r w:rsidRPr="00DB3F01">
        <w:rPr>
          <w:rFonts w:ascii="Book Antiqua" w:hAnsi="Book Antiqua"/>
        </w:rPr>
        <w:t>a taký čin spácha vo väčšom rozsahu, potrestá sa odňatím slobody na šesť mesiacov až tri roky.</w:t>
      </w:r>
    </w:p>
    <w:p w14:paraId="413EC5AA" w14:textId="77777777" w:rsidR="00EF3A99" w:rsidRDefault="00EF3A99" w:rsidP="00EF3A99">
      <w:pPr>
        <w:spacing w:after="0" w:line="240" w:lineRule="auto"/>
        <w:ind w:firstLine="708"/>
        <w:jc w:val="both"/>
        <w:rPr>
          <w:rFonts w:ascii="Book Antiqua" w:hAnsi="Book Antiqua"/>
        </w:rPr>
      </w:pPr>
    </w:p>
    <w:p w14:paraId="2031EFB0" w14:textId="77777777" w:rsidR="00EF3A99" w:rsidRPr="00DB3F01" w:rsidRDefault="00EF3A99" w:rsidP="00EF3A99">
      <w:pPr>
        <w:spacing w:after="0" w:line="240" w:lineRule="auto"/>
        <w:ind w:firstLine="708"/>
        <w:jc w:val="both"/>
        <w:rPr>
          <w:rFonts w:ascii="Book Antiqua" w:hAnsi="Book Antiqua"/>
        </w:rPr>
      </w:pPr>
      <w:r w:rsidRPr="00DB3F01">
        <w:rPr>
          <w:rFonts w:ascii="Book Antiqua" w:hAnsi="Book Antiqua"/>
        </w:rPr>
        <w:t>(2) Odňatím slobody na dva roky až osem rokov sa páchateľ potrestá, ak spácha čin uvedený v odseku 1</w:t>
      </w:r>
    </w:p>
    <w:p w14:paraId="36C5001D" w14:textId="77777777" w:rsidR="00EF3A99" w:rsidRPr="00DB3F01" w:rsidRDefault="00EF3A99" w:rsidP="00EF3A99">
      <w:pPr>
        <w:pStyle w:val="Odsekzoznamu"/>
        <w:numPr>
          <w:ilvl w:val="0"/>
          <w:numId w:val="3"/>
        </w:numPr>
        <w:spacing w:after="0" w:line="240" w:lineRule="auto"/>
        <w:jc w:val="both"/>
        <w:rPr>
          <w:rFonts w:ascii="Book Antiqua" w:hAnsi="Book Antiqua"/>
        </w:rPr>
      </w:pPr>
      <w:r w:rsidRPr="00DB3F01">
        <w:rPr>
          <w:rFonts w:ascii="Book Antiqua" w:hAnsi="Book Antiqua"/>
        </w:rPr>
        <w:t>v značnom rozsahu,</w:t>
      </w:r>
    </w:p>
    <w:p w14:paraId="3EA235D2" w14:textId="77777777" w:rsidR="00EF3A99" w:rsidRPr="00DB3F01" w:rsidRDefault="00EF3A99" w:rsidP="00EF3A99">
      <w:pPr>
        <w:pStyle w:val="Odsekzoznamu"/>
        <w:numPr>
          <w:ilvl w:val="0"/>
          <w:numId w:val="3"/>
        </w:numPr>
        <w:spacing w:after="0" w:line="240" w:lineRule="auto"/>
        <w:jc w:val="both"/>
        <w:rPr>
          <w:rFonts w:ascii="Book Antiqua" w:hAnsi="Book Antiqua"/>
        </w:rPr>
      </w:pPr>
      <w:r w:rsidRPr="00DB3F01">
        <w:rPr>
          <w:rFonts w:ascii="Book Antiqua" w:hAnsi="Book Antiqua"/>
        </w:rPr>
        <w:t>z osobitného motívu,</w:t>
      </w:r>
    </w:p>
    <w:p w14:paraId="6FF79898" w14:textId="77777777" w:rsidR="00EF3A99" w:rsidRPr="00DB3F01" w:rsidRDefault="00EF3A99" w:rsidP="00EF3A99">
      <w:pPr>
        <w:pStyle w:val="Odsekzoznamu"/>
        <w:numPr>
          <w:ilvl w:val="0"/>
          <w:numId w:val="3"/>
        </w:numPr>
        <w:spacing w:after="0" w:line="240" w:lineRule="auto"/>
        <w:jc w:val="both"/>
        <w:rPr>
          <w:rFonts w:ascii="Book Antiqua" w:hAnsi="Book Antiqua"/>
        </w:rPr>
      </w:pPr>
      <w:r w:rsidRPr="00DB3F01">
        <w:rPr>
          <w:rFonts w:ascii="Book Antiqua" w:hAnsi="Book Antiqua"/>
        </w:rPr>
        <w:t>ako zainteresovaná osoba vo verejnom obstarávaní,</w:t>
      </w:r>
      <w:r w:rsidRPr="00DB3F01">
        <w:rPr>
          <w:rFonts w:ascii="Book Antiqua" w:hAnsi="Book Antiqua"/>
          <w:color w:val="FF0000"/>
        </w:rPr>
        <w:t xml:space="preserve"> </w:t>
      </w:r>
      <w:r w:rsidRPr="00DB3F01">
        <w:rPr>
          <w:rFonts w:ascii="Book Antiqua" w:hAnsi="Book Antiqua"/>
        </w:rPr>
        <w:t>vyhlasovateľ alebo usporiadateľ verejnej dražby, člen privatizačnej komisie, licitátor, alebo</w:t>
      </w:r>
    </w:p>
    <w:p w14:paraId="08A60139" w14:textId="77777777" w:rsidR="00EF3A99" w:rsidRPr="00DB3F01" w:rsidRDefault="00EF3A99" w:rsidP="00EF3A99">
      <w:pPr>
        <w:pStyle w:val="Odsekzoznamu"/>
        <w:numPr>
          <w:ilvl w:val="0"/>
          <w:numId w:val="3"/>
        </w:numPr>
        <w:spacing w:after="0" w:line="240" w:lineRule="auto"/>
        <w:jc w:val="both"/>
        <w:rPr>
          <w:rFonts w:ascii="Book Antiqua" w:hAnsi="Book Antiqua"/>
        </w:rPr>
      </w:pPr>
      <w:r w:rsidRPr="00DB3F01">
        <w:rPr>
          <w:rFonts w:ascii="Book Antiqua" w:hAnsi="Book Antiqua"/>
        </w:rPr>
        <w:t>závažnejším spôsobom konania.</w:t>
      </w:r>
    </w:p>
    <w:p w14:paraId="6389A0E0" w14:textId="77777777" w:rsidR="00EF3A99" w:rsidRPr="00DB3F01" w:rsidRDefault="00EF3A99" w:rsidP="00EF3A99">
      <w:pPr>
        <w:spacing w:after="0" w:line="240" w:lineRule="auto"/>
        <w:jc w:val="both"/>
        <w:rPr>
          <w:rFonts w:ascii="Book Antiqua" w:hAnsi="Book Antiqua"/>
        </w:rPr>
      </w:pPr>
    </w:p>
    <w:p w14:paraId="31EDA1EB" w14:textId="77777777" w:rsidR="00EF3A99" w:rsidRPr="00DB3F01" w:rsidRDefault="00EF3A99" w:rsidP="00EF3A99">
      <w:pPr>
        <w:spacing w:after="0" w:line="240" w:lineRule="auto"/>
        <w:ind w:firstLine="708"/>
        <w:jc w:val="both"/>
        <w:rPr>
          <w:rFonts w:ascii="Book Antiqua" w:hAnsi="Book Antiqua"/>
        </w:rPr>
      </w:pPr>
      <w:r w:rsidRPr="00DB3F01">
        <w:rPr>
          <w:rFonts w:ascii="Book Antiqua" w:hAnsi="Book Antiqua"/>
        </w:rPr>
        <w:t>(3) Odňatím slobody na sedem rokov až dvanásť rokov sa páchateľ potrestá, ak spácha čin uvedený v odseku 1</w:t>
      </w:r>
    </w:p>
    <w:p w14:paraId="04698778" w14:textId="77777777" w:rsidR="00EF3A99" w:rsidRPr="00DB3F01" w:rsidRDefault="00EF3A99" w:rsidP="00EF3A99">
      <w:pPr>
        <w:pStyle w:val="Odsekzoznamu"/>
        <w:numPr>
          <w:ilvl w:val="0"/>
          <w:numId w:val="4"/>
        </w:numPr>
        <w:spacing w:after="0" w:line="240" w:lineRule="auto"/>
        <w:jc w:val="both"/>
        <w:rPr>
          <w:rFonts w:ascii="Book Antiqua" w:hAnsi="Book Antiqua"/>
        </w:rPr>
      </w:pPr>
      <w:r w:rsidRPr="00DB3F01">
        <w:rPr>
          <w:rFonts w:ascii="Book Antiqua" w:hAnsi="Book Antiqua"/>
        </w:rPr>
        <w:t>vo veľkom rozsahu, alebo</w:t>
      </w:r>
    </w:p>
    <w:p w14:paraId="5F7ECAED" w14:textId="77777777" w:rsidR="00EF3A99" w:rsidRPr="00DB3F01" w:rsidRDefault="00EF3A99" w:rsidP="00EF3A99">
      <w:pPr>
        <w:pStyle w:val="Odsekzoznamu"/>
        <w:numPr>
          <w:ilvl w:val="0"/>
          <w:numId w:val="4"/>
        </w:numPr>
        <w:spacing w:after="0" w:line="240" w:lineRule="auto"/>
        <w:jc w:val="both"/>
        <w:rPr>
          <w:rFonts w:ascii="Book Antiqua" w:hAnsi="Book Antiqua"/>
        </w:rPr>
      </w:pPr>
      <w:r w:rsidRPr="00DB3F01">
        <w:rPr>
          <w:rFonts w:ascii="Book Antiqua" w:hAnsi="Book Antiqua"/>
        </w:rPr>
        <w:t xml:space="preserve">ako člen nebezpečného zoskupenia.“. </w:t>
      </w:r>
    </w:p>
    <w:p w14:paraId="1E3BD91D" w14:textId="77777777" w:rsidR="00EF3A99" w:rsidRPr="00DB3F01" w:rsidRDefault="00EF3A99" w:rsidP="00EF3A99">
      <w:pPr>
        <w:spacing w:after="0" w:line="259" w:lineRule="auto"/>
        <w:jc w:val="both"/>
        <w:rPr>
          <w:rFonts w:ascii="Book Antiqua" w:hAnsi="Book Antiqua" w:cs="Times New Roman"/>
        </w:rPr>
      </w:pPr>
    </w:p>
    <w:p w14:paraId="79050067" w14:textId="77777777" w:rsidR="00EF3A99" w:rsidRPr="00DB3F01" w:rsidRDefault="00EF3A99" w:rsidP="002B591B">
      <w:pPr>
        <w:spacing w:after="0" w:line="240" w:lineRule="auto"/>
        <w:ind w:firstLine="708"/>
        <w:jc w:val="both"/>
        <w:rPr>
          <w:rFonts w:ascii="Book Antiqua" w:hAnsi="Book Antiqua"/>
        </w:rPr>
      </w:pPr>
      <w:r w:rsidRPr="00DB3F01">
        <w:rPr>
          <w:rFonts w:ascii="Book Antiqua" w:hAnsi="Book Antiqua"/>
          <w:b/>
        </w:rPr>
        <w:t>3.</w:t>
      </w:r>
      <w:r>
        <w:rPr>
          <w:rFonts w:ascii="Book Antiqua" w:hAnsi="Book Antiqua"/>
        </w:rPr>
        <w:t xml:space="preserve"> </w:t>
      </w:r>
      <w:r w:rsidRPr="00DB3F01">
        <w:rPr>
          <w:rFonts w:ascii="Book Antiqua" w:hAnsi="Book Antiqua"/>
        </w:rPr>
        <w:t xml:space="preserve">Za § 266 sa vkladá § 266a, ktorý znie: </w:t>
      </w:r>
    </w:p>
    <w:p w14:paraId="4FED6B93" w14:textId="77777777" w:rsidR="00EF3A99" w:rsidRPr="00DB3F01" w:rsidRDefault="00EF3A99" w:rsidP="00EF3A99">
      <w:pPr>
        <w:spacing w:after="0" w:line="240" w:lineRule="auto"/>
        <w:jc w:val="both"/>
        <w:rPr>
          <w:rFonts w:ascii="Book Antiqua" w:hAnsi="Book Antiqua"/>
          <w:color w:val="FF0000"/>
        </w:rPr>
      </w:pPr>
    </w:p>
    <w:p w14:paraId="6244BF7E" w14:textId="77777777" w:rsidR="00EF3A99" w:rsidRPr="002B591B" w:rsidRDefault="00EF3A99" w:rsidP="00EF3A99">
      <w:pPr>
        <w:spacing w:after="0" w:line="240" w:lineRule="auto"/>
        <w:ind w:left="340"/>
        <w:jc w:val="center"/>
        <w:rPr>
          <w:rFonts w:ascii="Book Antiqua" w:hAnsi="Book Antiqua"/>
          <w:b/>
          <w:bCs/>
        </w:rPr>
      </w:pPr>
      <w:r w:rsidRPr="00DB3F01">
        <w:rPr>
          <w:rFonts w:ascii="Book Antiqua" w:hAnsi="Book Antiqua"/>
        </w:rPr>
        <w:t>„</w:t>
      </w:r>
      <w:r w:rsidRPr="002B591B">
        <w:rPr>
          <w:rFonts w:ascii="Book Antiqua" w:hAnsi="Book Antiqua"/>
          <w:b/>
          <w:bCs/>
        </w:rPr>
        <w:t>§ 266a</w:t>
      </w:r>
    </w:p>
    <w:p w14:paraId="02731D7E" w14:textId="77777777" w:rsidR="00EF3A99" w:rsidRPr="00DB3F01" w:rsidRDefault="00EF3A99" w:rsidP="00EF3A99">
      <w:pPr>
        <w:spacing w:after="0" w:line="240" w:lineRule="auto"/>
        <w:ind w:left="340"/>
        <w:jc w:val="both"/>
        <w:rPr>
          <w:rFonts w:ascii="Book Antiqua" w:hAnsi="Book Antiqua"/>
        </w:rPr>
      </w:pPr>
    </w:p>
    <w:p w14:paraId="153F20A6" w14:textId="77777777" w:rsidR="00EF3A99" w:rsidRDefault="00EF3A99" w:rsidP="00EF3A99">
      <w:pPr>
        <w:spacing w:after="0" w:line="240" w:lineRule="auto"/>
        <w:ind w:firstLine="708"/>
        <w:jc w:val="both"/>
        <w:rPr>
          <w:rFonts w:ascii="Book Antiqua" w:hAnsi="Book Antiqua"/>
        </w:rPr>
      </w:pPr>
      <w:r w:rsidRPr="00DB3F01">
        <w:rPr>
          <w:rFonts w:ascii="Book Antiqua" w:hAnsi="Book Antiqua"/>
        </w:rPr>
        <w:t>(1) Kto pri zadávaní zákazky, koncesie alebo pri uskutočnení súťaže návrhov, na ktorú sa nevzťahuje všeobecne záväzný predpis o verejnom obstarávaní, v úmysle zadovážiť sebe alebo inému prospech nehospodárnym postupom</w:t>
      </w:r>
      <w:r w:rsidRPr="00DB3F01">
        <w:rPr>
          <w:rFonts w:ascii="Book Antiqua" w:hAnsi="Book Antiqua"/>
          <w:i/>
        </w:rPr>
        <w:t xml:space="preserve"> </w:t>
      </w:r>
      <w:r w:rsidRPr="00DB3F01">
        <w:rPr>
          <w:rFonts w:ascii="Book Antiqua" w:hAnsi="Book Antiqua"/>
        </w:rPr>
        <w:t xml:space="preserve">spôsobí verejnému obstarávateľovi alebo obstarávateľovi alebo inej osobe, ktorá má povinnosť postupovať podľa všeobecne záväzného právneho predpisu o verejnom obstarávaní väčšiu škodu, potrestá sa odňatím slobody na šesť mesiacov až tri roky. </w:t>
      </w:r>
    </w:p>
    <w:p w14:paraId="31D44AC9" w14:textId="77777777" w:rsidR="00EF3A99" w:rsidRDefault="00EF3A99" w:rsidP="00EF3A99">
      <w:pPr>
        <w:spacing w:after="0" w:line="240" w:lineRule="auto"/>
        <w:ind w:firstLine="708"/>
        <w:jc w:val="both"/>
        <w:rPr>
          <w:rFonts w:ascii="Book Antiqua" w:hAnsi="Book Antiqua"/>
        </w:rPr>
      </w:pPr>
    </w:p>
    <w:p w14:paraId="3845E0A1" w14:textId="77777777" w:rsidR="00EF3A99" w:rsidRPr="00DB3F01" w:rsidRDefault="00EF3A99" w:rsidP="00EF3A99">
      <w:pPr>
        <w:spacing w:after="0" w:line="240" w:lineRule="auto"/>
        <w:ind w:firstLine="708"/>
        <w:jc w:val="both"/>
        <w:rPr>
          <w:rFonts w:ascii="Book Antiqua" w:hAnsi="Book Antiqua"/>
        </w:rPr>
      </w:pPr>
      <w:r w:rsidRPr="00DB3F01">
        <w:rPr>
          <w:rFonts w:ascii="Book Antiqua" w:hAnsi="Book Antiqua"/>
        </w:rPr>
        <w:t>(2) Odňatím slobody na dva roky až osem rokov sa páchateľ potrestá, ak spácha čin uvedený v odseku 1</w:t>
      </w:r>
    </w:p>
    <w:p w14:paraId="6BC751A2" w14:textId="77777777" w:rsidR="00EF3A99" w:rsidRPr="00DB3F01" w:rsidRDefault="00EF3A99" w:rsidP="00EF3A99">
      <w:pPr>
        <w:pStyle w:val="Odsekzoznamu"/>
        <w:numPr>
          <w:ilvl w:val="0"/>
          <w:numId w:val="5"/>
        </w:numPr>
        <w:spacing w:after="0" w:line="240" w:lineRule="auto"/>
        <w:jc w:val="both"/>
        <w:rPr>
          <w:rFonts w:ascii="Book Antiqua" w:hAnsi="Book Antiqua"/>
        </w:rPr>
      </w:pPr>
      <w:r w:rsidRPr="00DB3F01">
        <w:rPr>
          <w:rFonts w:ascii="Book Antiqua" w:hAnsi="Book Antiqua"/>
        </w:rPr>
        <w:t xml:space="preserve">a spôsobí ním značnú škodu, </w:t>
      </w:r>
    </w:p>
    <w:p w14:paraId="5893A930" w14:textId="77777777" w:rsidR="00EF3A99" w:rsidRPr="00DB3F01" w:rsidRDefault="00EF3A99" w:rsidP="00EF3A99">
      <w:pPr>
        <w:pStyle w:val="Odsekzoznamu"/>
        <w:numPr>
          <w:ilvl w:val="0"/>
          <w:numId w:val="5"/>
        </w:numPr>
        <w:spacing w:after="0" w:line="240" w:lineRule="auto"/>
        <w:jc w:val="both"/>
        <w:rPr>
          <w:rFonts w:ascii="Book Antiqua" w:hAnsi="Book Antiqua"/>
        </w:rPr>
      </w:pPr>
      <w:r w:rsidRPr="00DB3F01">
        <w:rPr>
          <w:rFonts w:ascii="Book Antiqua" w:hAnsi="Book Antiqua"/>
        </w:rPr>
        <w:t>z osobitného motívu, alebo</w:t>
      </w:r>
    </w:p>
    <w:p w14:paraId="33CE81A9" w14:textId="77777777" w:rsidR="00EF3A99" w:rsidRPr="00DB3F01" w:rsidRDefault="00EF3A99" w:rsidP="00EF3A99">
      <w:pPr>
        <w:pStyle w:val="Odsekzoznamu"/>
        <w:numPr>
          <w:ilvl w:val="0"/>
          <w:numId w:val="5"/>
        </w:numPr>
        <w:spacing w:after="0" w:line="240" w:lineRule="auto"/>
        <w:jc w:val="both"/>
        <w:rPr>
          <w:rFonts w:ascii="Book Antiqua" w:hAnsi="Book Antiqua"/>
        </w:rPr>
      </w:pPr>
      <w:r w:rsidRPr="00DB3F01">
        <w:rPr>
          <w:rFonts w:ascii="Book Antiqua" w:hAnsi="Book Antiqua"/>
        </w:rPr>
        <w:t xml:space="preserve">závažnejším spôsobom konania. </w:t>
      </w:r>
    </w:p>
    <w:p w14:paraId="14510777" w14:textId="77777777" w:rsidR="00EF3A99" w:rsidRPr="00DB3F01" w:rsidRDefault="00EF3A99" w:rsidP="00EF3A99">
      <w:pPr>
        <w:spacing w:after="0" w:line="240" w:lineRule="auto"/>
        <w:ind w:left="340"/>
        <w:jc w:val="both"/>
        <w:rPr>
          <w:rFonts w:ascii="Book Antiqua" w:hAnsi="Book Antiqua"/>
        </w:rPr>
      </w:pPr>
    </w:p>
    <w:p w14:paraId="03981642" w14:textId="77777777" w:rsidR="00EF3A99" w:rsidRPr="00DB3F01" w:rsidRDefault="00EF3A99" w:rsidP="00EF3A99">
      <w:pPr>
        <w:spacing w:after="0" w:line="240" w:lineRule="auto"/>
        <w:ind w:firstLine="708"/>
        <w:jc w:val="both"/>
        <w:rPr>
          <w:rFonts w:ascii="Book Antiqua" w:hAnsi="Book Antiqua"/>
        </w:rPr>
      </w:pPr>
      <w:r w:rsidRPr="00DB3F01">
        <w:rPr>
          <w:rFonts w:ascii="Book Antiqua" w:hAnsi="Book Antiqua"/>
        </w:rPr>
        <w:t>(3) Odňatím slobody na sedem rokov až dvanásť rokov sa páchateľ potrestá, ak spácha čin uvedený v odseku 1</w:t>
      </w:r>
    </w:p>
    <w:p w14:paraId="7C9A9406" w14:textId="77777777" w:rsidR="00EF3A99" w:rsidRPr="00DB3F01" w:rsidRDefault="00EF3A99" w:rsidP="00EF3A99">
      <w:pPr>
        <w:pStyle w:val="Odsekzoznamu"/>
        <w:numPr>
          <w:ilvl w:val="0"/>
          <w:numId w:val="6"/>
        </w:numPr>
        <w:spacing w:after="0" w:line="240" w:lineRule="auto"/>
        <w:jc w:val="both"/>
        <w:rPr>
          <w:rFonts w:ascii="Book Antiqua" w:hAnsi="Book Antiqua"/>
        </w:rPr>
      </w:pPr>
      <w:r w:rsidRPr="00DB3F01">
        <w:rPr>
          <w:rFonts w:ascii="Book Antiqua" w:hAnsi="Book Antiqua"/>
        </w:rPr>
        <w:t>a spôsobí ním škodu veľkého rozsahu, alebo</w:t>
      </w:r>
    </w:p>
    <w:p w14:paraId="512DB745" w14:textId="77777777" w:rsidR="00EF3A99" w:rsidRPr="00DB3F01" w:rsidRDefault="00EF3A99" w:rsidP="00EF3A99">
      <w:pPr>
        <w:pStyle w:val="Odsekzoznamu"/>
        <w:numPr>
          <w:ilvl w:val="0"/>
          <w:numId w:val="6"/>
        </w:numPr>
        <w:spacing w:after="0" w:line="240" w:lineRule="auto"/>
        <w:jc w:val="both"/>
        <w:rPr>
          <w:rFonts w:ascii="Times New Roman" w:hAnsi="Times New Roman"/>
          <w:sz w:val="24"/>
          <w:szCs w:val="24"/>
        </w:rPr>
      </w:pPr>
      <w:r w:rsidRPr="00DB3F01">
        <w:rPr>
          <w:rFonts w:ascii="Book Antiqua" w:hAnsi="Book Antiqua"/>
        </w:rPr>
        <w:t>ako člen nebezpečného zoskupenia.“.</w:t>
      </w:r>
      <w:r w:rsidRPr="00DB3F01">
        <w:rPr>
          <w:rFonts w:ascii="Times New Roman" w:hAnsi="Times New Roman"/>
          <w:sz w:val="24"/>
          <w:szCs w:val="24"/>
        </w:rPr>
        <w:t xml:space="preserve"> </w:t>
      </w:r>
    </w:p>
    <w:p w14:paraId="61DCAD1A" w14:textId="77777777" w:rsidR="00EF3A99" w:rsidRPr="00DB3F01" w:rsidRDefault="00EF3A99" w:rsidP="00EF3A99">
      <w:pPr>
        <w:spacing w:after="0" w:line="259" w:lineRule="auto"/>
        <w:jc w:val="both"/>
        <w:rPr>
          <w:rFonts w:ascii="Book Antiqua" w:hAnsi="Book Antiqua" w:cs="Times New Roman"/>
        </w:rPr>
      </w:pPr>
    </w:p>
    <w:p w14:paraId="45806C48" w14:textId="77777777" w:rsidR="00EF3A99" w:rsidRPr="00DB3F01" w:rsidRDefault="00EF3A99" w:rsidP="00EF3A99">
      <w:pPr>
        <w:spacing w:after="0"/>
        <w:jc w:val="center"/>
        <w:rPr>
          <w:rFonts w:ascii="Book Antiqua" w:hAnsi="Book Antiqua" w:cs="Times New Roman"/>
          <w:b/>
          <w:shd w:val="clear" w:color="auto" w:fill="FFFFFF"/>
        </w:rPr>
      </w:pPr>
      <w:r w:rsidRPr="00DB3F01">
        <w:rPr>
          <w:rFonts w:ascii="Book Antiqua" w:hAnsi="Book Antiqua" w:cs="Times New Roman"/>
          <w:b/>
          <w:shd w:val="clear" w:color="auto" w:fill="FFFFFF"/>
        </w:rPr>
        <w:t>Čl. II</w:t>
      </w:r>
    </w:p>
    <w:p w14:paraId="6AC6DA60" w14:textId="77777777" w:rsidR="00EF3A99" w:rsidRPr="00DB3F01" w:rsidRDefault="00EF3A99" w:rsidP="00EF3A99">
      <w:pPr>
        <w:spacing w:after="0"/>
        <w:jc w:val="center"/>
        <w:rPr>
          <w:rFonts w:ascii="Book Antiqua" w:hAnsi="Book Antiqua" w:cs="Times New Roman"/>
          <w:shd w:val="clear" w:color="auto" w:fill="FFFFFF"/>
        </w:rPr>
      </w:pPr>
    </w:p>
    <w:p w14:paraId="4AF9A95D" w14:textId="62E13FA1" w:rsidR="00EF3A99" w:rsidRPr="00DB3F01" w:rsidRDefault="00EF3A99" w:rsidP="002B591B">
      <w:pPr>
        <w:spacing w:after="0"/>
        <w:ind w:firstLine="708"/>
        <w:jc w:val="both"/>
        <w:rPr>
          <w:rFonts w:ascii="Book Antiqua" w:hAnsi="Book Antiqua" w:cs="Times New Roman"/>
          <w:b/>
        </w:rPr>
      </w:pPr>
      <w:r w:rsidRPr="00DB3F01">
        <w:rPr>
          <w:rFonts w:ascii="Book Antiqua" w:hAnsi="Book Antiqua" w:cs="Times New Roman"/>
          <w:shd w:val="clear" w:color="auto" w:fill="FFFFFF"/>
        </w:rPr>
        <w:t xml:space="preserve">Tento zákon nadobúda účinnosť 1. </w:t>
      </w:r>
      <w:r>
        <w:rPr>
          <w:rFonts w:ascii="Book Antiqua" w:hAnsi="Book Antiqua" w:cs="Times New Roman"/>
          <w:shd w:val="clear" w:color="auto" w:fill="FFFFFF"/>
        </w:rPr>
        <w:t>mája</w:t>
      </w:r>
      <w:r w:rsidRPr="00DB3F01">
        <w:rPr>
          <w:rFonts w:ascii="Book Antiqua" w:hAnsi="Book Antiqua" w:cs="Times New Roman"/>
          <w:shd w:val="clear" w:color="auto" w:fill="FFFFFF"/>
        </w:rPr>
        <w:t xml:space="preserve"> 2022.</w:t>
      </w:r>
    </w:p>
    <w:sectPr w:rsidR="00EF3A99" w:rsidRPr="00DB3F0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FE93" w14:textId="77777777" w:rsidR="007D66F2" w:rsidRDefault="007D66F2">
      <w:pPr>
        <w:spacing w:after="0" w:line="240" w:lineRule="auto"/>
      </w:pPr>
      <w:r>
        <w:separator/>
      </w:r>
    </w:p>
  </w:endnote>
  <w:endnote w:type="continuationSeparator" w:id="0">
    <w:p w14:paraId="6A001178" w14:textId="77777777" w:rsidR="007D66F2" w:rsidRDefault="007D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BE90" w14:textId="77777777" w:rsidR="00E97428" w:rsidRDefault="007D66F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904933"/>
      <w:docPartObj>
        <w:docPartGallery w:val="Page Numbers (Bottom of Page)"/>
        <w:docPartUnique/>
      </w:docPartObj>
    </w:sdtPr>
    <w:sdtEndPr/>
    <w:sdtContent>
      <w:p w14:paraId="26898437" w14:textId="77777777" w:rsidR="00AD1973" w:rsidRDefault="00E770DE">
        <w:pPr>
          <w:pStyle w:val="Pta"/>
          <w:jc w:val="center"/>
        </w:pPr>
        <w:r>
          <w:fldChar w:fldCharType="begin"/>
        </w:r>
        <w:r>
          <w:instrText>PAGE   \* MERGEFORMAT</w:instrText>
        </w:r>
        <w:r>
          <w:fldChar w:fldCharType="separate"/>
        </w:r>
        <w:r>
          <w:rPr>
            <w:noProof/>
          </w:rPr>
          <w:t>1</w:t>
        </w:r>
        <w:r>
          <w:fldChar w:fldCharType="end"/>
        </w:r>
      </w:p>
    </w:sdtContent>
  </w:sdt>
  <w:p w14:paraId="04A1FB6A" w14:textId="77777777" w:rsidR="00AD1973" w:rsidRDefault="007D66F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3556" w14:textId="77777777" w:rsidR="00E97428" w:rsidRDefault="007D66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EB5D" w14:textId="77777777" w:rsidR="007D66F2" w:rsidRDefault="007D66F2">
      <w:pPr>
        <w:spacing w:after="0" w:line="240" w:lineRule="auto"/>
      </w:pPr>
      <w:r>
        <w:separator/>
      </w:r>
    </w:p>
  </w:footnote>
  <w:footnote w:type="continuationSeparator" w:id="0">
    <w:p w14:paraId="69F52D67" w14:textId="77777777" w:rsidR="007D66F2" w:rsidRDefault="007D6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2870" w14:textId="77777777" w:rsidR="00E97428" w:rsidRDefault="007D66F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E801" w14:textId="77777777" w:rsidR="00E97428" w:rsidRDefault="007D66F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48B4" w14:textId="77777777" w:rsidR="00E97428" w:rsidRDefault="007D66F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36AF17AD"/>
    <w:multiLevelType w:val="hybridMultilevel"/>
    <w:tmpl w:val="C0F04E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A4C5B31"/>
    <w:multiLevelType w:val="hybridMultilevel"/>
    <w:tmpl w:val="07B87B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2C42740"/>
    <w:multiLevelType w:val="hybridMultilevel"/>
    <w:tmpl w:val="23FE24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98A04C9"/>
    <w:multiLevelType w:val="hybridMultilevel"/>
    <w:tmpl w:val="DF266D74"/>
    <w:lvl w:ilvl="0" w:tplc="74789678">
      <w:start w:val="1"/>
      <w:numFmt w:val="decimal"/>
      <w:lvlText w:val="%1."/>
      <w:lvlJc w:val="left"/>
      <w:pPr>
        <w:ind w:left="340" w:hanging="340"/>
      </w:pPr>
      <w:rPr>
        <w:rFonts w:ascii="Book Antiqua" w:hAnsi="Book Antiqua" w:cs="Times New Roman" w:hint="default"/>
        <w:b/>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79CA0506"/>
    <w:multiLevelType w:val="hybridMultilevel"/>
    <w:tmpl w:val="19C2A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E4"/>
    <w:rsid w:val="00066265"/>
    <w:rsid w:val="00091D15"/>
    <w:rsid w:val="000D6297"/>
    <w:rsid w:val="00143CA5"/>
    <w:rsid w:val="0018538D"/>
    <w:rsid w:val="001C65D1"/>
    <w:rsid w:val="0022236C"/>
    <w:rsid w:val="002B591B"/>
    <w:rsid w:val="00696F5F"/>
    <w:rsid w:val="007D66F2"/>
    <w:rsid w:val="008F492C"/>
    <w:rsid w:val="009C18E1"/>
    <w:rsid w:val="00AE6174"/>
    <w:rsid w:val="00B85AB6"/>
    <w:rsid w:val="00C14EE4"/>
    <w:rsid w:val="00D50DCF"/>
    <w:rsid w:val="00E770DE"/>
    <w:rsid w:val="00EF3A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0AC5"/>
  <w15:chartTrackingRefBased/>
  <w15:docId w15:val="{E3DCE5D5-5110-4355-8DF0-5AD8CDA7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3CA5"/>
    <w:pPr>
      <w:spacing w:after="200" w:line="276" w:lineRule="auto"/>
    </w:pPr>
  </w:style>
  <w:style w:type="paragraph" w:styleId="Nadpis1">
    <w:name w:val="heading 1"/>
    <w:basedOn w:val="Normlny"/>
    <w:next w:val="Normlny"/>
    <w:link w:val="Nadpis1Char"/>
    <w:uiPriority w:val="9"/>
    <w:qFormat/>
    <w:rsid w:val="0022236C"/>
    <w:pPr>
      <w:keepNext/>
      <w:autoSpaceDE w:val="0"/>
      <w:autoSpaceDN w:val="0"/>
      <w:adjustRightInd w:val="0"/>
      <w:spacing w:before="120" w:after="0"/>
      <w:jc w:val="center"/>
      <w:outlineLvl w:val="0"/>
    </w:pPr>
    <w:rPr>
      <w:rFonts w:ascii="Cambria" w:eastAsia="Times New Roman" w:hAnsi="Cambria" w:cs="Times New Roman"/>
      <w:b/>
      <w:kern w:val="32"/>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143CA5"/>
    <w:rPr>
      <w:color w:val="0000FF"/>
      <w:u w:val="single"/>
    </w:rPr>
  </w:style>
  <w:style w:type="paragraph" w:styleId="Odsekzoznamu">
    <w:name w:val="List Paragraph"/>
    <w:basedOn w:val="Normlny"/>
    <w:uiPriority w:val="34"/>
    <w:qFormat/>
    <w:rsid w:val="00143CA5"/>
    <w:pPr>
      <w:ind w:left="720"/>
      <w:contextualSpacing/>
    </w:pPr>
  </w:style>
  <w:style w:type="character" w:customStyle="1" w:styleId="ZkladntextChar">
    <w:name w:val="Základný text Char"/>
    <w:basedOn w:val="Predvolenpsmoodseku"/>
    <w:link w:val="Zkladntext"/>
    <w:uiPriority w:val="99"/>
    <w:qFormat/>
    <w:rsid w:val="00143CA5"/>
    <w:rPr>
      <w:rFonts w:ascii="Times New Roman" w:eastAsiaTheme="minorEastAsia" w:hAnsi="Times New Roman" w:cs="Times New Roman"/>
      <w:sz w:val="24"/>
      <w:szCs w:val="24"/>
      <w:lang w:eastAsia="sk-SK"/>
    </w:rPr>
  </w:style>
  <w:style w:type="paragraph" w:styleId="Zkladntext">
    <w:name w:val="Body Text"/>
    <w:basedOn w:val="Normlny"/>
    <w:link w:val="ZkladntextChar"/>
    <w:uiPriority w:val="99"/>
    <w:unhideWhenUsed/>
    <w:rsid w:val="00143CA5"/>
    <w:pPr>
      <w:spacing w:after="0" w:line="240" w:lineRule="auto"/>
      <w:jc w:val="both"/>
    </w:pPr>
    <w:rPr>
      <w:rFonts w:ascii="Times New Roman" w:eastAsiaTheme="minorEastAsia" w:hAnsi="Times New Roman" w:cs="Times New Roman"/>
      <w:sz w:val="24"/>
      <w:szCs w:val="24"/>
      <w:lang w:eastAsia="sk-SK"/>
    </w:rPr>
  </w:style>
  <w:style w:type="character" w:customStyle="1" w:styleId="ZkladntextChar1">
    <w:name w:val="Základný text Char1"/>
    <w:basedOn w:val="Predvolenpsmoodseku"/>
    <w:uiPriority w:val="99"/>
    <w:semiHidden/>
    <w:rsid w:val="00143CA5"/>
  </w:style>
  <w:style w:type="paragraph" w:styleId="Hlavika">
    <w:name w:val="header"/>
    <w:basedOn w:val="Normlny"/>
    <w:link w:val="HlavikaChar"/>
    <w:uiPriority w:val="99"/>
    <w:unhideWhenUsed/>
    <w:rsid w:val="00143CA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43CA5"/>
  </w:style>
  <w:style w:type="paragraph" w:styleId="Pta">
    <w:name w:val="footer"/>
    <w:basedOn w:val="Normlny"/>
    <w:link w:val="PtaChar"/>
    <w:uiPriority w:val="99"/>
    <w:unhideWhenUsed/>
    <w:rsid w:val="00143CA5"/>
    <w:pPr>
      <w:tabs>
        <w:tab w:val="center" w:pos="4536"/>
        <w:tab w:val="right" w:pos="9072"/>
      </w:tabs>
      <w:spacing w:after="0" w:line="240" w:lineRule="auto"/>
    </w:pPr>
  </w:style>
  <w:style w:type="character" w:customStyle="1" w:styleId="PtaChar">
    <w:name w:val="Päta Char"/>
    <w:basedOn w:val="Predvolenpsmoodseku"/>
    <w:link w:val="Pta"/>
    <w:uiPriority w:val="99"/>
    <w:rsid w:val="00143CA5"/>
  </w:style>
  <w:style w:type="character" w:customStyle="1" w:styleId="Nadpis1Char">
    <w:name w:val="Nadpis 1 Char"/>
    <w:basedOn w:val="Predvolenpsmoodseku"/>
    <w:link w:val="Nadpis1"/>
    <w:uiPriority w:val="9"/>
    <w:rsid w:val="0022236C"/>
    <w:rPr>
      <w:rFonts w:ascii="Cambria" w:eastAsia="Times New Roman" w:hAnsi="Cambria" w:cs="Times New Roman"/>
      <w:b/>
      <w:kern w:val="32"/>
      <w:sz w:val="32"/>
      <w:szCs w:val="20"/>
      <w:lang w:eastAsia="sk-SK"/>
    </w:rPr>
  </w:style>
  <w:style w:type="paragraph" w:styleId="Normlnywebov">
    <w:name w:val="Normal (Web)"/>
    <w:aliases w:val="webb"/>
    <w:basedOn w:val="Normlny"/>
    <w:qFormat/>
    <w:rsid w:val="0022236C"/>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Normlnywebov1">
    <w:name w:val="Normálny (webový)1"/>
    <w:basedOn w:val="Normlny"/>
    <w:qFormat/>
    <w:rsid w:val="0022236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22236C"/>
    <w:pPr>
      <w:widowControl w:val="0"/>
      <w:spacing w:after="0" w:line="240" w:lineRule="auto"/>
    </w:pPr>
    <w:rPr>
      <w:rFonts w:ascii="Times New Roman" w:eastAsia="Times New Roman" w:hAnsi="Times New Roman" w:cs="Times New Roman"/>
      <w:kern w:val="2"/>
      <w:sz w:val="24"/>
      <w:szCs w:val="24"/>
      <w:lang w:eastAsia="sk-SK"/>
    </w:rPr>
  </w:style>
  <w:style w:type="character" w:customStyle="1" w:styleId="awspan">
    <w:name w:val="awspan"/>
    <w:basedOn w:val="Predvolenpsmoodseku"/>
    <w:rsid w:val="0022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lov-lex.sk/pravne-predpisy/SK/ZZ/2005/30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667</Words>
  <Characters>3807</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Pitonak</dc:creator>
  <cp:keywords/>
  <dc:description/>
  <cp:lastModifiedBy>Andrej Pitonak</cp:lastModifiedBy>
  <cp:revision>20</cp:revision>
  <dcterms:created xsi:type="dcterms:W3CDTF">2022-01-02T16:20:00Z</dcterms:created>
  <dcterms:modified xsi:type="dcterms:W3CDTF">2022-01-12T18:22:00Z</dcterms:modified>
</cp:coreProperties>
</file>