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43" w:tblpY="1"/>
        <w:tblOverlap w:val="never"/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52"/>
        <w:gridCol w:w="4253"/>
        <w:gridCol w:w="708"/>
        <w:gridCol w:w="993"/>
        <w:gridCol w:w="708"/>
        <w:gridCol w:w="6379"/>
        <w:gridCol w:w="567"/>
        <w:gridCol w:w="1129"/>
      </w:tblGrid>
      <w:tr w:rsidR="001B7551" w:rsidRPr="001902B7" w:rsidTr="000C53D4">
        <w:trPr>
          <w:trHeight w:val="396"/>
        </w:trPr>
        <w:tc>
          <w:tcPr>
            <w:tcW w:w="154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7551" w:rsidRPr="001902B7" w:rsidRDefault="001B7551" w:rsidP="00A33DAA">
            <w:pPr>
              <w:pStyle w:val="Nadpis1"/>
              <w:widowControl/>
              <w:contextualSpacing/>
              <w:rPr>
                <w:sz w:val="20"/>
                <w:szCs w:val="20"/>
              </w:rPr>
            </w:pPr>
            <w:r w:rsidRPr="001902B7">
              <w:rPr>
                <w:sz w:val="20"/>
                <w:szCs w:val="20"/>
              </w:rPr>
              <w:t>TABUĽKA  ZHODY</w:t>
            </w:r>
          </w:p>
          <w:p w:rsidR="001B7551" w:rsidRPr="001902B7" w:rsidRDefault="0013370F" w:rsidP="000C53D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902B7">
              <w:rPr>
                <w:b/>
                <w:sz w:val="20"/>
                <w:szCs w:val="20"/>
              </w:rPr>
              <w:t>návrhu zákona</w:t>
            </w:r>
            <w:r w:rsidR="001B7551" w:rsidRPr="001902B7">
              <w:rPr>
                <w:sz w:val="20"/>
                <w:szCs w:val="20"/>
              </w:rPr>
              <w:t xml:space="preserve"> </w:t>
            </w:r>
            <w:r w:rsidRPr="001902B7">
              <w:rPr>
                <w:b/>
                <w:sz w:val="20"/>
                <w:szCs w:val="20"/>
              </w:rPr>
              <w:t>o centrálnom registri účtov a o zmene a doplnení niektorých zákonov</w:t>
            </w:r>
          </w:p>
        </w:tc>
      </w:tr>
      <w:tr w:rsidR="001B7551" w:rsidRPr="001902B7" w:rsidTr="000C53D4">
        <w:trPr>
          <w:trHeight w:val="567"/>
        </w:trPr>
        <w:tc>
          <w:tcPr>
            <w:tcW w:w="57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7551" w:rsidRPr="00C1754E" w:rsidRDefault="00F653E4" w:rsidP="00C1754E">
            <w:pPr>
              <w:pStyle w:val="Zkladntext3"/>
              <w:widowControl/>
              <w:contextualSpacing/>
              <w:rPr>
                <w:b/>
                <w:bCs/>
                <w:sz w:val="20"/>
                <w:szCs w:val="20"/>
              </w:rPr>
            </w:pPr>
            <w:r w:rsidRPr="00F653E4">
              <w:rPr>
                <w:b/>
                <w:bCs/>
                <w:sz w:val="20"/>
                <w:szCs w:val="20"/>
              </w:rPr>
              <w:t>Smernica Rady (EÚ) 2021/514 z 22. marca 2021, ktorou sa mení smernica 2011/16/EÚ o administratívnej spolupráci v oblasti daní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F653E4">
              <w:rPr>
                <w:b/>
                <w:bCs/>
                <w:sz w:val="20"/>
                <w:szCs w:val="20"/>
              </w:rPr>
              <w:t>Ú. v. EÚ L 104, 25.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53E4">
              <w:rPr>
                <w:b/>
                <w:bCs/>
                <w:sz w:val="20"/>
                <w:szCs w:val="20"/>
              </w:rPr>
              <w:t>3.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53E4">
              <w:rPr>
                <w:b/>
                <w:bCs/>
                <w:sz w:val="20"/>
                <w:szCs w:val="20"/>
              </w:rPr>
              <w:t>2021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B7551" w:rsidRPr="00301DE6" w:rsidRDefault="001B7551" w:rsidP="00301DE6">
            <w:pPr>
              <w:pStyle w:val="Hlavika"/>
              <w:widowControl/>
              <w:tabs>
                <w:tab w:val="left" w:pos="709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301DE6">
              <w:rPr>
                <w:b/>
                <w:sz w:val="20"/>
                <w:szCs w:val="20"/>
              </w:rPr>
              <w:t>Právne predpisy Slovenskej republiky</w:t>
            </w:r>
          </w:p>
          <w:p w:rsidR="0013370F" w:rsidRPr="001902B7" w:rsidRDefault="0013370F" w:rsidP="00301DE6">
            <w:pPr>
              <w:pStyle w:val="Hlavika"/>
              <w:widowControl/>
              <w:tabs>
                <w:tab w:val="left" w:pos="709"/>
              </w:tabs>
              <w:ind w:left="245"/>
              <w:contextualSpacing/>
              <w:jc w:val="both"/>
              <w:rPr>
                <w:sz w:val="20"/>
                <w:szCs w:val="20"/>
              </w:rPr>
            </w:pPr>
          </w:p>
          <w:p w:rsidR="0014573C" w:rsidRDefault="0014573C" w:rsidP="0014573C">
            <w:pPr>
              <w:pStyle w:val="Hlavika"/>
              <w:widowControl/>
              <w:numPr>
                <w:ilvl w:val="0"/>
                <w:numId w:val="1"/>
              </w:numPr>
              <w:tabs>
                <w:tab w:val="clear" w:pos="360"/>
                <w:tab w:val="left" w:pos="709"/>
              </w:tabs>
              <w:ind w:left="245" w:hanging="24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563/2009 Z. z. </w:t>
            </w:r>
            <w:r w:rsidRPr="0014573C">
              <w:rPr>
                <w:sz w:val="20"/>
                <w:szCs w:val="20"/>
              </w:rPr>
              <w:t>o správe daní (daňový poriadok) a o zmene a doplnení niektorých zákonov</w:t>
            </w:r>
            <w:r>
              <w:rPr>
                <w:sz w:val="20"/>
                <w:szCs w:val="20"/>
              </w:rPr>
              <w:t xml:space="preserve"> v znení neskorších predpisov (ďalej len „zákon č. 563/2009 Z. z.“)</w:t>
            </w:r>
          </w:p>
          <w:p w:rsidR="001B7551" w:rsidRPr="00C1754E" w:rsidRDefault="000C53D4" w:rsidP="00C1754E">
            <w:pPr>
              <w:pStyle w:val="Hlavika"/>
              <w:widowControl/>
              <w:numPr>
                <w:ilvl w:val="0"/>
                <w:numId w:val="1"/>
              </w:numPr>
              <w:tabs>
                <w:tab w:val="clear" w:pos="360"/>
                <w:tab w:val="left" w:pos="709"/>
              </w:tabs>
              <w:ind w:left="245" w:hanging="245"/>
              <w:contextualSpacing/>
              <w:jc w:val="both"/>
              <w:rPr>
                <w:sz w:val="20"/>
                <w:szCs w:val="20"/>
              </w:rPr>
            </w:pPr>
            <w:r w:rsidRPr="00301DE6">
              <w:rPr>
                <w:sz w:val="20"/>
                <w:szCs w:val="20"/>
              </w:rPr>
              <w:t>návrh zákona o centrálnom registri účtov a o zmene a doplnení niektorých zákonov</w:t>
            </w:r>
            <w:r w:rsidR="001E5E69" w:rsidRPr="00301DE6">
              <w:rPr>
                <w:sz w:val="20"/>
                <w:szCs w:val="20"/>
              </w:rPr>
              <w:t xml:space="preserve"> (ďalej len „návrh zákona“)</w:t>
            </w:r>
          </w:p>
        </w:tc>
      </w:tr>
      <w:tr w:rsidR="001B7551" w:rsidRPr="001902B7" w:rsidTr="000C53D4"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1902B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1902B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7551" w:rsidRPr="001902B7" w:rsidRDefault="001B7551" w:rsidP="00A33DAA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1902B7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1902B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pStyle w:val="Zarkazkladnhotextu"/>
              <w:widowControl/>
              <w:spacing w:after="0"/>
              <w:ind w:left="0"/>
              <w:contextualSpacing/>
              <w:jc w:val="center"/>
            </w:pPr>
            <w:r w:rsidRPr="001902B7"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pStyle w:val="Zarkazkladnhotextu"/>
              <w:widowControl/>
              <w:spacing w:after="0"/>
              <w:ind w:left="0"/>
              <w:contextualSpacing/>
              <w:jc w:val="center"/>
            </w:pPr>
            <w:r w:rsidRPr="001902B7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1902B7">
              <w:rPr>
                <w:sz w:val="20"/>
                <w:szCs w:val="20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551" w:rsidRPr="001902B7" w:rsidRDefault="001B7551" w:rsidP="00A33DAA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1902B7">
              <w:rPr>
                <w:sz w:val="20"/>
                <w:szCs w:val="20"/>
              </w:rPr>
              <w:t>8</w:t>
            </w:r>
          </w:p>
        </w:tc>
      </w:tr>
      <w:tr w:rsidR="001B7551" w:rsidRPr="001902B7" w:rsidTr="000C53D4"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15387D">
            <w:pPr>
              <w:pStyle w:val="Normlny0"/>
              <w:widowControl/>
              <w:contextualSpacing/>
              <w:jc w:val="center"/>
            </w:pPr>
            <w:r w:rsidRPr="001902B7">
              <w:t>Článok</w:t>
            </w:r>
          </w:p>
          <w:p w:rsidR="001B7551" w:rsidRPr="001902B7" w:rsidRDefault="00333042" w:rsidP="0015387D">
            <w:pPr>
              <w:pStyle w:val="Normlny0"/>
              <w:widowControl/>
              <w:contextualSpacing/>
              <w:jc w:val="center"/>
            </w:pPr>
            <w:r w:rsidRPr="001902B7">
              <w:t>(Č, O, B, V, P)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pStyle w:val="Normlny0"/>
              <w:widowControl/>
              <w:contextualSpacing/>
              <w:jc w:val="center"/>
            </w:pPr>
            <w:r w:rsidRPr="001902B7"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7551" w:rsidRPr="001902B7" w:rsidRDefault="001B7551" w:rsidP="00A33DAA">
            <w:pPr>
              <w:pStyle w:val="Normlny0"/>
              <w:widowControl/>
              <w:contextualSpacing/>
              <w:jc w:val="center"/>
            </w:pPr>
            <w:r w:rsidRPr="001902B7">
              <w:t xml:space="preserve">Spôsob </w:t>
            </w:r>
            <w:proofErr w:type="spellStart"/>
            <w:r w:rsidRPr="001902B7">
              <w:t>transp</w:t>
            </w:r>
            <w:proofErr w:type="spellEnd"/>
            <w:r w:rsidRPr="001902B7">
              <w:t>.</w:t>
            </w:r>
          </w:p>
          <w:p w:rsidR="001B7551" w:rsidRPr="001902B7" w:rsidRDefault="001B7551" w:rsidP="00A33DAA">
            <w:pPr>
              <w:pStyle w:val="Normlny0"/>
              <w:widowControl/>
              <w:contextualSpacing/>
              <w:jc w:val="center"/>
            </w:pPr>
            <w:r w:rsidRPr="001902B7">
              <w:t xml:space="preserve">(N, O, D, </w:t>
            </w:r>
            <w:proofErr w:type="spellStart"/>
            <w:r w:rsidRPr="001902B7">
              <w:t>n.a</w:t>
            </w:r>
            <w:proofErr w:type="spellEnd"/>
            <w:r w:rsidRPr="001902B7"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pStyle w:val="Normlny0"/>
              <w:widowControl/>
              <w:contextualSpacing/>
              <w:jc w:val="center"/>
            </w:pPr>
            <w:r w:rsidRPr="001902B7">
              <w:t>Číslo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pStyle w:val="Normlny0"/>
              <w:widowControl/>
              <w:contextualSpacing/>
              <w:jc w:val="center"/>
            </w:pPr>
            <w:r w:rsidRPr="001902B7">
              <w:t>Článok (Č, §, O, V, P)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A33DAA">
            <w:pPr>
              <w:pStyle w:val="Normlny0"/>
              <w:widowControl/>
              <w:contextualSpacing/>
              <w:jc w:val="center"/>
            </w:pPr>
            <w:r w:rsidRPr="001902B7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51" w:rsidRPr="001902B7" w:rsidRDefault="001B7551" w:rsidP="000C53D4">
            <w:pPr>
              <w:pStyle w:val="Normlny0"/>
              <w:widowControl/>
              <w:ind w:left="-47" w:right="-44"/>
              <w:contextualSpacing/>
              <w:jc w:val="center"/>
            </w:pPr>
            <w:r w:rsidRPr="001902B7">
              <w:t>Zhoda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551" w:rsidRPr="001902B7" w:rsidRDefault="001B7551" w:rsidP="00A33DAA">
            <w:pPr>
              <w:pStyle w:val="Normlny0"/>
              <w:widowControl/>
              <w:contextualSpacing/>
              <w:jc w:val="center"/>
            </w:pPr>
            <w:r w:rsidRPr="001902B7">
              <w:t>Poznámky</w:t>
            </w:r>
          </w:p>
          <w:p w:rsidR="001B7551" w:rsidRPr="001902B7" w:rsidRDefault="001B7551" w:rsidP="00A33DAA">
            <w:pPr>
              <w:pStyle w:val="Normlny0"/>
              <w:widowControl/>
              <w:contextualSpacing/>
            </w:pPr>
          </w:p>
        </w:tc>
      </w:tr>
      <w:tr w:rsidR="00333042" w:rsidRPr="001902B7" w:rsidTr="000C53D4"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F74" w:rsidRDefault="00C83F74" w:rsidP="0015387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1</w:t>
            </w:r>
          </w:p>
          <w:p w:rsidR="00333042" w:rsidRPr="001902B7" w:rsidRDefault="00C1754E" w:rsidP="0015387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333042" w:rsidRPr="001902B7">
              <w:rPr>
                <w:sz w:val="20"/>
                <w:szCs w:val="20"/>
              </w:rPr>
              <w:t>: 1</w:t>
            </w:r>
            <w:r w:rsidR="0014573C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3C" w:rsidRPr="0014573C" w:rsidRDefault="0014573C" w:rsidP="0014573C">
            <w:pPr>
              <w:pStyle w:val="Normlny0"/>
              <w:widowControl/>
              <w:contextualSpacing/>
              <w:jc w:val="both"/>
            </w:pPr>
            <w:r w:rsidRPr="0014573C">
              <w:t>16. V článku 22 sa odsek 1a nahrádza takto:</w:t>
            </w:r>
          </w:p>
          <w:p w:rsidR="0014573C" w:rsidRPr="0014573C" w:rsidRDefault="0014573C" w:rsidP="0014573C">
            <w:pPr>
              <w:pStyle w:val="Normlny0"/>
              <w:widowControl/>
              <w:contextualSpacing/>
              <w:jc w:val="both"/>
            </w:pPr>
          </w:p>
          <w:p w:rsidR="0014573C" w:rsidRPr="0014573C" w:rsidRDefault="0014573C" w:rsidP="0014573C">
            <w:pPr>
              <w:pStyle w:val="Normlny0"/>
              <w:widowControl/>
              <w:contextualSpacing/>
              <w:jc w:val="both"/>
            </w:pPr>
            <w:r w:rsidRPr="0014573C">
              <w:t xml:space="preserve">„1a. </w:t>
            </w:r>
            <w:r>
              <w:t>N</w:t>
            </w:r>
            <w:r w:rsidRPr="0014573C">
              <w:t>a účely vykonávania a presadzovania právnych predpisov členských štátov, ktorými sa uvádza do účinnosti táto smernica, a na zabezpečenie fungovania administratívnej spolupráce v nej stanovenej členské štáty stanovia v právnom predpise prístup daňových orgánov k mechanizmom, postupom, dokumentom a informáciám uvedeným v článkoch 13, 30, 31, 32a a 40 smernice Európskeho parlamentu a Rady (EÚ) 2015/849 (*1).</w:t>
            </w:r>
          </w:p>
          <w:p w:rsidR="0014573C" w:rsidRPr="0014573C" w:rsidRDefault="0014573C" w:rsidP="0014573C">
            <w:pPr>
              <w:pStyle w:val="Normlny0"/>
              <w:widowControl/>
              <w:contextualSpacing/>
              <w:jc w:val="both"/>
              <w:rPr>
                <w:sz w:val="16"/>
                <w:szCs w:val="16"/>
              </w:rPr>
            </w:pPr>
          </w:p>
          <w:p w:rsidR="00333042" w:rsidRPr="00247565" w:rsidRDefault="0014573C" w:rsidP="0014573C">
            <w:pPr>
              <w:pStyle w:val="Normlny0"/>
              <w:widowControl/>
              <w:contextualSpacing/>
              <w:jc w:val="both"/>
              <w:rPr>
                <w:sz w:val="16"/>
                <w:szCs w:val="16"/>
              </w:rPr>
            </w:pPr>
            <w:r w:rsidRPr="0014573C">
              <w:rPr>
                <w:sz w:val="16"/>
                <w:szCs w:val="16"/>
              </w:rPr>
              <w:t>(*1)  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 v. EÚ L 141, 5.6.2015, s. 73).“"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042" w:rsidRPr="001902B7" w:rsidRDefault="00C83F74" w:rsidP="00A33DAA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042" w:rsidRDefault="0014573C" w:rsidP="00A33DAA">
            <w:pPr>
              <w:pStyle w:val="Normlny0"/>
              <w:widowControl/>
              <w:contextualSpacing/>
              <w:jc w:val="center"/>
            </w:pPr>
            <w:r>
              <w:t>zákon č. 563/2009 Z. z.</w:t>
            </w: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Pr="001902B7" w:rsidRDefault="0014573C" w:rsidP="00A33DAA">
            <w:pPr>
              <w:pStyle w:val="Normlny0"/>
              <w:widowControl/>
              <w:contextualSpacing/>
              <w:jc w:val="center"/>
            </w:pPr>
            <w:r>
              <w:t>návrh zákona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42" w:rsidRDefault="0014573C" w:rsidP="00A33DAA">
            <w:pPr>
              <w:pStyle w:val="Normlny0"/>
              <w:widowControl/>
              <w:contextualSpacing/>
              <w:jc w:val="center"/>
            </w:pPr>
            <w:r>
              <w:t>§ 26</w:t>
            </w: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  <w:r>
              <w:t>O: 17</w:t>
            </w: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  <w:r>
              <w:t>§ 5</w:t>
            </w:r>
          </w:p>
          <w:p w:rsidR="0014573C" w:rsidRDefault="0014573C" w:rsidP="00A33DAA">
            <w:pPr>
              <w:pStyle w:val="Normlny0"/>
              <w:widowControl/>
              <w:contextualSpacing/>
              <w:jc w:val="center"/>
            </w:pPr>
            <w:r>
              <w:t>O: 1</w:t>
            </w:r>
          </w:p>
          <w:p w:rsidR="0014573C" w:rsidRPr="001902B7" w:rsidRDefault="0014573C" w:rsidP="00A33DAA">
            <w:pPr>
              <w:pStyle w:val="Normlny0"/>
              <w:widowControl/>
              <w:contextualSpacing/>
              <w:jc w:val="center"/>
            </w:pPr>
            <w:r>
              <w:t>P: 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A" w:rsidRDefault="0014573C" w:rsidP="00A33DAA">
            <w:pPr>
              <w:pStyle w:val="Normlny0"/>
              <w:widowControl/>
              <w:contextualSpacing/>
              <w:jc w:val="both"/>
            </w:pPr>
            <w:r w:rsidRPr="0014573C">
              <w:t>Povinná osoba</w:t>
            </w:r>
            <w:r w:rsidRPr="0014573C">
              <w:rPr>
                <w:vertAlign w:val="superscript"/>
              </w:rPr>
              <w:t>27b</w:t>
            </w:r>
            <w:r w:rsidRPr="0014573C">
              <w:t>) je povinná na účely správy daní poskytnúť finančnej správe na výzvu údaje získané pri plnení povinností podľa osobitného predpisu.</w:t>
            </w:r>
            <w:r w:rsidRPr="0014573C">
              <w:rPr>
                <w:vertAlign w:val="superscript"/>
              </w:rPr>
              <w:t>27c</w:t>
            </w:r>
            <w:r w:rsidRPr="0014573C">
              <w:t>)</w:t>
            </w:r>
          </w:p>
          <w:p w:rsidR="0014573C" w:rsidRDefault="0014573C" w:rsidP="00A33DAA">
            <w:pPr>
              <w:pStyle w:val="Normlny0"/>
              <w:widowControl/>
              <w:contextualSpacing/>
              <w:jc w:val="both"/>
            </w:pPr>
          </w:p>
          <w:p w:rsidR="0014573C" w:rsidRPr="0014573C" w:rsidRDefault="0014573C" w:rsidP="0014573C">
            <w:pPr>
              <w:pStyle w:val="Normlny0"/>
              <w:widowControl/>
              <w:contextualSpacing/>
              <w:jc w:val="both"/>
              <w:rPr>
                <w:sz w:val="16"/>
                <w:szCs w:val="16"/>
              </w:rPr>
            </w:pPr>
            <w:r w:rsidRPr="0014573C">
              <w:rPr>
                <w:sz w:val="16"/>
                <w:szCs w:val="16"/>
                <w:vertAlign w:val="superscript"/>
              </w:rPr>
              <w:t>27b</w:t>
            </w:r>
            <w:r w:rsidRPr="0014573C">
              <w:rPr>
                <w:sz w:val="16"/>
                <w:szCs w:val="16"/>
              </w:rPr>
              <w:t>) § 5 zákona č. 297/2008 Z. z. o ochrane pred legalizáciou príjmov z trestnej činnosti a o ochrane pred financovaním terorizmu a o zmene a doplnení niektorých zákonov v znení neskorších predpisov.</w:t>
            </w:r>
          </w:p>
          <w:p w:rsidR="0014573C" w:rsidRPr="0014573C" w:rsidRDefault="0014573C" w:rsidP="0014573C">
            <w:pPr>
              <w:pStyle w:val="Normlny0"/>
              <w:widowControl/>
              <w:contextualSpacing/>
              <w:jc w:val="both"/>
              <w:rPr>
                <w:sz w:val="16"/>
                <w:szCs w:val="16"/>
              </w:rPr>
            </w:pPr>
            <w:r w:rsidRPr="0014573C">
              <w:rPr>
                <w:sz w:val="16"/>
                <w:szCs w:val="16"/>
                <w:vertAlign w:val="superscript"/>
              </w:rPr>
              <w:t>27c</w:t>
            </w:r>
            <w:r w:rsidRPr="0014573C">
              <w:rPr>
                <w:sz w:val="16"/>
                <w:szCs w:val="16"/>
              </w:rPr>
              <w:t>) § 8, § 10 až 12 a § 19 zákona č. 297/2008 Z. z. v znení neskorších predpisov.</w:t>
            </w:r>
          </w:p>
          <w:p w:rsidR="00333042" w:rsidRDefault="00333042" w:rsidP="00A33DAA">
            <w:pPr>
              <w:pStyle w:val="Normlny0"/>
              <w:widowControl/>
              <w:contextualSpacing/>
              <w:jc w:val="both"/>
            </w:pPr>
          </w:p>
          <w:p w:rsidR="0015387D" w:rsidRDefault="0015387D" w:rsidP="00A33DAA">
            <w:pPr>
              <w:pStyle w:val="Normlny0"/>
              <w:widowControl/>
              <w:contextualSpacing/>
              <w:jc w:val="both"/>
            </w:pPr>
            <w:bookmarkStart w:id="0" w:name="_GoBack"/>
            <w:bookmarkEnd w:id="0"/>
          </w:p>
          <w:p w:rsidR="0014573C" w:rsidRDefault="0014573C" w:rsidP="00A33DAA">
            <w:pPr>
              <w:pStyle w:val="Normlny0"/>
              <w:widowControl/>
              <w:contextualSpacing/>
              <w:jc w:val="both"/>
            </w:pPr>
            <w:r w:rsidRPr="0014573C">
              <w:t>Údaje z centrálneho registra účtov sa poskytujú</w:t>
            </w:r>
          </w:p>
          <w:p w:rsidR="0014573C" w:rsidRPr="001902B7" w:rsidRDefault="0014573C" w:rsidP="0015387D">
            <w:pPr>
              <w:pStyle w:val="Normlny0"/>
              <w:widowControl/>
              <w:contextualSpacing/>
              <w:jc w:val="both"/>
            </w:pPr>
            <w:r w:rsidRPr="0014573C">
              <w:t>Finančnému riaditeľstvu Slovenskej republiky, colnému úradu a daňovému úradu na účel výkonu správy daní a colného dohľadu,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42" w:rsidRPr="001902B7" w:rsidRDefault="00C83F74" w:rsidP="00A33DAA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042" w:rsidRPr="001902B7" w:rsidRDefault="00333042" w:rsidP="00A33DAA">
            <w:pPr>
              <w:pStyle w:val="Nadpis1"/>
              <w:widowControl/>
              <w:contextualSpacing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1B7551" w:rsidRPr="001902B7" w:rsidRDefault="001B7551" w:rsidP="00A33DAA">
      <w:pPr>
        <w:contextualSpacing/>
        <w:rPr>
          <w:sz w:val="20"/>
          <w:szCs w:val="20"/>
        </w:rPr>
      </w:pPr>
    </w:p>
    <w:p w:rsidR="00030FF0" w:rsidRDefault="00030FF0" w:rsidP="00A33DAA">
      <w:pPr>
        <w:contextualSpacing/>
        <w:jc w:val="both"/>
        <w:rPr>
          <w:sz w:val="16"/>
          <w:szCs w:val="16"/>
        </w:rPr>
      </w:pPr>
      <w:r w:rsidRPr="000616C2">
        <w:rPr>
          <w:sz w:val="16"/>
          <w:szCs w:val="16"/>
        </w:rPr>
        <w:t>LEGENDA:</w:t>
      </w:r>
    </w:p>
    <w:p w:rsidR="0015387D" w:rsidRPr="000616C2" w:rsidRDefault="0015387D" w:rsidP="00A33DAA">
      <w:pPr>
        <w:contextualSpacing/>
        <w:jc w:val="both"/>
        <w:rPr>
          <w:sz w:val="16"/>
          <w:szCs w:val="16"/>
        </w:rPr>
      </w:pPr>
    </w:p>
    <w:tbl>
      <w:tblPr>
        <w:tblW w:w="15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3722"/>
        <w:gridCol w:w="2304"/>
        <w:gridCol w:w="7406"/>
      </w:tblGrid>
      <w:tr w:rsidR="00030FF0" w:rsidRPr="000616C2" w:rsidTr="00C37511">
        <w:trPr>
          <w:trHeight w:val="2029"/>
        </w:trPr>
        <w:tc>
          <w:tcPr>
            <w:tcW w:w="2373" w:type="dxa"/>
          </w:tcPr>
          <w:p w:rsidR="00030FF0" w:rsidRPr="000616C2" w:rsidRDefault="00030FF0" w:rsidP="00A33DAA">
            <w:pPr>
              <w:pStyle w:val="Normlny0"/>
              <w:contextualSpacing/>
              <w:jc w:val="both"/>
              <w:rPr>
                <w:b/>
                <w:sz w:val="16"/>
                <w:szCs w:val="16"/>
              </w:rPr>
            </w:pPr>
            <w:r w:rsidRPr="000616C2">
              <w:rPr>
                <w:b/>
                <w:sz w:val="16"/>
                <w:szCs w:val="16"/>
              </w:rPr>
              <w:t xml:space="preserve">   V stĺpci (1):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 xml:space="preserve">   Č – článok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 xml:space="preserve">   O – odsek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 xml:space="preserve">   B – bod 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 xml:space="preserve">   V – veta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 xml:space="preserve">   P – písmeno (číslo)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3722" w:type="dxa"/>
            <w:hideMark/>
          </w:tcPr>
          <w:p w:rsidR="00030FF0" w:rsidRPr="000616C2" w:rsidRDefault="00030FF0" w:rsidP="00A33DAA">
            <w:pPr>
              <w:pStyle w:val="Normlny0"/>
              <w:contextualSpacing/>
              <w:jc w:val="both"/>
              <w:rPr>
                <w:b/>
                <w:sz w:val="16"/>
                <w:szCs w:val="16"/>
              </w:rPr>
            </w:pPr>
            <w:r w:rsidRPr="000616C2">
              <w:rPr>
                <w:b/>
                <w:sz w:val="16"/>
                <w:szCs w:val="16"/>
              </w:rPr>
              <w:t>V stĺpci (3):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N – bežná transpozícia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O – transpozícia s možnosťou voľby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D – transpozícia podľa úvahy (dobrovoľná)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0616C2">
              <w:rPr>
                <w:sz w:val="16"/>
                <w:szCs w:val="16"/>
              </w:rPr>
              <w:t>n.a</w:t>
            </w:r>
            <w:proofErr w:type="spellEnd"/>
            <w:r w:rsidRPr="000616C2">
              <w:rPr>
                <w:sz w:val="16"/>
                <w:szCs w:val="16"/>
              </w:rPr>
              <w:t>. – transpozícia sa neuskutočňuje</w:t>
            </w:r>
          </w:p>
        </w:tc>
        <w:tc>
          <w:tcPr>
            <w:tcW w:w="2304" w:type="dxa"/>
            <w:hideMark/>
          </w:tcPr>
          <w:p w:rsidR="00030FF0" w:rsidRPr="000616C2" w:rsidRDefault="00030FF0" w:rsidP="00A33DAA">
            <w:pPr>
              <w:pStyle w:val="Normlny0"/>
              <w:contextualSpacing/>
              <w:jc w:val="both"/>
              <w:rPr>
                <w:b/>
                <w:sz w:val="16"/>
                <w:szCs w:val="16"/>
              </w:rPr>
            </w:pPr>
            <w:r w:rsidRPr="000616C2">
              <w:rPr>
                <w:b/>
                <w:sz w:val="16"/>
                <w:szCs w:val="16"/>
              </w:rPr>
              <w:t>V stĺpci (5):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Č – článok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§ – paragraf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O – odsek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V – veta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P – písmeno (číslo)</w:t>
            </w:r>
          </w:p>
        </w:tc>
        <w:tc>
          <w:tcPr>
            <w:tcW w:w="7406" w:type="dxa"/>
            <w:hideMark/>
          </w:tcPr>
          <w:p w:rsidR="00030FF0" w:rsidRPr="000616C2" w:rsidRDefault="00030FF0" w:rsidP="00A33DAA">
            <w:pPr>
              <w:pStyle w:val="Normlny0"/>
              <w:contextualSpacing/>
              <w:jc w:val="both"/>
              <w:rPr>
                <w:b/>
                <w:sz w:val="16"/>
                <w:szCs w:val="16"/>
              </w:rPr>
            </w:pPr>
            <w:r w:rsidRPr="000616C2">
              <w:rPr>
                <w:b/>
                <w:sz w:val="16"/>
                <w:szCs w:val="16"/>
              </w:rPr>
              <w:t>V stĺpci (7):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Ú – úplná zhoda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>Č – čiastočná zhoda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r w:rsidRPr="000616C2">
              <w:rPr>
                <w:sz w:val="16"/>
                <w:szCs w:val="16"/>
              </w:rPr>
              <w:t xml:space="preserve">Ž – žiadna zhoda (ak nebola dosiahnutá ani </w:t>
            </w:r>
            <w:proofErr w:type="spellStart"/>
            <w:r w:rsidRPr="000616C2">
              <w:rPr>
                <w:sz w:val="16"/>
                <w:szCs w:val="16"/>
              </w:rPr>
              <w:t>čiast</w:t>
            </w:r>
            <w:proofErr w:type="spellEnd"/>
            <w:r w:rsidRPr="000616C2">
              <w:rPr>
                <w:sz w:val="16"/>
                <w:szCs w:val="16"/>
              </w:rPr>
              <w:t>. ani úplná zhoda alebo k prebratiu dôjde v budúcnosti)</w:t>
            </w:r>
          </w:p>
          <w:p w:rsidR="00030FF0" w:rsidRPr="000616C2" w:rsidRDefault="00030FF0" w:rsidP="00A33DAA">
            <w:pPr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0616C2">
              <w:rPr>
                <w:sz w:val="16"/>
                <w:szCs w:val="16"/>
              </w:rPr>
              <w:t>n.a</w:t>
            </w:r>
            <w:proofErr w:type="spellEnd"/>
            <w:r w:rsidRPr="000616C2">
              <w:rPr>
                <w:sz w:val="16"/>
                <w:szCs w:val="16"/>
              </w:rPr>
              <w:t>. – neaplikovateľnosť (ak sa ustanovenie smernice netýka SR alebo nie je potrebné ho prebrať)</w:t>
            </w:r>
          </w:p>
        </w:tc>
      </w:tr>
    </w:tbl>
    <w:p w:rsidR="00245F1E" w:rsidRPr="00C0722A" w:rsidRDefault="00245F1E" w:rsidP="00A33DAA">
      <w:pPr>
        <w:contextualSpacing/>
        <w:rPr>
          <w:sz w:val="20"/>
          <w:szCs w:val="20"/>
        </w:rPr>
      </w:pPr>
    </w:p>
    <w:sectPr w:rsidR="00245F1E" w:rsidRPr="00C0722A" w:rsidSect="00BB28A1">
      <w:footerReference w:type="default" r:id="rId9"/>
      <w:pgSz w:w="16838" w:h="11906" w:orient="landscape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8E" w:rsidRDefault="0088548E" w:rsidP="007949E7">
      <w:r>
        <w:separator/>
      </w:r>
    </w:p>
  </w:endnote>
  <w:endnote w:type="continuationSeparator" w:id="0">
    <w:p w:rsidR="0088548E" w:rsidRDefault="0088548E" w:rsidP="0079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eXGyreBonum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D4" w:rsidRPr="000C53D4" w:rsidRDefault="000C53D4" w:rsidP="000C53D4">
    <w:pPr>
      <w:pStyle w:val="Pta"/>
      <w:jc w:val="center"/>
      <w:rPr>
        <w:sz w:val="16"/>
        <w:szCs w:val="16"/>
      </w:rPr>
    </w:pPr>
    <w:r w:rsidRPr="000C53D4">
      <w:rPr>
        <w:sz w:val="16"/>
        <w:szCs w:val="16"/>
      </w:rPr>
      <w:fldChar w:fldCharType="begin"/>
    </w:r>
    <w:r w:rsidRPr="000C53D4">
      <w:rPr>
        <w:sz w:val="16"/>
        <w:szCs w:val="16"/>
      </w:rPr>
      <w:instrText>PAGE   \* MERGEFORMAT</w:instrText>
    </w:r>
    <w:r w:rsidRPr="000C53D4">
      <w:rPr>
        <w:sz w:val="16"/>
        <w:szCs w:val="16"/>
      </w:rPr>
      <w:fldChar w:fldCharType="separate"/>
    </w:r>
    <w:r w:rsidR="0015387D">
      <w:rPr>
        <w:noProof/>
        <w:sz w:val="16"/>
        <w:szCs w:val="16"/>
      </w:rPr>
      <w:t>1</w:t>
    </w:r>
    <w:r w:rsidRPr="000C53D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8E" w:rsidRDefault="0088548E" w:rsidP="007949E7">
      <w:r>
        <w:separator/>
      </w:r>
    </w:p>
  </w:footnote>
  <w:footnote w:type="continuationSeparator" w:id="0">
    <w:p w:rsidR="0088548E" w:rsidRDefault="0088548E" w:rsidP="0079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2D5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427F8"/>
    <w:multiLevelType w:val="hybridMultilevel"/>
    <w:tmpl w:val="D0B89C76"/>
    <w:lvl w:ilvl="0" w:tplc="6C3A8696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124B2F"/>
    <w:multiLevelType w:val="multilevel"/>
    <w:tmpl w:val="FDA8CA7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3">
    <w:nsid w:val="0C6079EF"/>
    <w:multiLevelType w:val="hybridMultilevel"/>
    <w:tmpl w:val="B9FA5D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A4595C"/>
    <w:multiLevelType w:val="hybridMultilevel"/>
    <w:tmpl w:val="D326DC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BA736C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9B2A8E"/>
    <w:multiLevelType w:val="hybridMultilevel"/>
    <w:tmpl w:val="4B5C7BEA"/>
    <w:lvl w:ilvl="0" w:tplc="FA761D7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03380"/>
    <w:multiLevelType w:val="hybridMultilevel"/>
    <w:tmpl w:val="7CEA8276"/>
    <w:lvl w:ilvl="0" w:tplc="76C855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C702101"/>
    <w:multiLevelType w:val="hybridMultilevel"/>
    <w:tmpl w:val="567ADB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A54E5F"/>
    <w:multiLevelType w:val="hybridMultilevel"/>
    <w:tmpl w:val="400A14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CB1692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DD4BEC"/>
    <w:multiLevelType w:val="multilevel"/>
    <w:tmpl w:val="45289E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3301A9"/>
    <w:multiLevelType w:val="multilevel"/>
    <w:tmpl w:val="A29CC2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9718E9"/>
    <w:multiLevelType w:val="hybridMultilevel"/>
    <w:tmpl w:val="61A09DC4"/>
    <w:lvl w:ilvl="0" w:tplc="AC20F6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8D2404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903E69"/>
    <w:multiLevelType w:val="hybridMultilevel"/>
    <w:tmpl w:val="51E089D4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>
    <w:nsid w:val="44967E62"/>
    <w:multiLevelType w:val="hybridMultilevel"/>
    <w:tmpl w:val="793C871A"/>
    <w:lvl w:ilvl="0" w:tplc="9FCE2D54">
      <w:start w:val="1"/>
      <w:numFmt w:val="decimal"/>
      <w:suff w:val="nothing"/>
      <w:lvlText w:val="%1."/>
      <w:lvlJc w:val="left"/>
      <w:pPr>
        <w:ind w:left="-769" w:firstLine="769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72D4533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5511DE"/>
    <w:multiLevelType w:val="hybridMultilevel"/>
    <w:tmpl w:val="876A4F8A"/>
    <w:lvl w:ilvl="0" w:tplc="FD9A7F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E06CBB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581019"/>
    <w:multiLevelType w:val="multilevel"/>
    <w:tmpl w:val="6FC668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21">
    <w:nsid w:val="537C7EC5"/>
    <w:multiLevelType w:val="hybridMultilevel"/>
    <w:tmpl w:val="567ADB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A63EF2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7735D3"/>
    <w:multiLevelType w:val="multilevel"/>
    <w:tmpl w:val="4FC6CF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24">
    <w:nsid w:val="5C1F50CD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085626"/>
    <w:multiLevelType w:val="hybridMultilevel"/>
    <w:tmpl w:val="DC7AACFE"/>
    <w:lvl w:ilvl="0" w:tplc="F196C7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5D75F6"/>
    <w:multiLevelType w:val="hybridMultilevel"/>
    <w:tmpl w:val="7CEA8276"/>
    <w:lvl w:ilvl="0" w:tplc="76C855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F127BA4"/>
    <w:multiLevelType w:val="hybridMultilevel"/>
    <w:tmpl w:val="DD9404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965199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A32F9B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2F48B8"/>
    <w:multiLevelType w:val="hybridMultilevel"/>
    <w:tmpl w:val="FC9C898E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6D150217"/>
    <w:multiLevelType w:val="hybridMultilevel"/>
    <w:tmpl w:val="75DA9A56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306D05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0B30E9"/>
    <w:multiLevelType w:val="hybridMultilevel"/>
    <w:tmpl w:val="98CC6326"/>
    <w:lvl w:ilvl="0" w:tplc="A4B07E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F11FF1"/>
    <w:multiLevelType w:val="hybridMultilevel"/>
    <w:tmpl w:val="3306F000"/>
    <w:lvl w:ilvl="0" w:tplc="1FC8A5DA">
      <w:start w:val="1"/>
      <w:numFmt w:val="decimal"/>
      <w:suff w:val="nothing"/>
      <w:lvlText w:val="%1."/>
      <w:lvlJc w:val="left"/>
      <w:pPr>
        <w:ind w:firstLine="709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7677C4A"/>
    <w:multiLevelType w:val="hybridMultilevel"/>
    <w:tmpl w:val="7CEA8276"/>
    <w:lvl w:ilvl="0" w:tplc="76C855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77BE78CC"/>
    <w:multiLevelType w:val="multilevel"/>
    <w:tmpl w:val="113A1B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083002"/>
    <w:multiLevelType w:val="hybridMultilevel"/>
    <w:tmpl w:val="D58621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B240BC"/>
    <w:multiLevelType w:val="multilevel"/>
    <w:tmpl w:val="45289E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0"/>
  </w:num>
  <w:num w:numId="3">
    <w:abstractNumId w:val="25"/>
  </w:num>
  <w:num w:numId="4">
    <w:abstractNumId w:val="8"/>
  </w:num>
  <w:num w:numId="5">
    <w:abstractNumId w:val="2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8"/>
  </w:num>
  <w:num w:numId="10">
    <w:abstractNumId w:val="33"/>
  </w:num>
  <w:num w:numId="11">
    <w:abstractNumId w:val="3"/>
  </w:num>
  <w:num w:numId="12">
    <w:abstractNumId w:val="4"/>
  </w:num>
  <w:num w:numId="13">
    <w:abstractNumId w:val="2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7"/>
  </w:num>
  <w:num w:numId="17">
    <w:abstractNumId w:val="1"/>
  </w:num>
  <w:num w:numId="18">
    <w:abstractNumId w:val="35"/>
  </w:num>
  <w:num w:numId="19">
    <w:abstractNumId w:val="6"/>
  </w:num>
  <w:num w:numId="20">
    <w:abstractNumId w:val="32"/>
  </w:num>
  <w:num w:numId="21">
    <w:abstractNumId w:val="38"/>
  </w:num>
  <w:num w:numId="22">
    <w:abstractNumId w:val="20"/>
  </w:num>
  <w:num w:numId="23">
    <w:abstractNumId w:val="2"/>
  </w:num>
  <w:num w:numId="24">
    <w:abstractNumId w:val="19"/>
  </w:num>
  <w:num w:numId="25">
    <w:abstractNumId w:val="23"/>
  </w:num>
  <w:num w:numId="26">
    <w:abstractNumId w:val="36"/>
  </w:num>
  <w:num w:numId="27">
    <w:abstractNumId w:val="5"/>
  </w:num>
  <w:num w:numId="28">
    <w:abstractNumId w:val="10"/>
  </w:num>
  <w:num w:numId="29">
    <w:abstractNumId w:val="17"/>
  </w:num>
  <w:num w:numId="30">
    <w:abstractNumId w:val="12"/>
  </w:num>
  <w:num w:numId="31">
    <w:abstractNumId w:val="29"/>
  </w:num>
  <w:num w:numId="32">
    <w:abstractNumId w:val="28"/>
  </w:num>
  <w:num w:numId="33">
    <w:abstractNumId w:val="14"/>
  </w:num>
  <w:num w:numId="34">
    <w:abstractNumId w:val="22"/>
  </w:num>
  <w:num w:numId="35">
    <w:abstractNumId w:val="0"/>
  </w:num>
  <w:num w:numId="36">
    <w:abstractNumId w:val="24"/>
  </w:num>
  <w:num w:numId="37">
    <w:abstractNumId w:val="13"/>
  </w:num>
  <w:num w:numId="38">
    <w:abstractNumId w:val="31"/>
  </w:num>
  <w:num w:numId="39">
    <w:abstractNumId w:val="1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51"/>
    <w:rsid w:val="000008B7"/>
    <w:rsid w:val="000008D7"/>
    <w:rsid w:val="00003BD9"/>
    <w:rsid w:val="0001034B"/>
    <w:rsid w:val="00010446"/>
    <w:rsid w:val="000133BB"/>
    <w:rsid w:val="00023155"/>
    <w:rsid w:val="00025F82"/>
    <w:rsid w:val="00030FF0"/>
    <w:rsid w:val="00043674"/>
    <w:rsid w:val="00051EA3"/>
    <w:rsid w:val="00056169"/>
    <w:rsid w:val="000616C2"/>
    <w:rsid w:val="00076533"/>
    <w:rsid w:val="00080B20"/>
    <w:rsid w:val="00091DE2"/>
    <w:rsid w:val="00094E36"/>
    <w:rsid w:val="00096801"/>
    <w:rsid w:val="00096C5E"/>
    <w:rsid w:val="000976FD"/>
    <w:rsid w:val="000A0525"/>
    <w:rsid w:val="000A0893"/>
    <w:rsid w:val="000A67E3"/>
    <w:rsid w:val="000B1938"/>
    <w:rsid w:val="000B2CF2"/>
    <w:rsid w:val="000B4427"/>
    <w:rsid w:val="000B4DF0"/>
    <w:rsid w:val="000C0CF5"/>
    <w:rsid w:val="000C21E8"/>
    <w:rsid w:val="000C474C"/>
    <w:rsid w:val="000C53D4"/>
    <w:rsid w:val="000C5B28"/>
    <w:rsid w:val="000C682B"/>
    <w:rsid w:val="000E0E23"/>
    <w:rsid w:val="000E36C8"/>
    <w:rsid w:val="000F5782"/>
    <w:rsid w:val="000F6767"/>
    <w:rsid w:val="000F6AC0"/>
    <w:rsid w:val="00100746"/>
    <w:rsid w:val="00115F2C"/>
    <w:rsid w:val="001202A5"/>
    <w:rsid w:val="00121608"/>
    <w:rsid w:val="0013370F"/>
    <w:rsid w:val="00144F66"/>
    <w:rsid w:val="0014573C"/>
    <w:rsid w:val="00146BF5"/>
    <w:rsid w:val="00150641"/>
    <w:rsid w:val="001534BF"/>
    <w:rsid w:val="0015371F"/>
    <w:rsid w:val="0015387D"/>
    <w:rsid w:val="00157022"/>
    <w:rsid w:val="001614A9"/>
    <w:rsid w:val="001628DE"/>
    <w:rsid w:val="001679D1"/>
    <w:rsid w:val="0018080D"/>
    <w:rsid w:val="00186680"/>
    <w:rsid w:val="001902B7"/>
    <w:rsid w:val="001962B6"/>
    <w:rsid w:val="001A1AE8"/>
    <w:rsid w:val="001A2267"/>
    <w:rsid w:val="001A7F7B"/>
    <w:rsid w:val="001B7551"/>
    <w:rsid w:val="001C29D4"/>
    <w:rsid w:val="001C3E1B"/>
    <w:rsid w:val="001C601A"/>
    <w:rsid w:val="001C734C"/>
    <w:rsid w:val="001D47C7"/>
    <w:rsid w:val="001E5E69"/>
    <w:rsid w:val="001F3FCD"/>
    <w:rsid w:val="001F401E"/>
    <w:rsid w:val="001F71C2"/>
    <w:rsid w:val="00200783"/>
    <w:rsid w:val="00202DD1"/>
    <w:rsid w:val="002065FA"/>
    <w:rsid w:val="00230B53"/>
    <w:rsid w:val="00231042"/>
    <w:rsid w:val="0023565F"/>
    <w:rsid w:val="00237508"/>
    <w:rsid w:val="00243B3D"/>
    <w:rsid w:val="00245F1E"/>
    <w:rsid w:val="00247565"/>
    <w:rsid w:val="002558EA"/>
    <w:rsid w:val="00256039"/>
    <w:rsid w:val="002643F8"/>
    <w:rsid w:val="002673A9"/>
    <w:rsid w:val="002739C1"/>
    <w:rsid w:val="002821BA"/>
    <w:rsid w:val="002828F1"/>
    <w:rsid w:val="00283404"/>
    <w:rsid w:val="00284124"/>
    <w:rsid w:val="00285AD6"/>
    <w:rsid w:val="00294095"/>
    <w:rsid w:val="002B47A8"/>
    <w:rsid w:val="002B6EB5"/>
    <w:rsid w:val="002E0A9C"/>
    <w:rsid w:val="002F2288"/>
    <w:rsid w:val="002F2B77"/>
    <w:rsid w:val="002F4D1C"/>
    <w:rsid w:val="002F6981"/>
    <w:rsid w:val="003001A7"/>
    <w:rsid w:val="00301DE6"/>
    <w:rsid w:val="003110C9"/>
    <w:rsid w:val="00316CCF"/>
    <w:rsid w:val="00320BD0"/>
    <w:rsid w:val="00331F1E"/>
    <w:rsid w:val="00333042"/>
    <w:rsid w:val="00335BF2"/>
    <w:rsid w:val="00342687"/>
    <w:rsid w:val="00355349"/>
    <w:rsid w:val="00362A1C"/>
    <w:rsid w:val="003679AD"/>
    <w:rsid w:val="00380A2F"/>
    <w:rsid w:val="0038162A"/>
    <w:rsid w:val="00390A8C"/>
    <w:rsid w:val="00391745"/>
    <w:rsid w:val="00391A6D"/>
    <w:rsid w:val="00392096"/>
    <w:rsid w:val="003934AC"/>
    <w:rsid w:val="003B5636"/>
    <w:rsid w:val="003B6018"/>
    <w:rsid w:val="003C320B"/>
    <w:rsid w:val="003C6B94"/>
    <w:rsid w:val="003D5F1E"/>
    <w:rsid w:val="003E0D97"/>
    <w:rsid w:val="003E6CB2"/>
    <w:rsid w:val="003E6D9F"/>
    <w:rsid w:val="003E7844"/>
    <w:rsid w:val="003F6756"/>
    <w:rsid w:val="0040488E"/>
    <w:rsid w:val="004201F5"/>
    <w:rsid w:val="00420BFC"/>
    <w:rsid w:val="00421084"/>
    <w:rsid w:val="00421873"/>
    <w:rsid w:val="00424C29"/>
    <w:rsid w:val="00425EE7"/>
    <w:rsid w:val="00427BB2"/>
    <w:rsid w:val="00433C67"/>
    <w:rsid w:val="00440D31"/>
    <w:rsid w:val="0044346D"/>
    <w:rsid w:val="00450231"/>
    <w:rsid w:val="00452F53"/>
    <w:rsid w:val="00455E03"/>
    <w:rsid w:val="0045789F"/>
    <w:rsid w:val="0046431C"/>
    <w:rsid w:val="00481CAC"/>
    <w:rsid w:val="004861FE"/>
    <w:rsid w:val="00495F8E"/>
    <w:rsid w:val="00496353"/>
    <w:rsid w:val="00496F0F"/>
    <w:rsid w:val="004A2929"/>
    <w:rsid w:val="004A293D"/>
    <w:rsid w:val="004B0C8D"/>
    <w:rsid w:val="004B4A51"/>
    <w:rsid w:val="004C0A19"/>
    <w:rsid w:val="004C35A9"/>
    <w:rsid w:val="004C5870"/>
    <w:rsid w:val="004C6E90"/>
    <w:rsid w:val="004D17B9"/>
    <w:rsid w:val="004D1E51"/>
    <w:rsid w:val="004D786C"/>
    <w:rsid w:val="004E186B"/>
    <w:rsid w:val="004E6AE1"/>
    <w:rsid w:val="0051435A"/>
    <w:rsid w:val="00515DFE"/>
    <w:rsid w:val="00516FEF"/>
    <w:rsid w:val="00523DAC"/>
    <w:rsid w:val="00525592"/>
    <w:rsid w:val="00526109"/>
    <w:rsid w:val="00530F5A"/>
    <w:rsid w:val="00530FBC"/>
    <w:rsid w:val="005345B4"/>
    <w:rsid w:val="005434A0"/>
    <w:rsid w:val="00551FE4"/>
    <w:rsid w:val="005545AC"/>
    <w:rsid w:val="00556147"/>
    <w:rsid w:val="005676E2"/>
    <w:rsid w:val="005865F3"/>
    <w:rsid w:val="00587F0A"/>
    <w:rsid w:val="005918C1"/>
    <w:rsid w:val="00593E11"/>
    <w:rsid w:val="005940BE"/>
    <w:rsid w:val="005A3B31"/>
    <w:rsid w:val="005B6162"/>
    <w:rsid w:val="005B7BF7"/>
    <w:rsid w:val="005D763C"/>
    <w:rsid w:val="005E1CA7"/>
    <w:rsid w:val="005E72A2"/>
    <w:rsid w:val="005E795C"/>
    <w:rsid w:val="005F7F2D"/>
    <w:rsid w:val="006012C2"/>
    <w:rsid w:val="00607E6E"/>
    <w:rsid w:val="00610209"/>
    <w:rsid w:val="00631C80"/>
    <w:rsid w:val="006366D4"/>
    <w:rsid w:val="00641899"/>
    <w:rsid w:val="00653819"/>
    <w:rsid w:val="00663287"/>
    <w:rsid w:val="00667AA5"/>
    <w:rsid w:val="006836E1"/>
    <w:rsid w:val="00685C09"/>
    <w:rsid w:val="0069191D"/>
    <w:rsid w:val="0069534E"/>
    <w:rsid w:val="006A05E6"/>
    <w:rsid w:val="006A0667"/>
    <w:rsid w:val="006B0362"/>
    <w:rsid w:val="006B1966"/>
    <w:rsid w:val="006B35E0"/>
    <w:rsid w:val="006C3644"/>
    <w:rsid w:val="006C7EE1"/>
    <w:rsid w:val="006D58D8"/>
    <w:rsid w:val="006D6FF6"/>
    <w:rsid w:val="006E32CB"/>
    <w:rsid w:val="006F2395"/>
    <w:rsid w:val="006F32DC"/>
    <w:rsid w:val="006F62A8"/>
    <w:rsid w:val="00704F14"/>
    <w:rsid w:val="007064FD"/>
    <w:rsid w:val="007146D4"/>
    <w:rsid w:val="00714B55"/>
    <w:rsid w:val="0071612C"/>
    <w:rsid w:val="00726228"/>
    <w:rsid w:val="00732981"/>
    <w:rsid w:val="00751FF0"/>
    <w:rsid w:val="007629E8"/>
    <w:rsid w:val="00762BD7"/>
    <w:rsid w:val="00762C5F"/>
    <w:rsid w:val="0076301B"/>
    <w:rsid w:val="00774D34"/>
    <w:rsid w:val="00783097"/>
    <w:rsid w:val="007949E7"/>
    <w:rsid w:val="00795BAC"/>
    <w:rsid w:val="007A4673"/>
    <w:rsid w:val="007A47F9"/>
    <w:rsid w:val="007A5A00"/>
    <w:rsid w:val="007B7649"/>
    <w:rsid w:val="007C6852"/>
    <w:rsid w:val="007C754A"/>
    <w:rsid w:val="007D1152"/>
    <w:rsid w:val="007D2689"/>
    <w:rsid w:val="007D6DFC"/>
    <w:rsid w:val="0080613E"/>
    <w:rsid w:val="008077AE"/>
    <w:rsid w:val="008101AF"/>
    <w:rsid w:val="00814F67"/>
    <w:rsid w:val="008276AA"/>
    <w:rsid w:val="008364F8"/>
    <w:rsid w:val="00837E5C"/>
    <w:rsid w:val="00845B52"/>
    <w:rsid w:val="0085144D"/>
    <w:rsid w:val="00853CDD"/>
    <w:rsid w:val="00854623"/>
    <w:rsid w:val="008604CA"/>
    <w:rsid w:val="0086144E"/>
    <w:rsid w:val="008620A7"/>
    <w:rsid w:val="00862B81"/>
    <w:rsid w:val="00865CA6"/>
    <w:rsid w:val="0087704D"/>
    <w:rsid w:val="00880273"/>
    <w:rsid w:val="00882767"/>
    <w:rsid w:val="008849E5"/>
    <w:rsid w:val="0088548E"/>
    <w:rsid w:val="00890667"/>
    <w:rsid w:val="00893177"/>
    <w:rsid w:val="008947CC"/>
    <w:rsid w:val="008B3AF1"/>
    <w:rsid w:val="008B6B46"/>
    <w:rsid w:val="008C10F4"/>
    <w:rsid w:val="008D087D"/>
    <w:rsid w:val="008D0C2A"/>
    <w:rsid w:val="008D6852"/>
    <w:rsid w:val="008E59D4"/>
    <w:rsid w:val="008F501C"/>
    <w:rsid w:val="008F68B6"/>
    <w:rsid w:val="00902F4D"/>
    <w:rsid w:val="00907AA2"/>
    <w:rsid w:val="0091707A"/>
    <w:rsid w:val="00922B72"/>
    <w:rsid w:val="00922E4F"/>
    <w:rsid w:val="009231CB"/>
    <w:rsid w:val="00935B7A"/>
    <w:rsid w:val="009435CF"/>
    <w:rsid w:val="00944AE7"/>
    <w:rsid w:val="00945589"/>
    <w:rsid w:val="00950074"/>
    <w:rsid w:val="0095484D"/>
    <w:rsid w:val="0095597C"/>
    <w:rsid w:val="009561E0"/>
    <w:rsid w:val="00957073"/>
    <w:rsid w:val="00961C6A"/>
    <w:rsid w:val="00962AA3"/>
    <w:rsid w:val="00967AB0"/>
    <w:rsid w:val="009719C6"/>
    <w:rsid w:val="00975E12"/>
    <w:rsid w:val="009809F3"/>
    <w:rsid w:val="009950D2"/>
    <w:rsid w:val="009A7CB8"/>
    <w:rsid w:val="009B043A"/>
    <w:rsid w:val="009B4254"/>
    <w:rsid w:val="009C3BD9"/>
    <w:rsid w:val="009D2789"/>
    <w:rsid w:val="009E0BA8"/>
    <w:rsid w:val="009E1BBC"/>
    <w:rsid w:val="009E4149"/>
    <w:rsid w:val="009E4810"/>
    <w:rsid w:val="009E4F15"/>
    <w:rsid w:val="009F3506"/>
    <w:rsid w:val="009F56E0"/>
    <w:rsid w:val="00A02C04"/>
    <w:rsid w:val="00A02ED6"/>
    <w:rsid w:val="00A05AED"/>
    <w:rsid w:val="00A0702F"/>
    <w:rsid w:val="00A104E1"/>
    <w:rsid w:val="00A216BD"/>
    <w:rsid w:val="00A21B94"/>
    <w:rsid w:val="00A250EC"/>
    <w:rsid w:val="00A31BC3"/>
    <w:rsid w:val="00A32C85"/>
    <w:rsid w:val="00A33DAA"/>
    <w:rsid w:val="00A462A8"/>
    <w:rsid w:val="00A47790"/>
    <w:rsid w:val="00A61E7E"/>
    <w:rsid w:val="00A62C52"/>
    <w:rsid w:val="00A718CF"/>
    <w:rsid w:val="00A73E15"/>
    <w:rsid w:val="00A77DCB"/>
    <w:rsid w:val="00AA5B83"/>
    <w:rsid w:val="00AB1BA2"/>
    <w:rsid w:val="00AB20BD"/>
    <w:rsid w:val="00AB38E4"/>
    <w:rsid w:val="00AB4E3D"/>
    <w:rsid w:val="00AE02B0"/>
    <w:rsid w:val="00AE0E50"/>
    <w:rsid w:val="00AE2B88"/>
    <w:rsid w:val="00AE5445"/>
    <w:rsid w:val="00AF69F3"/>
    <w:rsid w:val="00B02B09"/>
    <w:rsid w:val="00B04284"/>
    <w:rsid w:val="00B166F0"/>
    <w:rsid w:val="00B223D9"/>
    <w:rsid w:val="00B22F4C"/>
    <w:rsid w:val="00B23D6C"/>
    <w:rsid w:val="00B250C5"/>
    <w:rsid w:val="00B33DAC"/>
    <w:rsid w:val="00B350D2"/>
    <w:rsid w:val="00B37F04"/>
    <w:rsid w:val="00B40264"/>
    <w:rsid w:val="00B41521"/>
    <w:rsid w:val="00B4165D"/>
    <w:rsid w:val="00B43834"/>
    <w:rsid w:val="00B460FF"/>
    <w:rsid w:val="00B5647B"/>
    <w:rsid w:val="00B576E4"/>
    <w:rsid w:val="00B8267B"/>
    <w:rsid w:val="00B82A0D"/>
    <w:rsid w:val="00B8325F"/>
    <w:rsid w:val="00BB077B"/>
    <w:rsid w:val="00BB1E20"/>
    <w:rsid w:val="00BB28A1"/>
    <w:rsid w:val="00BB48AC"/>
    <w:rsid w:val="00BB59BB"/>
    <w:rsid w:val="00BB7457"/>
    <w:rsid w:val="00BC2420"/>
    <w:rsid w:val="00BC2BEF"/>
    <w:rsid w:val="00BC5285"/>
    <w:rsid w:val="00BC617E"/>
    <w:rsid w:val="00BD0F02"/>
    <w:rsid w:val="00BE406D"/>
    <w:rsid w:val="00BF3669"/>
    <w:rsid w:val="00BF4885"/>
    <w:rsid w:val="00C00BE2"/>
    <w:rsid w:val="00C023A3"/>
    <w:rsid w:val="00C03269"/>
    <w:rsid w:val="00C0722A"/>
    <w:rsid w:val="00C078BD"/>
    <w:rsid w:val="00C1539D"/>
    <w:rsid w:val="00C154F3"/>
    <w:rsid w:val="00C159BE"/>
    <w:rsid w:val="00C16B01"/>
    <w:rsid w:val="00C1754E"/>
    <w:rsid w:val="00C220F7"/>
    <w:rsid w:val="00C37511"/>
    <w:rsid w:val="00C41D3F"/>
    <w:rsid w:val="00C544EF"/>
    <w:rsid w:val="00C65A9C"/>
    <w:rsid w:val="00C70AF1"/>
    <w:rsid w:val="00C73085"/>
    <w:rsid w:val="00C7480E"/>
    <w:rsid w:val="00C81D17"/>
    <w:rsid w:val="00C81E4A"/>
    <w:rsid w:val="00C821A8"/>
    <w:rsid w:val="00C839A7"/>
    <w:rsid w:val="00C83F74"/>
    <w:rsid w:val="00C8582D"/>
    <w:rsid w:val="00C94B09"/>
    <w:rsid w:val="00C96643"/>
    <w:rsid w:val="00C978E1"/>
    <w:rsid w:val="00CA66B7"/>
    <w:rsid w:val="00CB055B"/>
    <w:rsid w:val="00CC0A1D"/>
    <w:rsid w:val="00CC3020"/>
    <w:rsid w:val="00CC7E31"/>
    <w:rsid w:val="00CD12D5"/>
    <w:rsid w:val="00CD17D0"/>
    <w:rsid w:val="00CD1E56"/>
    <w:rsid w:val="00CD6007"/>
    <w:rsid w:val="00CD7788"/>
    <w:rsid w:val="00CE59F1"/>
    <w:rsid w:val="00CF4AD2"/>
    <w:rsid w:val="00D03E42"/>
    <w:rsid w:val="00D13B00"/>
    <w:rsid w:val="00D201E0"/>
    <w:rsid w:val="00D36B15"/>
    <w:rsid w:val="00D4059E"/>
    <w:rsid w:val="00D41E23"/>
    <w:rsid w:val="00D4286E"/>
    <w:rsid w:val="00D4386B"/>
    <w:rsid w:val="00D44FD2"/>
    <w:rsid w:val="00D45C37"/>
    <w:rsid w:val="00D476FA"/>
    <w:rsid w:val="00D47B93"/>
    <w:rsid w:val="00D5016A"/>
    <w:rsid w:val="00D63239"/>
    <w:rsid w:val="00D72558"/>
    <w:rsid w:val="00D823F9"/>
    <w:rsid w:val="00D85203"/>
    <w:rsid w:val="00D85556"/>
    <w:rsid w:val="00D90CDF"/>
    <w:rsid w:val="00DA0B4E"/>
    <w:rsid w:val="00DA0FC3"/>
    <w:rsid w:val="00DA73EC"/>
    <w:rsid w:val="00DB129F"/>
    <w:rsid w:val="00DC583D"/>
    <w:rsid w:val="00DD2E7A"/>
    <w:rsid w:val="00DD4259"/>
    <w:rsid w:val="00DE1394"/>
    <w:rsid w:val="00DE3074"/>
    <w:rsid w:val="00E0287B"/>
    <w:rsid w:val="00E05AF9"/>
    <w:rsid w:val="00E07359"/>
    <w:rsid w:val="00E11EA0"/>
    <w:rsid w:val="00E14199"/>
    <w:rsid w:val="00E201FB"/>
    <w:rsid w:val="00E30307"/>
    <w:rsid w:val="00E35931"/>
    <w:rsid w:val="00E43B23"/>
    <w:rsid w:val="00E45975"/>
    <w:rsid w:val="00E51A19"/>
    <w:rsid w:val="00E54BFB"/>
    <w:rsid w:val="00E57335"/>
    <w:rsid w:val="00E711C6"/>
    <w:rsid w:val="00E84581"/>
    <w:rsid w:val="00E92A54"/>
    <w:rsid w:val="00E92CC2"/>
    <w:rsid w:val="00E935EB"/>
    <w:rsid w:val="00E963BB"/>
    <w:rsid w:val="00EB0B68"/>
    <w:rsid w:val="00EB2935"/>
    <w:rsid w:val="00EB5B85"/>
    <w:rsid w:val="00EC4133"/>
    <w:rsid w:val="00ED3105"/>
    <w:rsid w:val="00ED511F"/>
    <w:rsid w:val="00EE31B1"/>
    <w:rsid w:val="00EE3AF6"/>
    <w:rsid w:val="00EE4F99"/>
    <w:rsid w:val="00F07A31"/>
    <w:rsid w:val="00F13B5C"/>
    <w:rsid w:val="00F140DC"/>
    <w:rsid w:val="00F15E72"/>
    <w:rsid w:val="00F241DC"/>
    <w:rsid w:val="00F32093"/>
    <w:rsid w:val="00F41951"/>
    <w:rsid w:val="00F4580B"/>
    <w:rsid w:val="00F51505"/>
    <w:rsid w:val="00F643D2"/>
    <w:rsid w:val="00F646CF"/>
    <w:rsid w:val="00F653E4"/>
    <w:rsid w:val="00F7080F"/>
    <w:rsid w:val="00F73449"/>
    <w:rsid w:val="00F77482"/>
    <w:rsid w:val="00F77E8E"/>
    <w:rsid w:val="00F8078E"/>
    <w:rsid w:val="00FA4818"/>
    <w:rsid w:val="00FC3DE3"/>
    <w:rsid w:val="00FD2B8A"/>
    <w:rsid w:val="00FD733A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7551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755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59B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755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qFormat/>
    <w:rsid w:val="001B7551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B7551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B59B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1B7551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1B7551"/>
    <w:rPr>
      <w:rFonts w:ascii="Times New Roman" w:hAnsi="Times New Roman" w:cs="Times New Roman"/>
      <w:b/>
      <w:bCs/>
      <w:lang w:val="x-none" w:eastAsia="sk-SK"/>
    </w:rPr>
  </w:style>
  <w:style w:type="paragraph" w:styleId="Zkladntext3">
    <w:name w:val="Body Text 3"/>
    <w:basedOn w:val="Normlny"/>
    <w:link w:val="Zkladntext3Char"/>
    <w:uiPriority w:val="99"/>
    <w:rsid w:val="001B7551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1B7551"/>
    <w:rPr>
      <w:rFonts w:ascii="Times New Roman" w:hAnsi="Times New Roman" w:cs="Times New Roman"/>
      <w:sz w:val="24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1B75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B7551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1B7551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1B7551"/>
    <w:rPr>
      <w:rFonts w:ascii="Times New Roman" w:hAnsi="Times New Roman" w:cs="Times New Roman"/>
      <w:sz w:val="20"/>
      <w:szCs w:val="20"/>
      <w:lang w:val="x-none" w:eastAsia="sk-SK"/>
    </w:rPr>
  </w:style>
  <w:style w:type="paragraph" w:customStyle="1" w:styleId="Normlny0">
    <w:name w:val="_Normálny"/>
    <w:basedOn w:val="Normlny"/>
    <w:rsid w:val="001B7551"/>
    <w:rPr>
      <w:sz w:val="20"/>
      <w:szCs w:val="20"/>
    </w:rPr>
  </w:style>
  <w:style w:type="paragraph" w:customStyle="1" w:styleId="CarCharCharCharCharChar1">
    <w:name w:val="Car Char Char Char Char Char1"/>
    <w:basedOn w:val="Normlny"/>
    <w:rsid w:val="001B7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Normlnywebov8">
    <w:name w:val="Normálny (webový)8"/>
    <w:basedOn w:val="Normlny"/>
    <w:rsid w:val="001B7551"/>
    <w:pPr>
      <w:spacing w:before="90" w:after="90"/>
      <w:ind w:left="270" w:right="270"/>
    </w:pPr>
    <w:rPr>
      <w:sz w:val="22"/>
      <w:szCs w:val="22"/>
    </w:rPr>
  </w:style>
  <w:style w:type="paragraph" w:customStyle="1" w:styleId="Default">
    <w:name w:val="Default"/>
    <w:rsid w:val="001B75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B7551"/>
    <w:pPr>
      <w:widowControl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1B755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7551"/>
    <w:pPr>
      <w:widowControl/>
      <w:adjustRightInd/>
      <w:spacing w:after="160"/>
    </w:pPr>
    <w:rPr>
      <w:rFonts w:asciiTheme="minorHAnsi" w:hAnsiTheme="minorHAns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B7551"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75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B7551"/>
    <w:rPr>
      <w:rFonts w:ascii="Tahoma" w:hAnsi="Tahoma" w:cs="Tahoma"/>
      <w:sz w:val="16"/>
      <w:szCs w:val="16"/>
      <w:lang w:val="x-none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B7551"/>
    <w:rPr>
      <w:rFonts w:cs="Times New Roman"/>
      <w:color w:val="05507A"/>
      <w:u w:val="none"/>
      <w:effect w:val="none"/>
    </w:rPr>
  </w:style>
  <w:style w:type="character" w:styleId="PremennHTML">
    <w:name w:val="HTML Variable"/>
    <w:basedOn w:val="Predvolenpsmoodseku"/>
    <w:uiPriority w:val="99"/>
    <w:semiHidden/>
    <w:unhideWhenUsed/>
    <w:rsid w:val="001B7551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unhideWhenUsed/>
    <w:rsid w:val="001B7551"/>
    <w:pPr>
      <w:widowControl/>
      <w:adjustRightInd/>
      <w:spacing w:before="144" w:after="144"/>
    </w:pPr>
  </w:style>
  <w:style w:type="paragraph" w:styleId="Bezriadkovania">
    <w:name w:val="No Spacing"/>
    <w:uiPriority w:val="1"/>
    <w:qFormat/>
    <w:rsid w:val="001B7551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9950D2"/>
    <w:rPr>
      <w:rFonts w:ascii="EU Albertina" w:hAnsi="EU Albertina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9950D2"/>
    <w:rPr>
      <w:rFonts w:ascii="EU Albertina" w:hAnsi="EU Albertina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9950D2"/>
    <w:rPr>
      <w:rFonts w:ascii="EU Albertina" w:hAnsi="EU Albertina"/>
      <w:color w:val="auto"/>
      <w:lang w:eastAsia="en-US"/>
    </w:rPr>
  </w:style>
  <w:style w:type="character" w:customStyle="1" w:styleId="fontstyle01">
    <w:name w:val="fontstyle01"/>
    <w:basedOn w:val="Predvolenpsmoodseku"/>
    <w:rsid w:val="003110C9"/>
    <w:rPr>
      <w:rFonts w:ascii="TeXGyreBonumRegular" w:hAnsi="TeXGyreBonumRegular" w:cs="Times New Roman"/>
      <w:color w:val="000000"/>
      <w:sz w:val="20"/>
      <w:szCs w:val="20"/>
    </w:rPr>
  </w:style>
  <w:style w:type="character" w:styleId="Siln">
    <w:name w:val="Strong"/>
    <w:basedOn w:val="Predvolenpsmoodseku"/>
    <w:uiPriority w:val="22"/>
    <w:qFormat/>
    <w:rsid w:val="00A77DCB"/>
    <w:rPr>
      <w:rFonts w:cs="Times New Roman"/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F6756"/>
    <w:pPr>
      <w:spacing w:after="0"/>
    </w:pPr>
    <w:rPr>
      <w:rFonts w:ascii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F6756"/>
    <w:rPr>
      <w:rFonts w:ascii="Calibri" w:hAnsi="Calibri" w:cs="Calibri"/>
      <w:b/>
      <w:bCs/>
      <w:sz w:val="20"/>
      <w:szCs w:val="20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F3FCD"/>
    <w:pPr>
      <w:widowControl/>
      <w:adjustRightInd/>
    </w:pPr>
    <w:rPr>
      <w:rFonts w:ascii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F3FCD"/>
    <w:rPr>
      <w:rFonts w:ascii="Calibri" w:hAnsi="Calibri" w:cs="Calibri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F3FCD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0C53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C53D4"/>
    <w:rPr>
      <w:rFonts w:ascii="Times New Roman" w:hAnsi="Times New Roman" w:cs="Times New Roman"/>
      <w:sz w:val="24"/>
      <w:szCs w:val="24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7551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755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59B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755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qFormat/>
    <w:rsid w:val="001B7551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B7551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B59B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1B7551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1B7551"/>
    <w:rPr>
      <w:rFonts w:ascii="Times New Roman" w:hAnsi="Times New Roman" w:cs="Times New Roman"/>
      <w:b/>
      <w:bCs/>
      <w:lang w:val="x-none" w:eastAsia="sk-SK"/>
    </w:rPr>
  </w:style>
  <w:style w:type="paragraph" w:styleId="Zkladntext3">
    <w:name w:val="Body Text 3"/>
    <w:basedOn w:val="Normlny"/>
    <w:link w:val="Zkladntext3Char"/>
    <w:uiPriority w:val="99"/>
    <w:rsid w:val="001B7551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1B7551"/>
    <w:rPr>
      <w:rFonts w:ascii="Times New Roman" w:hAnsi="Times New Roman" w:cs="Times New Roman"/>
      <w:sz w:val="24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1B75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B7551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1B7551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1B7551"/>
    <w:rPr>
      <w:rFonts w:ascii="Times New Roman" w:hAnsi="Times New Roman" w:cs="Times New Roman"/>
      <w:sz w:val="20"/>
      <w:szCs w:val="20"/>
      <w:lang w:val="x-none" w:eastAsia="sk-SK"/>
    </w:rPr>
  </w:style>
  <w:style w:type="paragraph" w:customStyle="1" w:styleId="Normlny0">
    <w:name w:val="_Normálny"/>
    <w:basedOn w:val="Normlny"/>
    <w:rsid w:val="001B7551"/>
    <w:rPr>
      <w:sz w:val="20"/>
      <w:szCs w:val="20"/>
    </w:rPr>
  </w:style>
  <w:style w:type="paragraph" w:customStyle="1" w:styleId="CarCharCharCharCharChar1">
    <w:name w:val="Car Char Char Char Char Char1"/>
    <w:basedOn w:val="Normlny"/>
    <w:rsid w:val="001B7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Normlnywebov8">
    <w:name w:val="Normálny (webový)8"/>
    <w:basedOn w:val="Normlny"/>
    <w:rsid w:val="001B7551"/>
    <w:pPr>
      <w:spacing w:before="90" w:after="90"/>
      <w:ind w:left="270" w:right="270"/>
    </w:pPr>
    <w:rPr>
      <w:sz w:val="22"/>
      <w:szCs w:val="22"/>
    </w:rPr>
  </w:style>
  <w:style w:type="paragraph" w:customStyle="1" w:styleId="Default">
    <w:name w:val="Default"/>
    <w:rsid w:val="001B75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B7551"/>
    <w:pPr>
      <w:widowControl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1B755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7551"/>
    <w:pPr>
      <w:widowControl/>
      <w:adjustRightInd/>
      <w:spacing w:after="160"/>
    </w:pPr>
    <w:rPr>
      <w:rFonts w:asciiTheme="minorHAnsi" w:hAnsiTheme="minorHAns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B7551"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75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B7551"/>
    <w:rPr>
      <w:rFonts w:ascii="Tahoma" w:hAnsi="Tahoma" w:cs="Tahoma"/>
      <w:sz w:val="16"/>
      <w:szCs w:val="16"/>
      <w:lang w:val="x-none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B7551"/>
    <w:rPr>
      <w:rFonts w:cs="Times New Roman"/>
      <w:color w:val="05507A"/>
      <w:u w:val="none"/>
      <w:effect w:val="none"/>
    </w:rPr>
  </w:style>
  <w:style w:type="character" w:styleId="PremennHTML">
    <w:name w:val="HTML Variable"/>
    <w:basedOn w:val="Predvolenpsmoodseku"/>
    <w:uiPriority w:val="99"/>
    <w:semiHidden/>
    <w:unhideWhenUsed/>
    <w:rsid w:val="001B7551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unhideWhenUsed/>
    <w:rsid w:val="001B7551"/>
    <w:pPr>
      <w:widowControl/>
      <w:adjustRightInd/>
      <w:spacing w:before="144" w:after="144"/>
    </w:pPr>
  </w:style>
  <w:style w:type="paragraph" w:styleId="Bezriadkovania">
    <w:name w:val="No Spacing"/>
    <w:uiPriority w:val="1"/>
    <w:qFormat/>
    <w:rsid w:val="001B7551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9950D2"/>
    <w:rPr>
      <w:rFonts w:ascii="EU Albertina" w:hAnsi="EU Albertina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9950D2"/>
    <w:rPr>
      <w:rFonts w:ascii="EU Albertina" w:hAnsi="EU Albertina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9950D2"/>
    <w:rPr>
      <w:rFonts w:ascii="EU Albertina" w:hAnsi="EU Albertina"/>
      <w:color w:val="auto"/>
      <w:lang w:eastAsia="en-US"/>
    </w:rPr>
  </w:style>
  <w:style w:type="character" w:customStyle="1" w:styleId="fontstyle01">
    <w:name w:val="fontstyle01"/>
    <w:basedOn w:val="Predvolenpsmoodseku"/>
    <w:rsid w:val="003110C9"/>
    <w:rPr>
      <w:rFonts w:ascii="TeXGyreBonumRegular" w:hAnsi="TeXGyreBonumRegular" w:cs="Times New Roman"/>
      <w:color w:val="000000"/>
      <w:sz w:val="20"/>
      <w:szCs w:val="20"/>
    </w:rPr>
  </w:style>
  <w:style w:type="character" w:styleId="Siln">
    <w:name w:val="Strong"/>
    <w:basedOn w:val="Predvolenpsmoodseku"/>
    <w:uiPriority w:val="22"/>
    <w:qFormat/>
    <w:rsid w:val="00A77DCB"/>
    <w:rPr>
      <w:rFonts w:cs="Times New Roman"/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F6756"/>
    <w:pPr>
      <w:spacing w:after="0"/>
    </w:pPr>
    <w:rPr>
      <w:rFonts w:ascii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F6756"/>
    <w:rPr>
      <w:rFonts w:ascii="Calibri" w:hAnsi="Calibri" w:cs="Calibri"/>
      <w:b/>
      <w:bCs/>
      <w:sz w:val="20"/>
      <w:szCs w:val="20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F3FCD"/>
    <w:pPr>
      <w:widowControl/>
      <w:adjustRightInd/>
    </w:pPr>
    <w:rPr>
      <w:rFonts w:ascii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F3FCD"/>
    <w:rPr>
      <w:rFonts w:ascii="Calibri" w:hAnsi="Calibri" w:cs="Calibri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F3FCD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0C53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C53D4"/>
    <w:rPr>
      <w:rFonts w:ascii="Times New Roman" w:hAnsi="Times New Roman" w:cs="Times New Roman"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3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380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379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9381">
          <w:marLeft w:val="0"/>
          <w:marRight w:val="0"/>
          <w:marTop w:val="2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37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38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F0E4-E535-4982-8166-9CC0DC2E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Beník</dc:creator>
  <cp:lastModifiedBy>Administrator</cp:lastModifiedBy>
  <cp:revision>2</cp:revision>
  <cp:lastPrinted>2020-04-28T08:42:00Z</cp:lastPrinted>
  <dcterms:created xsi:type="dcterms:W3CDTF">2021-12-10T10:31:00Z</dcterms:created>
  <dcterms:modified xsi:type="dcterms:W3CDTF">2021-12-10T10:31:00Z</dcterms:modified>
</cp:coreProperties>
</file>