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43" w:tblpY="1"/>
        <w:tblOverlap w:val="never"/>
        <w:tblW w:w="15489"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52"/>
        <w:gridCol w:w="4111"/>
        <w:gridCol w:w="709"/>
        <w:gridCol w:w="850"/>
        <w:gridCol w:w="709"/>
        <w:gridCol w:w="6520"/>
        <w:gridCol w:w="567"/>
        <w:gridCol w:w="1271"/>
      </w:tblGrid>
      <w:tr w:rsidR="001B7551" w:rsidRPr="001902B7" w:rsidTr="00F8230C">
        <w:trPr>
          <w:trHeight w:val="538"/>
        </w:trPr>
        <w:tc>
          <w:tcPr>
            <w:tcW w:w="15489" w:type="dxa"/>
            <w:gridSpan w:val="8"/>
            <w:tcBorders>
              <w:top w:val="single" w:sz="12" w:space="0" w:color="auto"/>
              <w:left w:val="single" w:sz="12" w:space="0" w:color="auto"/>
              <w:bottom w:val="single" w:sz="4" w:space="0" w:color="auto"/>
              <w:right w:val="single" w:sz="12" w:space="0" w:color="auto"/>
            </w:tcBorders>
          </w:tcPr>
          <w:p w:rsidR="001B7551" w:rsidRPr="001902B7" w:rsidRDefault="001B7551" w:rsidP="00026812">
            <w:pPr>
              <w:pStyle w:val="Nadpis1"/>
              <w:widowControl/>
              <w:contextualSpacing/>
              <w:rPr>
                <w:sz w:val="20"/>
                <w:szCs w:val="20"/>
              </w:rPr>
            </w:pPr>
            <w:bookmarkStart w:id="0" w:name="_GoBack"/>
            <w:bookmarkEnd w:id="0"/>
            <w:r w:rsidRPr="001902B7">
              <w:rPr>
                <w:sz w:val="20"/>
                <w:szCs w:val="20"/>
              </w:rPr>
              <w:t>TABUĽKA  ZHODY</w:t>
            </w:r>
          </w:p>
          <w:p w:rsidR="001B7551" w:rsidRPr="001902B7" w:rsidRDefault="0013370F" w:rsidP="00F8230C">
            <w:pPr>
              <w:contextualSpacing/>
              <w:rPr>
                <w:b/>
                <w:sz w:val="20"/>
                <w:szCs w:val="20"/>
              </w:rPr>
            </w:pPr>
            <w:r w:rsidRPr="001902B7">
              <w:rPr>
                <w:sz w:val="20"/>
                <w:szCs w:val="20"/>
              </w:rPr>
              <w:t xml:space="preserve">                                                                                       </w:t>
            </w:r>
            <w:r w:rsidRPr="001902B7">
              <w:rPr>
                <w:b/>
                <w:sz w:val="20"/>
                <w:szCs w:val="20"/>
              </w:rPr>
              <w:t>návrhu zákona</w:t>
            </w:r>
            <w:r w:rsidR="001B7551" w:rsidRPr="001902B7">
              <w:rPr>
                <w:sz w:val="20"/>
                <w:szCs w:val="20"/>
              </w:rPr>
              <w:t xml:space="preserve"> </w:t>
            </w:r>
            <w:r w:rsidRPr="001902B7">
              <w:rPr>
                <w:b/>
                <w:sz w:val="20"/>
                <w:szCs w:val="20"/>
              </w:rPr>
              <w:t>o centrálnom registri účtov a o zmene a doplnení niektorých zákonov</w:t>
            </w:r>
            <w:r w:rsidR="00F8230C">
              <w:rPr>
                <w:b/>
                <w:sz w:val="20"/>
                <w:szCs w:val="20"/>
              </w:rPr>
              <w:t xml:space="preserve"> s právom Európskej únie</w:t>
            </w:r>
          </w:p>
        </w:tc>
      </w:tr>
      <w:tr w:rsidR="001B7551" w:rsidRPr="001902B7" w:rsidTr="00AF7DD5">
        <w:trPr>
          <w:trHeight w:val="567"/>
        </w:trPr>
        <w:tc>
          <w:tcPr>
            <w:tcW w:w="5572" w:type="dxa"/>
            <w:gridSpan w:val="3"/>
            <w:tcBorders>
              <w:top w:val="single" w:sz="4" w:space="0" w:color="auto"/>
              <w:left w:val="single" w:sz="12" w:space="0" w:color="auto"/>
              <w:bottom w:val="single" w:sz="4" w:space="0" w:color="auto"/>
              <w:right w:val="single" w:sz="12" w:space="0" w:color="auto"/>
            </w:tcBorders>
          </w:tcPr>
          <w:p w:rsidR="001B7551" w:rsidRPr="001902B7" w:rsidRDefault="00333042" w:rsidP="00605703">
            <w:pPr>
              <w:pStyle w:val="Zkladntext3"/>
              <w:widowControl/>
              <w:spacing w:line="240" w:lineRule="auto"/>
              <w:contextualSpacing/>
              <w:rPr>
                <w:sz w:val="20"/>
                <w:szCs w:val="20"/>
              </w:rPr>
            </w:pPr>
            <w:r w:rsidRPr="001902B7">
              <w:rPr>
                <w:b/>
                <w:bCs/>
                <w:sz w:val="20"/>
                <w:szCs w:val="20"/>
              </w:rPr>
              <w:t xml:space="preserve">Smernica Európskeho parlamentu a </w:t>
            </w:r>
            <w:r w:rsidR="00605703">
              <w:rPr>
                <w:b/>
                <w:bCs/>
                <w:sz w:val="20"/>
                <w:szCs w:val="20"/>
              </w:rPr>
              <w:t>R</w:t>
            </w:r>
            <w:r w:rsidRPr="001902B7">
              <w:rPr>
                <w:b/>
                <w:bCs/>
                <w:sz w:val="20"/>
                <w:szCs w:val="20"/>
              </w:rPr>
              <w:t xml:space="preserve">ady (EÚ) </w:t>
            </w:r>
            <w:r w:rsidR="00F22059">
              <w:rPr>
                <w:b/>
                <w:bCs/>
                <w:sz w:val="20"/>
                <w:szCs w:val="20"/>
              </w:rPr>
              <w:t>2015/849</w:t>
            </w:r>
            <w:r w:rsidRPr="001902B7">
              <w:rPr>
                <w:b/>
                <w:bCs/>
                <w:sz w:val="20"/>
                <w:szCs w:val="20"/>
              </w:rPr>
              <w:t xml:space="preserve"> z</w:t>
            </w:r>
            <w:r w:rsidR="00F22059">
              <w:rPr>
                <w:b/>
                <w:bCs/>
                <w:sz w:val="20"/>
                <w:szCs w:val="20"/>
              </w:rPr>
              <w:t> 20. mája 2015</w:t>
            </w:r>
            <w:r w:rsidRPr="001902B7">
              <w:rPr>
                <w:b/>
                <w:bCs/>
                <w:sz w:val="20"/>
                <w:szCs w:val="20"/>
              </w:rPr>
              <w:t xml:space="preserve"> </w:t>
            </w:r>
            <w:r w:rsidR="00F22059" w:rsidRPr="00F22059">
              <w:rPr>
                <w:b/>
                <w:bCs/>
                <w:sz w:val="20"/>
                <w:szCs w:val="20"/>
              </w:rPr>
              <w:t>o predchádzaní využívaniu finančného systému na účely prania špinavých peňazí alebo financovania terorizmu, ktorou sa mení nariadenie Európskeho parlamentu a Rady (EÚ) č. 648/2012 a zrušuje smernica  Európskeho parlamentu a Rady 2005/60/ES a smernica  Komisie 2006/70/ES</w:t>
            </w:r>
            <w:r w:rsidR="00013E54">
              <w:rPr>
                <w:b/>
                <w:bCs/>
                <w:sz w:val="20"/>
                <w:szCs w:val="20"/>
              </w:rPr>
              <w:t xml:space="preserve"> (Ú. v. EÚ L 141, 5. 6. 2015)</w:t>
            </w:r>
            <w:r w:rsidR="00611584">
              <w:rPr>
                <w:b/>
                <w:bCs/>
                <w:sz w:val="20"/>
                <w:szCs w:val="20"/>
              </w:rPr>
              <w:t xml:space="preserve"> </w:t>
            </w:r>
            <w:r w:rsidR="00611584">
              <w:t xml:space="preserve"> </w:t>
            </w:r>
            <w:r w:rsidR="00611584" w:rsidRPr="00611584">
              <w:rPr>
                <w:b/>
                <w:bCs/>
                <w:sz w:val="20"/>
                <w:szCs w:val="20"/>
              </w:rPr>
              <w:t>v znení smernice Európskeho parlamentu a Rady (EÚ) 2018/843 z 30. mája 2018 (Ú. v. EÚ L 156, 19. 6. 2018)</w:t>
            </w:r>
          </w:p>
        </w:tc>
        <w:tc>
          <w:tcPr>
            <w:tcW w:w="9917" w:type="dxa"/>
            <w:gridSpan w:val="5"/>
            <w:tcBorders>
              <w:top w:val="single" w:sz="4" w:space="0" w:color="auto"/>
              <w:left w:val="nil"/>
              <w:bottom w:val="single" w:sz="4" w:space="0" w:color="auto"/>
              <w:right w:val="single" w:sz="12" w:space="0" w:color="auto"/>
            </w:tcBorders>
          </w:tcPr>
          <w:p w:rsidR="001B7551" w:rsidRPr="001902B7" w:rsidRDefault="001B7551" w:rsidP="00026812">
            <w:pPr>
              <w:pStyle w:val="Nadpis4"/>
              <w:widowControl/>
              <w:contextualSpacing/>
              <w:rPr>
                <w:sz w:val="20"/>
                <w:szCs w:val="20"/>
              </w:rPr>
            </w:pPr>
            <w:r w:rsidRPr="001902B7">
              <w:rPr>
                <w:sz w:val="20"/>
                <w:szCs w:val="20"/>
              </w:rPr>
              <w:t>Právne predpisy Slovenskej republiky</w:t>
            </w:r>
          </w:p>
          <w:p w:rsidR="0013370F" w:rsidRPr="001902B7" w:rsidRDefault="0013370F" w:rsidP="00026812">
            <w:pPr>
              <w:contextualSpacing/>
              <w:rPr>
                <w:sz w:val="20"/>
                <w:szCs w:val="20"/>
              </w:rPr>
            </w:pPr>
          </w:p>
          <w:p w:rsidR="001B7551" w:rsidRPr="00DE3193" w:rsidRDefault="0013370F" w:rsidP="00B95AE2">
            <w:pPr>
              <w:pStyle w:val="Zarkazkladnhotextu"/>
              <w:widowControl/>
              <w:numPr>
                <w:ilvl w:val="0"/>
                <w:numId w:val="1"/>
              </w:numPr>
              <w:tabs>
                <w:tab w:val="clear" w:pos="360"/>
                <w:tab w:val="left" w:pos="3402"/>
                <w:tab w:val="left" w:pos="3686"/>
              </w:tabs>
              <w:spacing w:after="0"/>
              <w:ind w:left="240" w:hanging="240"/>
              <w:contextualSpacing/>
              <w:jc w:val="both"/>
            </w:pPr>
            <w:r w:rsidRPr="001902B7">
              <w:t xml:space="preserve">zákon č. 297/2008 Z. z. o ochrane pred legalizáciou príjmov z trestnej činnosti  a o ochrane pred financovaním terorizmu </w:t>
            </w:r>
            <w:r w:rsidRPr="001902B7">
              <w:rPr>
                <w:bCs/>
              </w:rPr>
              <w:t>a o zmene a doplnení niektorých zákonov v znení neskorších predpisov</w:t>
            </w:r>
            <w:r w:rsidR="00F8230C">
              <w:rPr>
                <w:bCs/>
              </w:rPr>
              <w:t xml:space="preserve"> (ďalej len „zákon č. 297/2008 Z. z.“)</w:t>
            </w:r>
          </w:p>
          <w:p w:rsidR="00DE3193" w:rsidRPr="00013E54" w:rsidRDefault="00DE3193" w:rsidP="00B95AE2">
            <w:pPr>
              <w:pStyle w:val="Zarkazkladnhotextu"/>
              <w:widowControl/>
              <w:numPr>
                <w:ilvl w:val="0"/>
                <w:numId w:val="1"/>
              </w:numPr>
              <w:tabs>
                <w:tab w:val="clear" w:pos="360"/>
                <w:tab w:val="left" w:pos="3402"/>
                <w:tab w:val="left" w:pos="3686"/>
              </w:tabs>
              <w:spacing w:after="0"/>
              <w:ind w:left="240" w:hanging="240"/>
              <w:contextualSpacing/>
              <w:jc w:val="both"/>
            </w:pPr>
            <w:r>
              <w:t xml:space="preserve">čl. IV návrhu zákona </w:t>
            </w:r>
            <w:r w:rsidRPr="00F8230C">
              <w:t>o centrálnom registri účtov a o zmene a doplnení niektorých zákonov</w:t>
            </w:r>
            <w:r>
              <w:t xml:space="preserve"> (ďalej len „návrh zákona“)</w:t>
            </w:r>
          </w:p>
        </w:tc>
      </w:tr>
      <w:tr w:rsidR="001B7551" w:rsidRPr="001902B7" w:rsidTr="00AF7DD5">
        <w:tc>
          <w:tcPr>
            <w:tcW w:w="752" w:type="dxa"/>
            <w:tcBorders>
              <w:top w:val="single" w:sz="4" w:space="0" w:color="auto"/>
              <w:left w:val="single" w:sz="12" w:space="0" w:color="auto"/>
              <w:bottom w:val="single" w:sz="4" w:space="0" w:color="auto"/>
              <w:right w:val="single" w:sz="4" w:space="0" w:color="auto"/>
            </w:tcBorders>
          </w:tcPr>
          <w:p w:rsidR="001B7551" w:rsidRPr="001902B7" w:rsidRDefault="001B7551" w:rsidP="00026812">
            <w:pPr>
              <w:widowControl/>
              <w:contextualSpacing/>
              <w:jc w:val="center"/>
              <w:rPr>
                <w:sz w:val="20"/>
                <w:szCs w:val="20"/>
              </w:rPr>
            </w:pPr>
            <w:r w:rsidRPr="001902B7">
              <w:rPr>
                <w:sz w:val="20"/>
                <w:szCs w:val="20"/>
              </w:rPr>
              <w:t>1</w:t>
            </w:r>
          </w:p>
        </w:tc>
        <w:tc>
          <w:tcPr>
            <w:tcW w:w="4111"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widowControl/>
              <w:contextualSpacing/>
              <w:jc w:val="center"/>
              <w:rPr>
                <w:sz w:val="20"/>
                <w:szCs w:val="20"/>
              </w:rPr>
            </w:pPr>
            <w:r w:rsidRPr="001902B7">
              <w:rPr>
                <w:sz w:val="20"/>
                <w:szCs w:val="20"/>
              </w:rPr>
              <w:t>2</w:t>
            </w:r>
          </w:p>
        </w:tc>
        <w:tc>
          <w:tcPr>
            <w:tcW w:w="709" w:type="dxa"/>
            <w:tcBorders>
              <w:top w:val="single" w:sz="4" w:space="0" w:color="auto"/>
              <w:left w:val="single" w:sz="4" w:space="0" w:color="auto"/>
              <w:bottom w:val="single" w:sz="4" w:space="0" w:color="auto"/>
              <w:right w:val="single" w:sz="12" w:space="0" w:color="auto"/>
            </w:tcBorders>
          </w:tcPr>
          <w:p w:rsidR="001B7551" w:rsidRPr="001902B7" w:rsidRDefault="001B7551" w:rsidP="00026812">
            <w:pPr>
              <w:widowControl/>
              <w:contextualSpacing/>
              <w:jc w:val="center"/>
              <w:rPr>
                <w:sz w:val="20"/>
                <w:szCs w:val="20"/>
              </w:rPr>
            </w:pPr>
            <w:r w:rsidRPr="001902B7">
              <w:rPr>
                <w:sz w:val="20"/>
                <w:szCs w:val="20"/>
              </w:rPr>
              <w:t>3</w:t>
            </w:r>
          </w:p>
        </w:tc>
        <w:tc>
          <w:tcPr>
            <w:tcW w:w="850" w:type="dxa"/>
            <w:tcBorders>
              <w:top w:val="single" w:sz="4" w:space="0" w:color="auto"/>
              <w:left w:val="nil"/>
              <w:bottom w:val="single" w:sz="4" w:space="0" w:color="auto"/>
              <w:right w:val="single" w:sz="4" w:space="0" w:color="auto"/>
            </w:tcBorders>
          </w:tcPr>
          <w:p w:rsidR="001B7551" w:rsidRPr="001902B7" w:rsidRDefault="001B7551" w:rsidP="00026812">
            <w:pPr>
              <w:widowControl/>
              <w:contextualSpacing/>
              <w:jc w:val="center"/>
              <w:rPr>
                <w:sz w:val="20"/>
                <w:szCs w:val="20"/>
              </w:rPr>
            </w:pPr>
            <w:r w:rsidRPr="001902B7">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pStyle w:val="Zarkazkladnhotextu"/>
              <w:widowControl/>
              <w:spacing w:after="0"/>
              <w:ind w:left="0"/>
              <w:contextualSpacing/>
              <w:jc w:val="center"/>
            </w:pPr>
            <w:r w:rsidRPr="001902B7">
              <w:t>5</w:t>
            </w:r>
          </w:p>
        </w:tc>
        <w:tc>
          <w:tcPr>
            <w:tcW w:w="6520"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pStyle w:val="Zarkazkladnhotextu"/>
              <w:widowControl/>
              <w:spacing w:after="0"/>
              <w:ind w:left="0"/>
              <w:contextualSpacing/>
              <w:jc w:val="center"/>
            </w:pPr>
            <w:r w:rsidRPr="001902B7">
              <w:t>6</w:t>
            </w:r>
          </w:p>
        </w:tc>
        <w:tc>
          <w:tcPr>
            <w:tcW w:w="567"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widowControl/>
              <w:contextualSpacing/>
              <w:jc w:val="center"/>
              <w:rPr>
                <w:sz w:val="20"/>
                <w:szCs w:val="20"/>
              </w:rPr>
            </w:pPr>
            <w:r w:rsidRPr="001902B7">
              <w:rPr>
                <w:sz w:val="20"/>
                <w:szCs w:val="20"/>
              </w:rPr>
              <w:t>7</w:t>
            </w:r>
          </w:p>
        </w:tc>
        <w:tc>
          <w:tcPr>
            <w:tcW w:w="1271" w:type="dxa"/>
            <w:tcBorders>
              <w:top w:val="single" w:sz="4" w:space="0" w:color="auto"/>
              <w:left w:val="single" w:sz="4" w:space="0" w:color="auto"/>
              <w:bottom w:val="single" w:sz="4" w:space="0" w:color="auto"/>
            </w:tcBorders>
          </w:tcPr>
          <w:p w:rsidR="001B7551" w:rsidRPr="001902B7" w:rsidRDefault="001B7551" w:rsidP="00026812">
            <w:pPr>
              <w:widowControl/>
              <w:contextualSpacing/>
              <w:jc w:val="center"/>
              <w:rPr>
                <w:sz w:val="20"/>
                <w:szCs w:val="20"/>
              </w:rPr>
            </w:pPr>
            <w:r w:rsidRPr="001902B7">
              <w:rPr>
                <w:sz w:val="20"/>
                <w:szCs w:val="20"/>
              </w:rPr>
              <w:t>8</w:t>
            </w:r>
          </w:p>
        </w:tc>
      </w:tr>
      <w:tr w:rsidR="001B7551" w:rsidRPr="001902B7" w:rsidTr="00AF7DD5">
        <w:tc>
          <w:tcPr>
            <w:tcW w:w="752" w:type="dxa"/>
            <w:tcBorders>
              <w:top w:val="single" w:sz="4" w:space="0" w:color="auto"/>
              <w:left w:val="single" w:sz="12" w:space="0" w:color="auto"/>
              <w:bottom w:val="single" w:sz="4" w:space="0" w:color="auto"/>
              <w:right w:val="single" w:sz="4" w:space="0" w:color="auto"/>
            </w:tcBorders>
          </w:tcPr>
          <w:p w:rsidR="001B7551" w:rsidRPr="001902B7" w:rsidRDefault="001B7551" w:rsidP="00B95AE2">
            <w:pPr>
              <w:pStyle w:val="Normlny0"/>
              <w:widowControl/>
              <w:contextualSpacing/>
              <w:jc w:val="center"/>
            </w:pPr>
            <w:r w:rsidRPr="001902B7">
              <w:t>Článok</w:t>
            </w:r>
          </w:p>
          <w:p w:rsidR="001B7551" w:rsidRPr="001902B7" w:rsidRDefault="00333042" w:rsidP="00B95AE2">
            <w:pPr>
              <w:pStyle w:val="Normlny0"/>
              <w:widowControl/>
              <w:contextualSpacing/>
              <w:jc w:val="center"/>
            </w:pPr>
            <w:r w:rsidRPr="001902B7">
              <w:t>(Č, O, B, V, P)</w:t>
            </w:r>
          </w:p>
        </w:tc>
        <w:tc>
          <w:tcPr>
            <w:tcW w:w="4111"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pStyle w:val="Normlny0"/>
              <w:widowControl/>
              <w:contextualSpacing/>
              <w:jc w:val="center"/>
            </w:pPr>
            <w:r w:rsidRPr="001902B7">
              <w:t>Text</w:t>
            </w:r>
          </w:p>
        </w:tc>
        <w:tc>
          <w:tcPr>
            <w:tcW w:w="709" w:type="dxa"/>
            <w:tcBorders>
              <w:top w:val="single" w:sz="4" w:space="0" w:color="auto"/>
              <w:left w:val="single" w:sz="4" w:space="0" w:color="auto"/>
              <w:bottom w:val="single" w:sz="4" w:space="0" w:color="auto"/>
              <w:right w:val="single" w:sz="12" w:space="0" w:color="auto"/>
            </w:tcBorders>
          </w:tcPr>
          <w:p w:rsidR="001B7551" w:rsidRPr="001902B7" w:rsidRDefault="001B7551" w:rsidP="00026812">
            <w:pPr>
              <w:pStyle w:val="Normlny0"/>
              <w:widowControl/>
              <w:contextualSpacing/>
              <w:jc w:val="center"/>
            </w:pPr>
            <w:r w:rsidRPr="001902B7">
              <w:t>Spôsob transp.</w:t>
            </w:r>
          </w:p>
          <w:p w:rsidR="001B7551" w:rsidRPr="001902B7" w:rsidRDefault="001B7551" w:rsidP="00026812">
            <w:pPr>
              <w:pStyle w:val="Normlny0"/>
              <w:widowControl/>
              <w:contextualSpacing/>
              <w:jc w:val="center"/>
            </w:pPr>
            <w:r w:rsidRPr="001902B7">
              <w:t>(N, O, D, n.a.)</w:t>
            </w:r>
          </w:p>
        </w:tc>
        <w:tc>
          <w:tcPr>
            <w:tcW w:w="850" w:type="dxa"/>
            <w:tcBorders>
              <w:top w:val="single" w:sz="4" w:space="0" w:color="auto"/>
              <w:left w:val="nil"/>
              <w:bottom w:val="single" w:sz="4" w:space="0" w:color="auto"/>
              <w:right w:val="single" w:sz="4" w:space="0" w:color="auto"/>
            </w:tcBorders>
          </w:tcPr>
          <w:p w:rsidR="001B7551" w:rsidRPr="001902B7" w:rsidRDefault="001B7551" w:rsidP="00026812">
            <w:pPr>
              <w:pStyle w:val="Normlny0"/>
              <w:widowControl/>
              <w:contextualSpacing/>
              <w:jc w:val="center"/>
            </w:pPr>
            <w:r w:rsidRPr="001902B7">
              <w:t>Číslo</w:t>
            </w:r>
          </w:p>
        </w:tc>
        <w:tc>
          <w:tcPr>
            <w:tcW w:w="709"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pStyle w:val="Normlny0"/>
              <w:widowControl/>
              <w:contextualSpacing/>
              <w:jc w:val="center"/>
            </w:pPr>
            <w:r w:rsidRPr="001902B7">
              <w:t>Článok (Č, §, O, V, P)</w:t>
            </w:r>
          </w:p>
        </w:tc>
        <w:tc>
          <w:tcPr>
            <w:tcW w:w="6520" w:type="dxa"/>
            <w:tcBorders>
              <w:top w:val="single" w:sz="4" w:space="0" w:color="auto"/>
              <w:left w:val="single" w:sz="4" w:space="0" w:color="auto"/>
              <w:bottom w:val="single" w:sz="4" w:space="0" w:color="auto"/>
              <w:right w:val="single" w:sz="4" w:space="0" w:color="auto"/>
            </w:tcBorders>
          </w:tcPr>
          <w:p w:rsidR="001B7551" w:rsidRPr="001902B7" w:rsidRDefault="001B7551" w:rsidP="00026812">
            <w:pPr>
              <w:pStyle w:val="Normlny0"/>
              <w:widowControl/>
              <w:contextualSpacing/>
              <w:jc w:val="center"/>
            </w:pPr>
            <w:r w:rsidRPr="001902B7">
              <w:t>Text</w:t>
            </w:r>
          </w:p>
        </w:tc>
        <w:tc>
          <w:tcPr>
            <w:tcW w:w="567" w:type="dxa"/>
            <w:tcBorders>
              <w:top w:val="single" w:sz="4" w:space="0" w:color="auto"/>
              <w:left w:val="single" w:sz="4" w:space="0" w:color="auto"/>
              <w:bottom w:val="single" w:sz="4" w:space="0" w:color="auto"/>
              <w:right w:val="single" w:sz="4" w:space="0" w:color="auto"/>
            </w:tcBorders>
          </w:tcPr>
          <w:p w:rsidR="001B7551" w:rsidRPr="001902B7" w:rsidRDefault="001B7551" w:rsidP="00AF7DD5">
            <w:pPr>
              <w:pStyle w:val="Normlny0"/>
              <w:widowControl/>
              <w:ind w:left="-41" w:right="-38"/>
              <w:contextualSpacing/>
              <w:jc w:val="center"/>
            </w:pPr>
            <w:r w:rsidRPr="001902B7">
              <w:t>Zhoda</w:t>
            </w:r>
          </w:p>
        </w:tc>
        <w:tc>
          <w:tcPr>
            <w:tcW w:w="1271" w:type="dxa"/>
            <w:tcBorders>
              <w:top w:val="single" w:sz="4" w:space="0" w:color="auto"/>
              <w:left w:val="single" w:sz="4" w:space="0" w:color="auto"/>
              <w:bottom w:val="single" w:sz="4" w:space="0" w:color="auto"/>
            </w:tcBorders>
          </w:tcPr>
          <w:p w:rsidR="001B7551" w:rsidRPr="001902B7" w:rsidRDefault="001B7551" w:rsidP="00026812">
            <w:pPr>
              <w:pStyle w:val="Normlny0"/>
              <w:widowControl/>
              <w:contextualSpacing/>
              <w:jc w:val="center"/>
            </w:pPr>
            <w:r w:rsidRPr="001902B7">
              <w:t>Poznámky</w:t>
            </w:r>
          </w:p>
          <w:p w:rsidR="001B7551" w:rsidRPr="001902B7" w:rsidRDefault="001B7551" w:rsidP="00026812">
            <w:pPr>
              <w:pStyle w:val="Normlny0"/>
              <w:widowControl/>
              <w:contextualSpacing/>
            </w:pPr>
          </w:p>
        </w:tc>
      </w:tr>
      <w:tr w:rsidR="00333042" w:rsidRPr="001902B7" w:rsidTr="00AF7DD5">
        <w:tc>
          <w:tcPr>
            <w:tcW w:w="752" w:type="dxa"/>
            <w:tcBorders>
              <w:top w:val="single" w:sz="4" w:space="0" w:color="auto"/>
              <w:left w:val="single" w:sz="12" w:space="0" w:color="auto"/>
              <w:bottom w:val="single" w:sz="4" w:space="0" w:color="auto"/>
              <w:right w:val="single" w:sz="4" w:space="0" w:color="auto"/>
            </w:tcBorders>
          </w:tcPr>
          <w:p w:rsidR="00333042" w:rsidRPr="001902B7" w:rsidRDefault="00F22059" w:rsidP="00B95AE2">
            <w:pPr>
              <w:contextualSpacing/>
              <w:jc w:val="center"/>
              <w:rPr>
                <w:sz w:val="20"/>
                <w:szCs w:val="20"/>
              </w:rPr>
            </w:pPr>
            <w:r>
              <w:rPr>
                <w:sz w:val="20"/>
                <w:szCs w:val="20"/>
              </w:rPr>
              <w:t>Č: 15</w:t>
            </w:r>
          </w:p>
          <w:p w:rsidR="00333042" w:rsidRPr="001902B7" w:rsidRDefault="00F22059" w:rsidP="00B95AE2">
            <w:pPr>
              <w:contextualSpacing/>
              <w:jc w:val="center"/>
              <w:rPr>
                <w:sz w:val="20"/>
                <w:szCs w:val="20"/>
              </w:rPr>
            </w:pPr>
            <w:r>
              <w:rPr>
                <w:sz w:val="20"/>
                <w:szCs w:val="20"/>
              </w:rPr>
              <w:t>O: 3</w:t>
            </w:r>
          </w:p>
        </w:tc>
        <w:tc>
          <w:tcPr>
            <w:tcW w:w="4111" w:type="dxa"/>
            <w:tcBorders>
              <w:top w:val="single" w:sz="4" w:space="0" w:color="auto"/>
              <w:left w:val="single" w:sz="4" w:space="0" w:color="auto"/>
              <w:bottom w:val="single" w:sz="4" w:space="0" w:color="auto"/>
              <w:right w:val="single" w:sz="4" w:space="0" w:color="auto"/>
            </w:tcBorders>
          </w:tcPr>
          <w:p w:rsidR="00333042" w:rsidRPr="001902B7" w:rsidRDefault="00F22059" w:rsidP="00AF7DD5">
            <w:pPr>
              <w:pStyle w:val="Normlny0"/>
              <w:widowControl/>
              <w:contextualSpacing/>
              <w:jc w:val="both"/>
            </w:pPr>
            <w:r>
              <w:t>Čl</w:t>
            </w:r>
            <w:r w:rsidRPr="00F22059">
              <w:t>enské štáty zabezpečia, aby povinné  subjekty vykonávali dostatočné  monitorovanie transakcií a obchodných vzťahov, aby bolo možné odhaliť neobvyklé alebo podozrivé transakcie.</w:t>
            </w:r>
          </w:p>
        </w:tc>
        <w:tc>
          <w:tcPr>
            <w:tcW w:w="709" w:type="dxa"/>
            <w:tcBorders>
              <w:top w:val="single" w:sz="4" w:space="0" w:color="auto"/>
              <w:left w:val="single" w:sz="4" w:space="0" w:color="auto"/>
              <w:bottom w:val="single" w:sz="4" w:space="0" w:color="auto"/>
              <w:right w:val="single" w:sz="12" w:space="0" w:color="auto"/>
            </w:tcBorders>
          </w:tcPr>
          <w:p w:rsidR="00333042" w:rsidRPr="001902B7" w:rsidRDefault="00F22059" w:rsidP="00026812">
            <w:pPr>
              <w:widowControl/>
              <w:contextualSpacing/>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33042" w:rsidRPr="001902B7" w:rsidRDefault="00F8230C" w:rsidP="00F8230C">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AF7DD5" w:rsidRDefault="00AF7DD5" w:rsidP="00026812">
            <w:pPr>
              <w:pStyle w:val="Normlny0"/>
              <w:widowControl/>
              <w:contextualSpacing/>
              <w:jc w:val="center"/>
            </w:pPr>
            <w:r>
              <w:t xml:space="preserve">§ 11 </w:t>
            </w:r>
          </w:p>
          <w:p w:rsidR="00F8230C" w:rsidRDefault="00AF7DD5" w:rsidP="00026812">
            <w:pPr>
              <w:pStyle w:val="Normlny0"/>
              <w:widowControl/>
              <w:contextualSpacing/>
              <w:jc w:val="center"/>
            </w:pPr>
            <w:r>
              <w:t>O: 4</w:t>
            </w:r>
          </w:p>
          <w:p w:rsidR="00F22059" w:rsidRPr="001902B7" w:rsidRDefault="00F22059" w:rsidP="00026812">
            <w:pPr>
              <w:pStyle w:val="Normlny0"/>
              <w:widowControl/>
              <w:contextualSpacing/>
              <w:jc w:val="center"/>
            </w:pPr>
          </w:p>
        </w:tc>
        <w:tc>
          <w:tcPr>
            <w:tcW w:w="6520" w:type="dxa"/>
            <w:tcBorders>
              <w:top w:val="single" w:sz="4" w:space="0" w:color="auto"/>
              <w:left w:val="single" w:sz="4" w:space="0" w:color="auto"/>
              <w:bottom w:val="single" w:sz="4" w:space="0" w:color="auto"/>
              <w:right w:val="single" w:sz="4" w:space="0" w:color="auto"/>
            </w:tcBorders>
          </w:tcPr>
          <w:p w:rsidR="00333042" w:rsidRPr="001902B7" w:rsidRDefault="00F22059" w:rsidP="00026812">
            <w:pPr>
              <w:pStyle w:val="Normlny0"/>
              <w:widowControl/>
              <w:contextualSpacing/>
              <w:jc w:val="both"/>
            </w:pPr>
            <w:r w:rsidRPr="00F22059">
              <w:t>Povinná osoba je povinná vykonávať monitorovanie obchodov alebo obchodných vzťahov tak, aby bolo možné zist</w:t>
            </w:r>
            <w:r>
              <w:t>iť neobvyklú obchodnú operáciu.</w:t>
            </w: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5566B4" w:rsidP="00026812">
            <w:pPr>
              <w:widowControl/>
              <w:contextualSpacing/>
              <w:jc w:val="center"/>
              <w:rPr>
                <w:sz w:val="20"/>
                <w:szCs w:val="20"/>
              </w:rPr>
            </w:pPr>
            <w:r>
              <w:rPr>
                <w:sz w:val="20"/>
                <w:szCs w:val="20"/>
              </w:rPr>
              <w:t>Ú</w:t>
            </w:r>
          </w:p>
        </w:tc>
        <w:tc>
          <w:tcPr>
            <w:tcW w:w="1271" w:type="dxa"/>
            <w:tcBorders>
              <w:top w:val="single" w:sz="4" w:space="0" w:color="auto"/>
              <w:left w:val="single" w:sz="4" w:space="0" w:color="auto"/>
              <w:bottom w:val="single" w:sz="4" w:space="0" w:color="auto"/>
            </w:tcBorders>
          </w:tcPr>
          <w:p w:rsidR="00333042" w:rsidRPr="001902B7" w:rsidRDefault="00333042" w:rsidP="00026812">
            <w:pPr>
              <w:pStyle w:val="Nadpis1"/>
              <w:widowControl/>
              <w:contextualSpacing/>
              <w:rPr>
                <w:b w:val="0"/>
                <w:bCs w:val="0"/>
                <w:sz w:val="20"/>
                <w:szCs w:val="20"/>
              </w:rPr>
            </w:pPr>
          </w:p>
        </w:tc>
      </w:tr>
      <w:tr w:rsidR="00333042" w:rsidRPr="001902B7" w:rsidTr="00AF7DD5">
        <w:tc>
          <w:tcPr>
            <w:tcW w:w="752" w:type="dxa"/>
            <w:tcBorders>
              <w:top w:val="single" w:sz="4" w:space="0" w:color="auto"/>
              <w:left w:val="single" w:sz="12" w:space="0" w:color="auto"/>
              <w:bottom w:val="single" w:sz="4" w:space="0" w:color="auto"/>
              <w:right w:val="single" w:sz="4" w:space="0" w:color="auto"/>
            </w:tcBorders>
          </w:tcPr>
          <w:p w:rsidR="00333042" w:rsidRPr="001902B7" w:rsidRDefault="008D2E3B" w:rsidP="00B95AE2">
            <w:pPr>
              <w:contextualSpacing/>
              <w:jc w:val="center"/>
              <w:rPr>
                <w:sz w:val="20"/>
                <w:szCs w:val="20"/>
              </w:rPr>
            </w:pPr>
            <w:r>
              <w:rPr>
                <w:sz w:val="20"/>
                <w:szCs w:val="20"/>
              </w:rPr>
              <w:t>Č: 32</w:t>
            </w:r>
          </w:p>
          <w:p w:rsidR="00333042" w:rsidRDefault="008D2E3B" w:rsidP="00B95AE2">
            <w:pPr>
              <w:contextualSpacing/>
              <w:jc w:val="center"/>
              <w:rPr>
                <w:sz w:val="20"/>
                <w:szCs w:val="20"/>
              </w:rPr>
            </w:pPr>
            <w:r>
              <w:rPr>
                <w:sz w:val="20"/>
                <w:szCs w:val="20"/>
              </w:rPr>
              <w:t>O: 3</w:t>
            </w:r>
          </w:p>
          <w:p w:rsidR="008D2E3B" w:rsidRPr="001902B7" w:rsidRDefault="008D2E3B" w:rsidP="00B95AE2">
            <w:pPr>
              <w:contextualSpacing/>
              <w:jc w:val="center"/>
              <w:rPr>
                <w:sz w:val="20"/>
                <w:szCs w:val="20"/>
              </w:rPr>
            </w:pPr>
            <w:r>
              <w:rPr>
                <w:sz w:val="20"/>
                <w:szCs w:val="20"/>
              </w:rPr>
              <w:t>V: 5</w:t>
            </w:r>
          </w:p>
        </w:tc>
        <w:tc>
          <w:tcPr>
            <w:tcW w:w="4111" w:type="dxa"/>
            <w:tcBorders>
              <w:top w:val="single" w:sz="4" w:space="0" w:color="auto"/>
              <w:left w:val="single" w:sz="4" w:space="0" w:color="auto"/>
              <w:bottom w:val="single" w:sz="4" w:space="0" w:color="auto"/>
              <w:right w:val="single" w:sz="4" w:space="0" w:color="auto"/>
            </w:tcBorders>
          </w:tcPr>
          <w:p w:rsidR="00333042" w:rsidRPr="001902B7" w:rsidRDefault="008D2E3B" w:rsidP="00026812">
            <w:pPr>
              <w:pStyle w:val="Normlny0"/>
              <w:widowControl/>
              <w:contextualSpacing/>
              <w:jc w:val="both"/>
            </w:pPr>
            <w:r w:rsidRPr="008D2E3B">
              <w:t>Členské štáty poskytnú svojim FIU primerané finančné, ľudské a technické zdroje na plnenie ich úloh.</w:t>
            </w:r>
          </w:p>
        </w:tc>
        <w:tc>
          <w:tcPr>
            <w:tcW w:w="709" w:type="dxa"/>
            <w:tcBorders>
              <w:top w:val="single" w:sz="4" w:space="0" w:color="auto"/>
              <w:left w:val="single" w:sz="4" w:space="0" w:color="auto"/>
              <w:bottom w:val="single" w:sz="4" w:space="0" w:color="auto"/>
              <w:right w:val="single" w:sz="12" w:space="0" w:color="auto"/>
            </w:tcBorders>
          </w:tcPr>
          <w:p w:rsidR="00333042" w:rsidRPr="001902B7" w:rsidRDefault="008D2E3B" w:rsidP="00026812">
            <w:pPr>
              <w:widowControl/>
              <w:contextualSpacing/>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333042" w:rsidRPr="001902B7" w:rsidRDefault="00F8230C" w:rsidP="00026812">
            <w:pPr>
              <w:widowControl/>
              <w:contextualSpacing/>
              <w:jc w:val="center"/>
              <w:rPr>
                <w:sz w:val="20"/>
                <w:szCs w:val="20"/>
              </w:rPr>
            </w:pPr>
            <w:r>
              <w:rPr>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333042" w:rsidRDefault="008D2E3B" w:rsidP="00026812">
            <w:pPr>
              <w:pStyle w:val="Normlny0"/>
              <w:widowControl/>
              <w:contextualSpacing/>
              <w:jc w:val="center"/>
            </w:pPr>
            <w:r>
              <w:t>§ 26</w:t>
            </w:r>
          </w:p>
          <w:p w:rsidR="008D2E3B" w:rsidRPr="001902B7" w:rsidRDefault="008D2E3B" w:rsidP="00026812">
            <w:pPr>
              <w:pStyle w:val="Normlny0"/>
              <w:widowControl/>
              <w:contextualSpacing/>
              <w:jc w:val="center"/>
            </w:pPr>
            <w:r>
              <w:t>O: 9</w:t>
            </w:r>
          </w:p>
        </w:tc>
        <w:tc>
          <w:tcPr>
            <w:tcW w:w="6520" w:type="dxa"/>
            <w:tcBorders>
              <w:top w:val="single" w:sz="4" w:space="0" w:color="auto"/>
              <w:left w:val="single" w:sz="4" w:space="0" w:color="auto"/>
              <w:bottom w:val="single" w:sz="4" w:space="0" w:color="auto"/>
              <w:right w:val="single" w:sz="4" w:space="0" w:color="auto"/>
            </w:tcBorders>
          </w:tcPr>
          <w:p w:rsidR="00333042" w:rsidRPr="001902B7" w:rsidRDefault="008D2E3B" w:rsidP="00AF7DD5">
            <w:pPr>
              <w:contextualSpacing/>
              <w:jc w:val="both"/>
              <w:rPr>
                <w:sz w:val="20"/>
                <w:szCs w:val="20"/>
              </w:rPr>
            </w:pPr>
            <w:r w:rsidRPr="008D2E3B">
              <w:rPr>
                <w:sz w:val="20"/>
                <w:szCs w:val="20"/>
              </w:rPr>
              <w:t>Finančná spravodajská jednotka uplatňuje pri svojej činnosti také organizačné, personálne, technické a iné opatrenia, ktoré zaručia, že s informáciami získanými pri jej činnosti podľa tohto zákona nepríde do styku nepovola</w:t>
            </w:r>
            <w:r>
              <w:rPr>
                <w:sz w:val="20"/>
                <w:szCs w:val="20"/>
              </w:rPr>
              <w:t>ná osoba</w:t>
            </w:r>
            <w:r w:rsidRPr="008D2E3B">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5566B4" w:rsidP="00026812">
            <w:pPr>
              <w:widowControl/>
              <w:contextualSpacing/>
              <w:jc w:val="center"/>
              <w:rPr>
                <w:sz w:val="20"/>
                <w:szCs w:val="20"/>
              </w:rPr>
            </w:pPr>
            <w:r>
              <w:rPr>
                <w:sz w:val="20"/>
                <w:szCs w:val="20"/>
              </w:rPr>
              <w:t>Ú</w:t>
            </w:r>
          </w:p>
        </w:tc>
        <w:tc>
          <w:tcPr>
            <w:tcW w:w="1271" w:type="dxa"/>
            <w:tcBorders>
              <w:top w:val="single" w:sz="4" w:space="0" w:color="auto"/>
              <w:left w:val="single" w:sz="4" w:space="0" w:color="auto"/>
              <w:bottom w:val="single" w:sz="4" w:space="0" w:color="auto"/>
            </w:tcBorders>
          </w:tcPr>
          <w:p w:rsidR="00333042" w:rsidRPr="001902B7" w:rsidRDefault="00333042" w:rsidP="00026812">
            <w:pPr>
              <w:pStyle w:val="Nadpis1"/>
              <w:widowControl/>
              <w:contextualSpacing/>
              <w:rPr>
                <w:b w:val="0"/>
                <w:bCs w:val="0"/>
                <w:sz w:val="20"/>
                <w:szCs w:val="20"/>
              </w:rPr>
            </w:pPr>
          </w:p>
        </w:tc>
      </w:tr>
      <w:tr w:rsidR="00333042" w:rsidRPr="001902B7" w:rsidTr="00AF7DD5">
        <w:tc>
          <w:tcPr>
            <w:tcW w:w="752" w:type="dxa"/>
            <w:tcBorders>
              <w:top w:val="single" w:sz="4" w:space="0" w:color="auto"/>
              <w:left w:val="single" w:sz="12" w:space="0" w:color="auto"/>
              <w:bottom w:val="single" w:sz="4" w:space="0" w:color="auto"/>
              <w:right w:val="single" w:sz="4" w:space="0" w:color="auto"/>
            </w:tcBorders>
          </w:tcPr>
          <w:p w:rsidR="00333042" w:rsidRPr="001902B7" w:rsidRDefault="008D2E3B" w:rsidP="00B95AE2">
            <w:pPr>
              <w:contextualSpacing/>
              <w:jc w:val="center"/>
              <w:rPr>
                <w:sz w:val="20"/>
                <w:szCs w:val="20"/>
              </w:rPr>
            </w:pPr>
            <w:r>
              <w:rPr>
                <w:sz w:val="20"/>
                <w:szCs w:val="20"/>
              </w:rPr>
              <w:t>Č: 32</w:t>
            </w:r>
          </w:p>
          <w:p w:rsidR="00333042" w:rsidRPr="001902B7" w:rsidRDefault="008D2E3B" w:rsidP="00B95AE2">
            <w:pPr>
              <w:contextualSpacing/>
              <w:jc w:val="center"/>
              <w:rPr>
                <w:sz w:val="20"/>
                <w:szCs w:val="20"/>
              </w:rPr>
            </w:pPr>
            <w:r>
              <w:rPr>
                <w:sz w:val="20"/>
                <w:szCs w:val="20"/>
              </w:rPr>
              <w:t>O</w:t>
            </w:r>
            <w:r w:rsidR="009950D2" w:rsidRPr="001902B7">
              <w:rPr>
                <w:sz w:val="20"/>
                <w:szCs w:val="20"/>
              </w:rPr>
              <w:t xml:space="preserve">: </w:t>
            </w:r>
            <w:r>
              <w:rPr>
                <w:sz w:val="20"/>
                <w:szCs w:val="20"/>
              </w:rPr>
              <w:t>8</w:t>
            </w:r>
          </w:p>
          <w:p w:rsidR="00333042" w:rsidRPr="001902B7" w:rsidRDefault="00333042" w:rsidP="00B95AE2">
            <w:pPr>
              <w:contextualSpacing/>
              <w:jc w:val="center"/>
              <w:rPr>
                <w:sz w:val="20"/>
                <w:szCs w:val="20"/>
              </w:rPr>
            </w:pPr>
          </w:p>
          <w:p w:rsidR="00333042" w:rsidRPr="001902B7" w:rsidRDefault="00333042" w:rsidP="00B95AE2">
            <w:pPr>
              <w:contextualSpacing/>
              <w:jc w:val="center"/>
              <w:rPr>
                <w:sz w:val="20"/>
                <w:szCs w:val="20"/>
              </w:rPr>
            </w:pPr>
          </w:p>
          <w:p w:rsidR="00333042" w:rsidRPr="001902B7" w:rsidRDefault="00333042"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EC780C" w:rsidRDefault="008D2E3B" w:rsidP="00026812">
            <w:pPr>
              <w:pStyle w:val="Normlnywebov8"/>
              <w:widowControl/>
              <w:spacing w:before="0" w:after="0"/>
              <w:ind w:left="0" w:right="0"/>
              <w:contextualSpacing/>
              <w:jc w:val="both"/>
              <w:rPr>
                <w:sz w:val="20"/>
                <w:szCs w:val="20"/>
              </w:rPr>
            </w:pPr>
            <w:r>
              <w:rPr>
                <w:sz w:val="20"/>
                <w:szCs w:val="20"/>
              </w:rPr>
              <w:t>A</w:t>
            </w:r>
            <w:r w:rsidRPr="008D2E3B">
              <w:rPr>
                <w:sz w:val="20"/>
                <w:szCs w:val="20"/>
              </w:rPr>
              <w:t>n</w:t>
            </w:r>
            <w:r w:rsidR="00EC780C">
              <w:rPr>
                <w:sz w:val="20"/>
                <w:szCs w:val="20"/>
              </w:rPr>
              <w:t>alytická funkcia FIU pozostáva:</w:t>
            </w:r>
          </w:p>
          <w:p w:rsidR="008D2E3B" w:rsidRDefault="008D2E3B" w:rsidP="00026812">
            <w:pPr>
              <w:pStyle w:val="Normlnywebov8"/>
              <w:widowControl/>
              <w:spacing w:before="0" w:after="0"/>
              <w:ind w:left="0" w:right="0"/>
              <w:contextualSpacing/>
              <w:jc w:val="both"/>
              <w:rPr>
                <w:sz w:val="20"/>
                <w:szCs w:val="20"/>
              </w:rPr>
            </w:pPr>
            <w:r w:rsidRPr="008D2E3B">
              <w:rPr>
                <w:sz w:val="20"/>
                <w:szCs w:val="20"/>
              </w:rPr>
              <w:t xml:space="preserve">a)  z operačnej analýzy, ktorá sa zameriava na jednotlivé prípady a osobitné ciele, alebo na vhodne vybrané informácie, a to v závislosti od druhu a objemu poskytnutých informácií a očakávaného použitia informácií po poskytnutí; </w:t>
            </w:r>
          </w:p>
          <w:p w:rsidR="00333042" w:rsidRPr="001902B7" w:rsidRDefault="008D2E3B" w:rsidP="00026812">
            <w:pPr>
              <w:pStyle w:val="Normlnywebov8"/>
              <w:widowControl/>
              <w:spacing w:before="0" w:after="0"/>
              <w:ind w:left="0" w:right="0"/>
              <w:contextualSpacing/>
              <w:jc w:val="both"/>
              <w:rPr>
                <w:sz w:val="20"/>
                <w:szCs w:val="20"/>
              </w:rPr>
            </w:pPr>
            <w:r w:rsidRPr="008D2E3B">
              <w:rPr>
                <w:sz w:val="20"/>
                <w:szCs w:val="20"/>
              </w:rPr>
              <w:t>b)  zo strategickej analýzy, v rámci ktorej sa riešia trendy a typy prania špinavých peňazí a financovania terorizmu</w:t>
            </w:r>
          </w:p>
        </w:tc>
        <w:tc>
          <w:tcPr>
            <w:tcW w:w="709" w:type="dxa"/>
            <w:tcBorders>
              <w:top w:val="single" w:sz="4" w:space="0" w:color="auto"/>
              <w:left w:val="single" w:sz="4" w:space="0" w:color="auto"/>
              <w:bottom w:val="single" w:sz="4" w:space="0" w:color="auto"/>
              <w:right w:val="single" w:sz="12" w:space="0" w:color="auto"/>
            </w:tcBorders>
          </w:tcPr>
          <w:p w:rsidR="00333042" w:rsidRPr="001902B7" w:rsidRDefault="003E7844" w:rsidP="00026812">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333042" w:rsidRDefault="008D2E3B" w:rsidP="00F8230C">
            <w:pPr>
              <w:widowControl/>
              <w:contextualSpacing/>
              <w:jc w:val="center"/>
              <w:rPr>
                <w:sz w:val="20"/>
                <w:szCs w:val="20"/>
              </w:rPr>
            </w:pPr>
            <w:r w:rsidRPr="008D2E3B">
              <w:rPr>
                <w:sz w:val="20"/>
                <w:szCs w:val="20"/>
              </w:rPr>
              <w:t>z</w:t>
            </w:r>
            <w:r w:rsidR="00F8230C">
              <w:rPr>
                <w:sz w:val="20"/>
                <w:szCs w:val="20"/>
              </w:rPr>
              <w:t>ákon</w:t>
            </w:r>
            <w:r w:rsidRPr="008D2E3B">
              <w:rPr>
                <w:sz w:val="20"/>
                <w:szCs w:val="20"/>
              </w:rPr>
              <w:t xml:space="preserve"> č. 297/2008 </w:t>
            </w:r>
            <w:r w:rsidR="00125CCC">
              <w:rPr>
                <w:sz w:val="20"/>
                <w:szCs w:val="20"/>
              </w:rPr>
              <w:t>Z. z.</w:t>
            </w:r>
          </w:p>
          <w:p w:rsidR="00F8230C" w:rsidRDefault="00F8230C" w:rsidP="00F8230C">
            <w:pPr>
              <w:widowControl/>
              <w:contextualSpacing/>
              <w:jc w:val="center"/>
              <w:rPr>
                <w:sz w:val="20"/>
                <w:szCs w:val="20"/>
              </w:rPr>
            </w:pPr>
            <w:r>
              <w:rPr>
                <w:sz w:val="20"/>
                <w:szCs w:val="20"/>
              </w:rPr>
              <w:t>+</w:t>
            </w:r>
          </w:p>
          <w:p w:rsidR="00F8230C" w:rsidRPr="001902B7" w:rsidRDefault="00F8230C" w:rsidP="00F8230C">
            <w:pPr>
              <w:widowControl/>
              <w:contextualSpacing/>
              <w:jc w:val="center"/>
              <w:rPr>
                <w:sz w:val="20"/>
                <w:szCs w:val="20"/>
              </w:rPr>
            </w:pPr>
            <w:r>
              <w:rPr>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3E7844" w:rsidRPr="001902B7" w:rsidRDefault="0049584D" w:rsidP="00026812">
            <w:pPr>
              <w:widowControl/>
              <w:contextualSpacing/>
              <w:jc w:val="center"/>
              <w:rPr>
                <w:sz w:val="20"/>
                <w:szCs w:val="20"/>
              </w:rPr>
            </w:pPr>
            <w:r>
              <w:rPr>
                <w:sz w:val="20"/>
                <w:szCs w:val="20"/>
              </w:rPr>
              <w:t>§ 26</w:t>
            </w:r>
          </w:p>
          <w:p w:rsidR="003E7844" w:rsidRDefault="0049584D" w:rsidP="00026812">
            <w:pPr>
              <w:widowControl/>
              <w:contextualSpacing/>
              <w:jc w:val="center"/>
              <w:rPr>
                <w:sz w:val="20"/>
                <w:szCs w:val="20"/>
              </w:rPr>
            </w:pPr>
            <w:r>
              <w:rPr>
                <w:sz w:val="20"/>
                <w:szCs w:val="20"/>
              </w:rPr>
              <w:t>O: 2</w:t>
            </w:r>
          </w:p>
          <w:p w:rsidR="0049584D" w:rsidRPr="001902B7" w:rsidRDefault="0049584D" w:rsidP="00026812">
            <w:pPr>
              <w:widowControl/>
              <w:contextualSpacing/>
              <w:jc w:val="center"/>
              <w:rPr>
                <w:sz w:val="20"/>
                <w:szCs w:val="20"/>
              </w:rPr>
            </w:pPr>
            <w:r>
              <w:rPr>
                <w:sz w:val="20"/>
                <w:szCs w:val="20"/>
              </w:rPr>
              <w:t>P: a</w:t>
            </w:r>
          </w:p>
          <w:p w:rsidR="00333042" w:rsidRPr="001902B7" w:rsidRDefault="00333042" w:rsidP="00026812">
            <w:pPr>
              <w:pStyle w:val="Normlny0"/>
              <w:widowControl/>
              <w:contextualSpacing/>
              <w:jc w:val="center"/>
            </w:pPr>
          </w:p>
        </w:tc>
        <w:tc>
          <w:tcPr>
            <w:tcW w:w="6520" w:type="dxa"/>
            <w:tcBorders>
              <w:top w:val="single" w:sz="4" w:space="0" w:color="auto"/>
              <w:left w:val="single" w:sz="4" w:space="0" w:color="auto"/>
              <w:bottom w:val="single" w:sz="4" w:space="0" w:color="auto"/>
              <w:right w:val="single" w:sz="4" w:space="0" w:color="auto"/>
            </w:tcBorders>
          </w:tcPr>
          <w:p w:rsidR="00896E33" w:rsidRDefault="00896E33" w:rsidP="00026812">
            <w:pPr>
              <w:contextualSpacing/>
              <w:jc w:val="both"/>
              <w:rPr>
                <w:color w:val="000000"/>
                <w:sz w:val="20"/>
                <w:szCs w:val="20"/>
              </w:rPr>
            </w:pPr>
          </w:p>
          <w:p w:rsidR="0049584D" w:rsidRPr="0049584D" w:rsidRDefault="0049584D" w:rsidP="00026812">
            <w:pPr>
              <w:contextualSpacing/>
              <w:jc w:val="both"/>
              <w:rPr>
                <w:color w:val="000000"/>
                <w:sz w:val="20"/>
                <w:szCs w:val="20"/>
              </w:rPr>
            </w:pPr>
            <w:r w:rsidRPr="0049584D">
              <w:rPr>
                <w:color w:val="000000"/>
                <w:sz w:val="20"/>
                <w:szCs w:val="20"/>
              </w:rPr>
              <w:t>Finančná spravodajská jednotka</w:t>
            </w:r>
          </w:p>
          <w:p w:rsidR="00333042" w:rsidRPr="001902B7" w:rsidRDefault="0049584D" w:rsidP="00026812">
            <w:pPr>
              <w:contextualSpacing/>
              <w:jc w:val="both"/>
              <w:rPr>
                <w:color w:val="000000"/>
                <w:sz w:val="20"/>
                <w:szCs w:val="20"/>
              </w:rPr>
            </w:pPr>
            <w:r w:rsidRPr="0049584D">
              <w:rPr>
                <w:color w:val="000000"/>
                <w:sz w:val="20"/>
                <w:szCs w:val="20"/>
              </w:rPr>
              <w:t xml:space="preserve">prijíma, analyzuje, vyhodnocuje a spracúva hlásenia o neobvyklých obchodných operáciách a </w:t>
            </w:r>
            <w:r w:rsidRPr="00DE3193">
              <w:rPr>
                <w:b/>
                <w:color w:val="000000"/>
                <w:sz w:val="20"/>
                <w:szCs w:val="20"/>
              </w:rPr>
              <w:t>finančné</w:t>
            </w:r>
            <w:r w:rsidRPr="0049584D">
              <w:rPr>
                <w:color w:val="000000"/>
                <w:sz w:val="20"/>
                <w:szCs w:val="20"/>
              </w:rPr>
              <w:t xml:space="preserve"> informácie súvisiace s legalizáciou alebo financovaním terorizmu na plnenie úloh podľa tohto zákona alebo podľa osobitného predpisu</w:t>
            </w:r>
            <w:r>
              <w:rPr>
                <w:color w:val="000000"/>
                <w:sz w:val="20"/>
                <w:szCs w:val="20"/>
              </w:rPr>
              <w:t xml:space="preserve"> </w:t>
            </w:r>
            <w:r w:rsidRPr="00DE3193">
              <w:rPr>
                <w:b/>
                <w:color w:val="000000"/>
                <w:sz w:val="20"/>
                <w:szCs w:val="20"/>
              </w:rPr>
              <w:t>a vypracúva finančné analýzy</w:t>
            </w:r>
            <w:r>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333042" w:rsidRPr="001902B7" w:rsidRDefault="003E7844" w:rsidP="00026812">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333042" w:rsidRPr="001902B7" w:rsidRDefault="00333042" w:rsidP="00026812">
            <w:pPr>
              <w:pStyle w:val="Nadpis1"/>
              <w:widowControl/>
              <w:contextualSpacing/>
              <w:jc w:val="both"/>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Default="00B54C6E" w:rsidP="00B95AE2">
            <w:pPr>
              <w:contextualSpacing/>
              <w:jc w:val="center"/>
              <w:rPr>
                <w:sz w:val="20"/>
                <w:szCs w:val="20"/>
              </w:rPr>
            </w:pPr>
            <w:r>
              <w:rPr>
                <w:sz w:val="20"/>
                <w:szCs w:val="20"/>
              </w:rPr>
              <w:t>Č: 32a</w:t>
            </w:r>
          </w:p>
        </w:tc>
        <w:tc>
          <w:tcPr>
            <w:tcW w:w="4111" w:type="dxa"/>
            <w:tcBorders>
              <w:top w:val="single" w:sz="4" w:space="0" w:color="auto"/>
              <w:left w:val="single" w:sz="4" w:space="0" w:color="auto"/>
              <w:bottom w:val="single" w:sz="4" w:space="0" w:color="auto"/>
              <w:right w:val="single" w:sz="4" w:space="0" w:color="auto"/>
            </w:tcBorders>
          </w:tcPr>
          <w:p w:rsidR="00B54C6E" w:rsidRDefault="00B54C6E" w:rsidP="00B54C6E">
            <w:pPr>
              <w:pStyle w:val="Normlny0"/>
              <w:widowControl/>
              <w:contextualSpacing/>
              <w:jc w:val="both"/>
            </w:pPr>
            <w:r>
              <w:t>1. Členské štáty zavedú centralizované automatizované mechanizmy, ako sú napríklad centrálne registre alebo centrálne elektronické systémy vyhľadávania údajov, ktoré umožňujú včasnú identifikáciu akýchkoľvek fyzických alebo právnických osôb, ktoré vlastnia alebo kontrolujú platobné účty a bankové účty identifikované číslom IBAN, ako sú vymedzené v nariadení Európskeho parlamentu a Rady (EÚ) č. 260/2012 (</w:t>
            </w:r>
            <w:r w:rsidRPr="00247565">
              <w:rPr>
                <w:vertAlign w:val="superscript"/>
              </w:rPr>
              <w:t>*7</w:t>
            </w:r>
            <w:r>
              <w:t xml:space="preserve">), a bezpečnostné schránky vedené úverovou inštitúciou na ich území. Členské štáty oznámia </w:t>
            </w:r>
            <w:r>
              <w:lastRenderedPageBreak/>
              <w:t>Komisii charakteristické znaky uvedených vnútroštátnych mechanizmov.</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2. Členské štáty zabezpečia, aby sa informácie uchovávané v centralizovaných mechanizmoch uvedených v odseku 1 tohto článku okamžite a nefiltrovane priamo sprístupnili vnútroštátnej FIU. Tieto informácie musia byť sprístupnené aj vnútroštátnym príslušným orgánom na účely plnenia ich povinností podľa tejto smernice. Členské štáty zabezpečia, aby každá FIU bola schopná včas poskytnúť informácie uchovávané v centralizovaných mechanizmoch uvedených v odseku 1 tohto článku akejkoľvek inej FIU v súlade s článkom 53.</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3. Prostredníctvom centralizovaných mechanizmov uvedených v odseku 1 sa sprístupnia a dajú sa vyhľadávať tieto informácie:</w:t>
            </w:r>
          </w:p>
          <w:p w:rsidR="00B54C6E" w:rsidRDefault="00B54C6E" w:rsidP="00B54C6E">
            <w:pPr>
              <w:pStyle w:val="Normlny0"/>
              <w:widowControl/>
              <w:contextualSpacing/>
              <w:jc w:val="both"/>
            </w:pPr>
            <w:r>
              <w:t>— v prípade klienta, ktorý je držiteľom účtu, a v prípade akejkoľvek osoby, ktorá tvrdí, že koná v mene klienta: meno doplnené buď ďalšími identifikačnými údajmi požadovanými podľa vnútroštátnych ustanovení transponujúcich článok 13 ods. 1 písm. a) alebo jedinečným identifikačným číslom;</w:t>
            </w:r>
          </w:p>
          <w:p w:rsidR="00B54C6E" w:rsidRDefault="00B54C6E" w:rsidP="00B54C6E">
            <w:pPr>
              <w:pStyle w:val="Normlny0"/>
              <w:widowControl/>
              <w:contextualSpacing/>
              <w:jc w:val="both"/>
            </w:pPr>
            <w:r>
              <w:t>— v prípade končeného užívateľa výhod v súvislosti s klientom, ktorý je držiteľom účtu: meno doplnené buď ďalšími identifikačnými údajmi požadovanými podľa vnútroštátnych ustanovení transponujúcich článok 13 ods. 1 písm. b) alebo jedinečným identifikačným číslom;</w:t>
            </w:r>
          </w:p>
          <w:p w:rsidR="00B54C6E" w:rsidRDefault="00B54C6E" w:rsidP="00B54C6E">
            <w:pPr>
              <w:pStyle w:val="Normlny0"/>
              <w:widowControl/>
              <w:contextualSpacing/>
              <w:jc w:val="both"/>
            </w:pPr>
            <w:r>
              <w:t>— v prípade bankového účtu alebo platobného účtu: číslo IBAN a dátum založenia a zrušenia účtu;</w:t>
            </w:r>
          </w:p>
          <w:p w:rsidR="00B54C6E" w:rsidRDefault="00B54C6E" w:rsidP="00B54C6E">
            <w:pPr>
              <w:pStyle w:val="Normlny0"/>
              <w:widowControl/>
              <w:contextualSpacing/>
              <w:jc w:val="both"/>
            </w:pPr>
            <w:r>
              <w:t>— v prípade bezpečnostných schránok: meno prenajímateľa doplnené buď ďalšími identifikačnými údajmi požadovanými podľa vnútroštátnych ustanovení transponujúcich článok 13 ods. 1 alebo jedinečným identifikačným číslom a trvanie nájmu.</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 xml:space="preserve">4. Členské štáty môžu zvážiť, či budú vyžadovať, aby ďalšie informácie, ktoré sa považujú za </w:t>
            </w:r>
            <w:r>
              <w:lastRenderedPageBreak/>
              <w:t>dôležité pre FIU a príslušné orgány na účely plnenia ich povinností podľa tejto smernice, boli prístupné a vyhľadateľné prostredníctvom centralizovaných mechanizmov.</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5. Komisia do 26. júna 2020 predloží Európskemu parlamentu a Rade správu, v ktorej posúdi podmienky, technické špecifikácie a postupy na zaistenie bezpečného a účinného prepojenia centralizovaných automatizovaných mechanizmov. K tejto správe sa v náležitých prípadoch pripojí legislatívny návrh.</w:t>
            </w:r>
          </w:p>
          <w:p w:rsidR="00B54C6E" w:rsidRDefault="00B54C6E" w:rsidP="00B54C6E">
            <w:pPr>
              <w:pStyle w:val="Normlny0"/>
              <w:widowControl/>
              <w:contextualSpacing/>
              <w:jc w:val="both"/>
            </w:pPr>
          </w:p>
          <w:p w:rsidR="00B54C6E" w:rsidRDefault="00B54C6E" w:rsidP="00B54C6E">
            <w:pPr>
              <w:pStyle w:val="CM4"/>
              <w:contextualSpacing/>
              <w:jc w:val="both"/>
              <w:rPr>
                <w:rFonts w:ascii="Times New Roman" w:hAnsi="Times New Roman"/>
                <w:color w:val="000000"/>
                <w:sz w:val="20"/>
                <w:szCs w:val="20"/>
              </w:rPr>
            </w:pPr>
            <w:r w:rsidRPr="00247565">
              <w:rPr>
                <w:sz w:val="16"/>
                <w:szCs w:val="16"/>
              </w:rPr>
              <w:t>(*7) Nariadenie Európskeho parlamentu a Rady (EÚ) č. 260/2012 zo 14. marca 2012, ktorým sa ustanovujú technické a obchodné požiadavky na úhrady a inkasá v eurách a ktorým sa mení a dopĺňa nariadenie (ES) č. 924/2009 (Ú. v. EÚ L 94, 30.3.2012, s. 22).</w:t>
            </w:r>
          </w:p>
        </w:tc>
        <w:tc>
          <w:tcPr>
            <w:tcW w:w="709" w:type="dxa"/>
            <w:tcBorders>
              <w:top w:val="single" w:sz="4" w:space="0" w:color="auto"/>
              <w:left w:val="single" w:sz="4" w:space="0" w:color="auto"/>
              <w:bottom w:val="single" w:sz="4" w:space="0" w:color="auto"/>
              <w:right w:val="single" w:sz="12" w:space="0" w:color="auto"/>
            </w:tcBorders>
          </w:tcPr>
          <w:p w:rsidR="00B54C6E" w:rsidRDefault="00B54C6E" w:rsidP="00B54C6E">
            <w:pPr>
              <w:widowControl/>
              <w:contextualSpacing/>
              <w:jc w:val="center"/>
              <w:rPr>
                <w:sz w:val="20"/>
                <w:szCs w:val="20"/>
              </w:rPr>
            </w:pPr>
            <w:r>
              <w:rPr>
                <w:sz w:val="20"/>
                <w:szCs w:val="20"/>
              </w:rPr>
              <w:lastRenderedPageBreak/>
              <w:t>N</w:t>
            </w:r>
          </w:p>
        </w:tc>
        <w:tc>
          <w:tcPr>
            <w:tcW w:w="850" w:type="dxa"/>
            <w:tcBorders>
              <w:top w:val="single" w:sz="4" w:space="0" w:color="auto"/>
              <w:left w:val="nil"/>
              <w:bottom w:val="single" w:sz="4" w:space="0" w:color="auto"/>
              <w:right w:val="single" w:sz="4" w:space="0" w:color="auto"/>
            </w:tcBorders>
          </w:tcPr>
          <w:p w:rsidR="00B54C6E" w:rsidRPr="008D2E3B" w:rsidRDefault="00B54C6E" w:rsidP="00B54C6E">
            <w:pPr>
              <w:widowControl/>
              <w:contextualSpacing/>
              <w:jc w:val="center"/>
              <w:rPr>
                <w:sz w:val="20"/>
                <w:szCs w:val="20"/>
              </w:rPr>
            </w:pPr>
            <w:r>
              <w:rPr>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B54C6E" w:rsidRDefault="00B54C6E" w:rsidP="00B54C6E">
            <w:pPr>
              <w:pStyle w:val="Normlny0"/>
              <w:widowControl/>
              <w:contextualSpacing/>
              <w:jc w:val="center"/>
            </w:pPr>
            <w:r>
              <w:t>§ 3</w:t>
            </w:r>
          </w:p>
          <w:p w:rsidR="00B54C6E" w:rsidRDefault="00B54C6E" w:rsidP="00B54C6E">
            <w:pPr>
              <w:pStyle w:val="Normlny0"/>
              <w:widowControl/>
              <w:contextualSpacing/>
              <w:jc w:val="center"/>
            </w:pPr>
            <w:r>
              <w:t>O: 1</w:t>
            </w: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r>
              <w:t>§ 4</w:t>
            </w:r>
          </w:p>
          <w:p w:rsidR="00B54C6E" w:rsidRDefault="00B54C6E" w:rsidP="00B54C6E">
            <w:pPr>
              <w:pStyle w:val="Normlny0"/>
              <w:widowControl/>
              <w:contextualSpacing/>
              <w:jc w:val="center"/>
            </w:pPr>
            <w:r>
              <w:t>O: 1</w:t>
            </w: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B54C6E" w:rsidRDefault="00B54C6E" w:rsidP="00B54C6E">
            <w:pPr>
              <w:pStyle w:val="Normlny0"/>
              <w:widowControl/>
              <w:contextualSpacing/>
              <w:jc w:val="center"/>
            </w:pPr>
            <w:r>
              <w:t>§ 5</w:t>
            </w:r>
          </w:p>
          <w:p w:rsidR="00B54C6E" w:rsidRDefault="00B54C6E" w:rsidP="00B54C6E">
            <w:pPr>
              <w:pStyle w:val="Normlny0"/>
              <w:widowControl/>
              <w:contextualSpacing/>
              <w:jc w:val="center"/>
            </w:pPr>
            <w:r>
              <w:t>O: 1</w:t>
            </w:r>
          </w:p>
          <w:p w:rsidR="00B54C6E" w:rsidRDefault="00B54C6E" w:rsidP="00B54C6E">
            <w:pPr>
              <w:pStyle w:val="Normlny0"/>
              <w:widowControl/>
              <w:contextualSpacing/>
              <w:jc w:val="center"/>
            </w:pPr>
            <w:r>
              <w:t>P: a)</w:t>
            </w:r>
          </w:p>
          <w:p w:rsidR="00B54C6E" w:rsidRDefault="00B54C6E" w:rsidP="00B54C6E">
            <w:pPr>
              <w:pStyle w:val="Normlny0"/>
              <w:widowControl/>
              <w:contextualSpacing/>
              <w:jc w:val="center"/>
            </w:pPr>
          </w:p>
          <w:p w:rsidR="00B54C6E" w:rsidRDefault="00B54C6E" w:rsidP="00B54C6E">
            <w:pPr>
              <w:pStyle w:val="Normlny0"/>
              <w:widowControl/>
              <w:contextualSpacing/>
              <w:jc w:val="center"/>
            </w:pPr>
          </w:p>
          <w:p w:rsidR="00A64ADD" w:rsidRDefault="00A64ADD" w:rsidP="00B54C6E">
            <w:pPr>
              <w:pStyle w:val="Normlny0"/>
              <w:widowControl/>
              <w:contextualSpacing/>
              <w:jc w:val="center"/>
            </w:pPr>
          </w:p>
          <w:p w:rsidR="00B54C6E" w:rsidRDefault="00B54C6E" w:rsidP="00B54C6E">
            <w:pPr>
              <w:pStyle w:val="Normlny0"/>
              <w:widowControl/>
              <w:contextualSpacing/>
              <w:jc w:val="center"/>
            </w:pPr>
            <w:r>
              <w:t>§ 5</w:t>
            </w:r>
          </w:p>
          <w:p w:rsidR="00B54C6E" w:rsidRDefault="00B54C6E" w:rsidP="00B54C6E">
            <w:pPr>
              <w:pStyle w:val="Normlny0"/>
              <w:widowControl/>
              <w:contextualSpacing/>
              <w:jc w:val="center"/>
            </w:pPr>
            <w:r>
              <w:t>O: 2</w:t>
            </w:r>
          </w:p>
          <w:p w:rsidR="00B54C6E" w:rsidRPr="001902B7" w:rsidRDefault="00B54C6E" w:rsidP="00B54C6E">
            <w:pPr>
              <w:pStyle w:val="Normlny0"/>
              <w:widowControl/>
              <w:contextualSpacing/>
              <w:jc w:val="center"/>
            </w:pPr>
            <w:r>
              <w:t>V: 1</w:t>
            </w:r>
          </w:p>
        </w:tc>
        <w:tc>
          <w:tcPr>
            <w:tcW w:w="6520" w:type="dxa"/>
            <w:tcBorders>
              <w:top w:val="single" w:sz="4" w:space="0" w:color="auto"/>
              <w:left w:val="single" w:sz="4" w:space="0" w:color="auto"/>
              <w:bottom w:val="single" w:sz="4" w:space="0" w:color="auto"/>
              <w:right w:val="single" w:sz="4" w:space="0" w:color="auto"/>
            </w:tcBorders>
          </w:tcPr>
          <w:p w:rsidR="00B54C6E" w:rsidRDefault="00B54C6E" w:rsidP="00B54C6E">
            <w:pPr>
              <w:pStyle w:val="Normlny0"/>
              <w:widowControl/>
              <w:contextualSpacing/>
              <w:jc w:val="both"/>
            </w:pPr>
            <w:r w:rsidRPr="00B944F4">
              <w:lastRenderedPageBreak/>
              <w:t>Zriaďuje sa centrálny register účtov. Centrálny register účtov je informačný systém verejnej</w:t>
            </w:r>
            <w:r w:rsidR="00A64ADD">
              <w:t xml:space="preserve"> správy, ktorý sa vedie na účel</w:t>
            </w:r>
            <w:r w:rsidRPr="00B944F4">
              <w:t xml:space="preserve"> uľahčenia prístupu orgánov uvedených v § 5 ods. 1 (ďalej len „oprávnený orgán“) k údajom o účtoch a bezpečnostných schránkach v rozsahu podľa § 4 ods. 1 vedených alebo prenajímaných na území Slovenskej republiky.</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Do centrálneho registra účtov sa zapisujú tieto údaje a ich zmeny:</w:t>
            </w:r>
          </w:p>
          <w:p w:rsidR="00B54C6E" w:rsidRDefault="00B54C6E" w:rsidP="00B54C6E">
            <w:pPr>
              <w:pStyle w:val="Normlny0"/>
              <w:widowControl/>
              <w:contextualSpacing/>
              <w:jc w:val="both"/>
            </w:pPr>
            <w:r>
              <w:t>a) názov, adresa sídla a identifikačné číslo finančnej inštitúcie, ktorá vedie účet alebo prenajíma bezpečnostnú schránku,</w:t>
            </w:r>
          </w:p>
          <w:p w:rsidR="00B54C6E" w:rsidRDefault="00B54C6E" w:rsidP="00B54C6E">
            <w:pPr>
              <w:pStyle w:val="Normlny0"/>
              <w:widowControl/>
              <w:contextualSpacing/>
              <w:jc w:val="both"/>
            </w:pPr>
            <w:r>
              <w:t>b) dátum založenia účtu,</w:t>
            </w:r>
          </w:p>
          <w:p w:rsidR="00B54C6E" w:rsidRDefault="00B54C6E" w:rsidP="00B54C6E">
            <w:pPr>
              <w:pStyle w:val="Normlny0"/>
              <w:widowControl/>
              <w:contextualSpacing/>
              <w:jc w:val="both"/>
            </w:pPr>
            <w:r>
              <w:t>c) dátum začatia prenájmu bezpečnostnej schránky,</w:t>
            </w:r>
          </w:p>
          <w:p w:rsidR="00B54C6E" w:rsidRDefault="00B54C6E" w:rsidP="00B54C6E">
            <w:pPr>
              <w:pStyle w:val="Normlny0"/>
              <w:widowControl/>
              <w:contextualSpacing/>
              <w:jc w:val="both"/>
            </w:pPr>
            <w:r>
              <w:t>d) číslo účtu a medzinárodné bankové číslo účtu IBAN, ak bolo pridelené</w:t>
            </w:r>
            <w:r w:rsidR="00A64ADD">
              <w:t>,</w:t>
            </w:r>
          </w:p>
          <w:p w:rsidR="00B54C6E" w:rsidRDefault="00B54C6E" w:rsidP="00B54C6E">
            <w:pPr>
              <w:pStyle w:val="Normlny0"/>
              <w:widowControl/>
              <w:contextualSpacing/>
              <w:jc w:val="both"/>
            </w:pPr>
            <w:r>
              <w:lastRenderedPageBreak/>
              <w:t>e) jednoznačné označenie bezpečnostnej schránky,</w:t>
            </w:r>
          </w:p>
          <w:p w:rsidR="00B54C6E" w:rsidRDefault="00B54C6E" w:rsidP="00B54C6E">
            <w:pPr>
              <w:pStyle w:val="Normlny0"/>
              <w:widowControl/>
              <w:contextualSpacing/>
              <w:jc w:val="both"/>
            </w:pPr>
            <w:r>
              <w:t>f) identifikačné údaje klienta v rozsahu:</w:t>
            </w:r>
          </w:p>
          <w:p w:rsidR="00B54C6E" w:rsidRDefault="00B54C6E" w:rsidP="00B54C6E">
            <w:pPr>
              <w:pStyle w:val="Normlny0"/>
              <w:widowControl/>
              <w:ind w:left="99"/>
              <w:contextualSpacing/>
              <w:jc w:val="both"/>
            </w:pPr>
            <w:r>
              <w:t>1. meno, priezvisko, rodné číslo alebo dátum narodenia, ak rodné číslo nebolo pridelené, adresa trvalého pobytu alebo iného pobytu, ak ide o fyzickú osobu,</w:t>
            </w:r>
          </w:p>
          <w:p w:rsidR="00B54C6E" w:rsidRDefault="00B54C6E" w:rsidP="00B54C6E">
            <w:pPr>
              <w:pStyle w:val="Normlny0"/>
              <w:widowControl/>
              <w:ind w:left="99"/>
              <w:contextualSpacing/>
              <w:jc w:val="both"/>
            </w:pPr>
            <w:r>
              <w:t>2. údaje podľa prvého bodu, obchodné meno, adresa miesta podnikania a identifikačné číslo, ak ide o fyzickú osobu – podnikateľa,</w:t>
            </w:r>
          </w:p>
          <w:p w:rsidR="00B54C6E" w:rsidRDefault="00B54C6E" w:rsidP="00B54C6E">
            <w:pPr>
              <w:pStyle w:val="Normlny0"/>
              <w:widowControl/>
              <w:ind w:left="99"/>
              <w:contextualSpacing/>
              <w:jc w:val="both"/>
            </w:pPr>
            <w:r>
              <w:t>3. názov, adresa sídla a identifikačné číslo, ak ide o právnickú osobu,</w:t>
            </w:r>
          </w:p>
          <w:p w:rsidR="00B54C6E" w:rsidRDefault="00B54C6E" w:rsidP="00B54C6E">
            <w:pPr>
              <w:pStyle w:val="Normlny0"/>
              <w:widowControl/>
              <w:contextualSpacing/>
              <w:jc w:val="both"/>
            </w:pPr>
            <w:r>
              <w:t>g) meno, priezvisko, rodné číslo alebo dátum narodenia, ak rodné číslo nebolo pridelené a adresa trvalého alebo iného pobytu konečného užívateľa výhod klienta,</w:t>
            </w:r>
          </w:p>
          <w:p w:rsidR="00B54C6E" w:rsidRDefault="00B54C6E" w:rsidP="00B54C6E">
            <w:pPr>
              <w:pStyle w:val="Normlny0"/>
              <w:widowControl/>
              <w:contextualSpacing/>
              <w:jc w:val="both"/>
            </w:pPr>
            <w:r>
              <w:t>h) dátum vzniku a zániku oprávnenia klienta na nakladanie s finančnými prostriedkami na účte,</w:t>
            </w:r>
          </w:p>
          <w:p w:rsidR="00B54C6E" w:rsidRDefault="00B54C6E" w:rsidP="00B54C6E">
            <w:pPr>
              <w:pStyle w:val="Normlny0"/>
              <w:widowControl/>
              <w:contextualSpacing/>
              <w:jc w:val="both"/>
            </w:pPr>
            <w:r>
              <w:t>i) dátum zrušenia účtu,</w:t>
            </w:r>
          </w:p>
          <w:p w:rsidR="00B54C6E" w:rsidRDefault="00B54C6E" w:rsidP="00B54C6E">
            <w:pPr>
              <w:pStyle w:val="Normlny0"/>
              <w:widowControl/>
              <w:contextualSpacing/>
              <w:jc w:val="both"/>
            </w:pPr>
            <w:r>
              <w:t>j) dátum ukončenia prenájmu bezpečnostnej schránky.</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t xml:space="preserve">Údaje z centrálneho registra účtov sa poskytujú </w:t>
            </w:r>
          </w:p>
          <w:p w:rsidR="00B54C6E" w:rsidRDefault="00B54C6E" w:rsidP="00B54C6E">
            <w:pPr>
              <w:pStyle w:val="Normlny0"/>
              <w:widowControl/>
              <w:contextualSpacing/>
              <w:jc w:val="both"/>
            </w:pPr>
            <w:r>
              <w:t>osobitnému útvaru služby finančnej polície Policajného zboru  na účel plnenia úloh podľa osobitného predpisu,</w:t>
            </w:r>
            <w:r w:rsidR="00A64ADD">
              <w:rPr>
                <w:vertAlign w:val="superscript"/>
              </w:rPr>
              <w:t>14</w:t>
            </w:r>
            <w:r>
              <w:t>)</w:t>
            </w:r>
          </w:p>
          <w:p w:rsidR="00B54C6E" w:rsidRDefault="00B54C6E" w:rsidP="00B54C6E">
            <w:pPr>
              <w:pStyle w:val="Normlny0"/>
              <w:widowControl/>
              <w:contextualSpacing/>
              <w:jc w:val="both"/>
            </w:pPr>
          </w:p>
          <w:p w:rsidR="00B54C6E" w:rsidRPr="00B944F4" w:rsidRDefault="00A64ADD" w:rsidP="00B54C6E">
            <w:pPr>
              <w:pStyle w:val="Normlny0"/>
              <w:widowControl/>
              <w:contextualSpacing/>
              <w:jc w:val="both"/>
              <w:rPr>
                <w:sz w:val="16"/>
                <w:szCs w:val="16"/>
              </w:rPr>
            </w:pPr>
            <w:r>
              <w:rPr>
                <w:sz w:val="16"/>
                <w:szCs w:val="16"/>
                <w:vertAlign w:val="superscript"/>
              </w:rPr>
              <w:t>14</w:t>
            </w:r>
            <w:r w:rsidR="00B54C6E" w:rsidRPr="00B944F4">
              <w:rPr>
                <w:sz w:val="16"/>
                <w:szCs w:val="16"/>
              </w:rPr>
              <w:t>) Zákon č. 297/2008 Z. z. v znení neskorších predpisov.</w:t>
            </w:r>
          </w:p>
          <w:p w:rsidR="00B54C6E" w:rsidRDefault="00B54C6E" w:rsidP="00B54C6E">
            <w:pPr>
              <w:pStyle w:val="Normlny0"/>
              <w:widowControl/>
              <w:contextualSpacing/>
              <w:jc w:val="both"/>
            </w:pPr>
          </w:p>
          <w:p w:rsidR="00B54C6E" w:rsidRDefault="00B54C6E" w:rsidP="00B54C6E">
            <w:pPr>
              <w:pStyle w:val="Normlny0"/>
              <w:widowControl/>
              <w:contextualSpacing/>
              <w:jc w:val="both"/>
            </w:pPr>
            <w:r w:rsidRPr="00B944F4">
              <w:t xml:space="preserve">Údaje z centrálneho registra účtov sa poskytujú </w:t>
            </w:r>
            <w:r w:rsidR="00A64ADD">
              <w:t>elektronicky</w:t>
            </w:r>
            <w:r w:rsidRPr="00B944F4">
              <w:t xml:space="preserve"> priamym, nepretržitým a diaľkovým spôsobom.</w:t>
            </w:r>
          </w:p>
          <w:p w:rsidR="00B54C6E" w:rsidRPr="0049584D" w:rsidRDefault="00B54C6E" w:rsidP="00B54C6E">
            <w:pPr>
              <w:contextualSpacing/>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B54C6E" w:rsidRDefault="00B54C6E" w:rsidP="00B54C6E">
            <w:pPr>
              <w:widowControl/>
              <w:contextualSpacing/>
              <w:jc w:val="center"/>
              <w:rPr>
                <w:sz w:val="20"/>
                <w:szCs w:val="20"/>
              </w:rPr>
            </w:pPr>
            <w:r>
              <w:rPr>
                <w:sz w:val="20"/>
                <w:szCs w:val="20"/>
              </w:rPr>
              <w:lastRenderedPageBreak/>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lastRenderedPageBreak/>
              <w:t>Č: 39</w:t>
            </w:r>
          </w:p>
          <w:p w:rsidR="00B54C6E" w:rsidRPr="001902B7" w:rsidRDefault="00B54C6E" w:rsidP="00B95AE2">
            <w:pPr>
              <w:contextualSpacing/>
              <w:jc w:val="center"/>
              <w:rPr>
                <w:sz w:val="20"/>
                <w:szCs w:val="20"/>
              </w:rPr>
            </w:pPr>
            <w:r>
              <w:rPr>
                <w:sz w:val="20"/>
                <w:szCs w:val="20"/>
              </w:rPr>
              <w:t>O: 4</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pStyle w:val="CM4"/>
              <w:contextualSpacing/>
              <w:jc w:val="both"/>
              <w:rPr>
                <w:rFonts w:ascii="Times New Roman" w:hAnsi="Times New Roman"/>
                <w:color w:val="000000"/>
                <w:sz w:val="20"/>
                <w:szCs w:val="20"/>
              </w:rPr>
            </w:pPr>
            <w:r>
              <w:rPr>
                <w:rFonts w:ascii="Times New Roman" w:hAnsi="Times New Roman"/>
                <w:color w:val="000000"/>
                <w:sz w:val="20"/>
                <w:szCs w:val="20"/>
              </w:rPr>
              <w:t>Z</w:t>
            </w:r>
            <w:r w:rsidRPr="0049584D">
              <w:rPr>
                <w:rFonts w:ascii="Times New Roman" w:hAnsi="Times New Roman"/>
                <w:color w:val="000000"/>
                <w:sz w:val="20"/>
                <w:szCs w:val="20"/>
              </w:rPr>
              <w:t>ákazom ustanoveným v odseku 1 sa nebráni poskytovaniu informácií medzi povinnými subjektmi uvedenými v článku 2 ods. 1 bode  3 písm. a) a b) alebo subjektmi z  tretích  krajín ukladajúcimi požiadavky rovnocenné s požiadavkami ustanovenými v tejto smernici, ktoré vykonávajú svoje profesionálne činnosti, a to aj ako zamestnanci, v rámci tej istej právnickej osoby alebo väčšej štruktúry, ku ktorej osoba patrí a ktorá má spoločné vlastníctvo, riadenie alebo kontrolu dodržiavania právnych predpisov.</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Pr>
                <w:sz w:val="20"/>
                <w:szCs w:val="20"/>
              </w:rPr>
              <w:t>N</w:t>
            </w:r>
          </w:p>
        </w:tc>
        <w:tc>
          <w:tcPr>
            <w:tcW w:w="850" w:type="dxa"/>
            <w:tcBorders>
              <w:top w:val="single" w:sz="4" w:space="0" w:color="auto"/>
              <w:left w:val="nil"/>
              <w:bottom w:val="single" w:sz="4" w:space="0" w:color="auto"/>
              <w:right w:val="single" w:sz="4" w:space="0" w:color="auto"/>
            </w:tcBorders>
          </w:tcPr>
          <w:p w:rsidR="00B54C6E" w:rsidRDefault="00B54C6E" w:rsidP="00B54C6E">
            <w:pPr>
              <w:widowControl/>
              <w:contextualSpacing/>
              <w:jc w:val="center"/>
              <w:rPr>
                <w:sz w:val="20"/>
                <w:szCs w:val="20"/>
              </w:rPr>
            </w:pPr>
            <w:r w:rsidRPr="008D2E3B">
              <w:rPr>
                <w:sz w:val="20"/>
                <w:szCs w:val="20"/>
              </w:rPr>
              <w:t>z</w:t>
            </w:r>
            <w:r>
              <w:rPr>
                <w:sz w:val="20"/>
                <w:szCs w:val="20"/>
              </w:rPr>
              <w:t>ákon</w:t>
            </w:r>
            <w:r w:rsidRPr="008D2E3B">
              <w:rPr>
                <w:sz w:val="20"/>
                <w:szCs w:val="20"/>
              </w:rPr>
              <w:t xml:space="preserve"> č. 297/2008 </w:t>
            </w:r>
            <w:r>
              <w:rPr>
                <w:sz w:val="20"/>
                <w:szCs w:val="20"/>
              </w:rPr>
              <w:t>Z. z.</w:t>
            </w:r>
          </w:p>
          <w:p w:rsidR="00B54C6E" w:rsidRDefault="00B54C6E" w:rsidP="00B54C6E">
            <w:pPr>
              <w:widowControl/>
              <w:contextualSpacing/>
              <w:jc w:val="center"/>
              <w:rPr>
                <w:sz w:val="20"/>
                <w:szCs w:val="20"/>
              </w:rPr>
            </w:pPr>
            <w:r>
              <w:rPr>
                <w:sz w:val="20"/>
                <w:szCs w:val="20"/>
              </w:rPr>
              <w:t>+</w:t>
            </w:r>
          </w:p>
          <w:p w:rsidR="00B54C6E" w:rsidRPr="001902B7" w:rsidRDefault="00B54C6E" w:rsidP="00B54C6E">
            <w:pPr>
              <w:contextualSpacing/>
              <w:jc w:val="center"/>
              <w:rPr>
                <w:sz w:val="20"/>
                <w:szCs w:val="20"/>
              </w:rPr>
            </w:pPr>
            <w:r>
              <w:rPr>
                <w:sz w:val="20"/>
                <w:szCs w:val="20"/>
              </w:rPr>
              <w:t>návrh zákona</w:t>
            </w:r>
          </w:p>
        </w:tc>
        <w:tc>
          <w:tcPr>
            <w:tcW w:w="709" w:type="dxa"/>
            <w:tcBorders>
              <w:top w:val="single" w:sz="4" w:space="0" w:color="auto"/>
              <w:left w:val="single" w:sz="4" w:space="0" w:color="auto"/>
              <w:bottom w:val="single" w:sz="4" w:space="0" w:color="auto"/>
              <w:right w:val="single" w:sz="4" w:space="0" w:color="auto"/>
            </w:tcBorders>
          </w:tcPr>
          <w:p w:rsidR="00B54C6E" w:rsidRDefault="00B54C6E" w:rsidP="00B54C6E">
            <w:pPr>
              <w:widowControl/>
              <w:contextualSpacing/>
              <w:jc w:val="center"/>
              <w:rPr>
                <w:sz w:val="20"/>
                <w:szCs w:val="20"/>
              </w:rPr>
            </w:pPr>
            <w:r>
              <w:rPr>
                <w:sz w:val="20"/>
                <w:szCs w:val="20"/>
              </w:rPr>
              <w:t>§ 18</w:t>
            </w:r>
          </w:p>
          <w:p w:rsidR="00B54C6E" w:rsidRDefault="00B54C6E" w:rsidP="00B54C6E">
            <w:pPr>
              <w:widowControl/>
              <w:contextualSpacing/>
              <w:jc w:val="center"/>
              <w:rPr>
                <w:sz w:val="20"/>
                <w:szCs w:val="20"/>
              </w:rPr>
            </w:pPr>
            <w:r>
              <w:rPr>
                <w:sz w:val="20"/>
                <w:szCs w:val="20"/>
              </w:rPr>
              <w:t>O: 8</w:t>
            </w:r>
          </w:p>
          <w:p w:rsidR="00B54C6E"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r>
              <w:rPr>
                <w:sz w:val="20"/>
                <w:szCs w:val="20"/>
              </w:rPr>
              <w:t>P: b</w:t>
            </w:r>
          </w:p>
        </w:tc>
        <w:tc>
          <w:tcPr>
            <w:tcW w:w="6520" w:type="dxa"/>
            <w:tcBorders>
              <w:top w:val="single" w:sz="4" w:space="0" w:color="auto"/>
              <w:left w:val="single" w:sz="4" w:space="0" w:color="auto"/>
              <w:bottom w:val="single" w:sz="4" w:space="0" w:color="auto"/>
              <w:right w:val="single" w:sz="4" w:space="0" w:color="auto"/>
            </w:tcBorders>
          </w:tcPr>
          <w:p w:rsidR="00B54C6E" w:rsidRPr="0049584D" w:rsidRDefault="00B54C6E" w:rsidP="00B54C6E">
            <w:pPr>
              <w:contextualSpacing/>
              <w:jc w:val="both"/>
              <w:rPr>
                <w:sz w:val="20"/>
                <w:szCs w:val="20"/>
              </w:rPr>
            </w:pPr>
            <w:r w:rsidRPr="0049584D">
              <w:rPr>
                <w:sz w:val="20"/>
                <w:szCs w:val="20"/>
              </w:rPr>
              <w:t>Povinnosť mlčanlivosti podľa odseku 1 sa za predpokladu, že poskytnuté informácie sa použijú výhradne na účely predchádzania legalizácii alebo financovania terorizmu nevzťahuje na poskytovanie informácií medzi</w:t>
            </w:r>
            <w:r w:rsidRPr="0049584D">
              <w:rPr>
                <w:sz w:val="20"/>
                <w:szCs w:val="20"/>
              </w:rPr>
              <w:tab/>
            </w:r>
          </w:p>
          <w:p w:rsidR="00B54C6E" w:rsidRPr="001902B7" w:rsidRDefault="00B54C6E" w:rsidP="00B54C6E">
            <w:pPr>
              <w:contextualSpacing/>
              <w:jc w:val="both"/>
              <w:rPr>
                <w:sz w:val="20"/>
                <w:szCs w:val="20"/>
              </w:rPr>
            </w:pPr>
            <w:r w:rsidRPr="0049584D">
              <w:rPr>
                <w:sz w:val="20"/>
                <w:szCs w:val="20"/>
              </w:rPr>
              <w:t>povinnými osobami podľa § 5 ods. 1 písm. h) a j), ktoré pôsobia na území členského štátu alebo na území tretieho štátu, ktorý im ukladá povinnosti v oblasti predchádzania a odhaľovania legalizácie a financovania terorizmu rovnocenné povinnostiam ustanoveným týmto zákonom, ak vykonávajú svoju činnosť ako zamestnanci</w:t>
            </w:r>
            <w:r>
              <w:t xml:space="preserve"> </w:t>
            </w:r>
            <w:r w:rsidRPr="00DE3193">
              <w:rPr>
                <w:b/>
                <w:sz w:val="20"/>
                <w:szCs w:val="20"/>
              </w:rPr>
              <w:t>alebo na základe iného vzťahu</w:t>
            </w:r>
            <w:r w:rsidRPr="0049584D">
              <w:rPr>
                <w:sz w:val="20"/>
                <w:szCs w:val="20"/>
              </w:rPr>
              <w:t xml:space="preserve">  v rámci tej istej právnickej osoby alebo skupiny právnických osôb, ktorá má spoločné vlastníctvo, riadenie alebo kontrolu dodržiavania predpisov,</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5566B4" w:rsidP="00B54C6E">
            <w:pPr>
              <w:widowControl/>
              <w:contextualSpacing/>
              <w:jc w:val="center"/>
              <w:rPr>
                <w:sz w:val="20"/>
                <w:szCs w:val="20"/>
              </w:rPr>
            </w:pPr>
            <w:r>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40</w:t>
            </w:r>
          </w:p>
          <w:p w:rsidR="00B54C6E" w:rsidRDefault="00B54C6E" w:rsidP="00B95AE2">
            <w:pPr>
              <w:contextualSpacing/>
              <w:jc w:val="center"/>
              <w:rPr>
                <w:sz w:val="20"/>
                <w:szCs w:val="20"/>
              </w:rPr>
            </w:pPr>
            <w:r>
              <w:rPr>
                <w:sz w:val="20"/>
                <w:szCs w:val="20"/>
              </w:rPr>
              <w:t>O: 1</w:t>
            </w:r>
          </w:p>
          <w:p w:rsidR="006A3864" w:rsidRDefault="006A3864" w:rsidP="00B95AE2">
            <w:pPr>
              <w:contextualSpacing/>
              <w:jc w:val="center"/>
              <w:rPr>
                <w:sz w:val="20"/>
                <w:szCs w:val="20"/>
              </w:rPr>
            </w:pPr>
          </w:p>
          <w:p w:rsidR="006A3864" w:rsidRDefault="006A3864" w:rsidP="00B95AE2">
            <w:pPr>
              <w:contextualSpacing/>
              <w:jc w:val="center"/>
              <w:rPr>
                <w:sz w:val="20"/>
                <w:szCs w:val="20"/>
              </w:rPr>
            </w:pPr>
          </w:p>
          <w:p w:rsidR="006A3864" w:rsidRDefault="006A3864" w:rsidP="00B95AE2">
            <w:pPr>
              <w:contextualSpacing/>
              <w:jc w:val="center"/>
              <w:rPr>
                <w:sz w:val="20"/>
                <w:szCs w:val="20"/>
              </w:rPr>
            </w:pPr>
          </w:p>
          <w:p w:rsidR="006A3864" w:rsidRDefault="006A3864" w:rsidP="00B95AE2">
            <w:pPr>
              <w:contextualSpacing/>
              <w:jc w:val="center"/>
              <w:rPr>
                <w:sz w:val="20"/>
                <w:szCs w:val="20"/>
              </w:rPr>
            </w:pPr>
          </w:p>
          <w:p w:rsidR="006A3864" w:rsidRDefault="006A3864" w:rsidP="00B95AE2">
            <w:pPr>
              <w:contextualSpacing/>
              <w:jc w:val="center"/>
              <w:rPr>
                <w:sz w:val="20"/>
                <w:szCs w:val="20"/>
              </w:rPr>
            </w:pPr>
          </w:p>
          <w:p w:rsidR="00B54C6E" w:rsidRPr="001902B7" w:rsidRDefault="00B54C6E" w:rsidP="00B95AE2">
            <w:pPr>
              <w:contextualSpacing/>
              <w:jc w:val="center"/>
              <w:rPr>
                <w:sz w:val="20"/>
                <w:szCs w:val="20"/>
              </w:rPr>
            </w:pPr>
            <w:r>
              <w:rPr>
                <w:sz w:val="20"/>
                <w:szCs w:val="20"/>
              </w:rPr>
              <w:t>P: b</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Default="00B54C6E" w:rsidP="00B54C6E">
            <w:pPr>
              <w:pStyle w:val="CM4"/>
              <w:contextualSpacing/>
              <w:jc w:val="both"/>
              <w:rPr>
                <w:rFonts w:ascii="Times New Roman" w:hAnsi="Times New Roman"/>
                <w:color w:val="000000"/>
                <w:sz w:val="20"/>
                <w:szCs w:val="20"/>
              </w:rPr>
            </w:pPr>
            <w:r w:rsidRPr="0049584D">
              <w:rPr>
                <w:rFonts w:ascii="Times New Roman" w:hAnsi="Times New Roman"/>
                <w:color w:val="000000"/>
                <w:sz w:val="20"/>
                <w:szCs w:val="20"/>
              </w:rPr>
              <w:t>Členské štáty vyžadujú, aby povinné  subjekty v súlade s vnútroštátnymi právnymi predpismi na účely predchá­dzania možnému praniu špinavých peňazí alebo financovaniu  terorizmu, ich odhaľovania a vyšetrovania, ktoré vykonáva FIU alebo iné príslušné orgány, uchovával</w:t>
            </w:r>
            <w:r>
              <w:rPr>
                <w:rFonts w:ascii="Times New Roman" w:hAnsi="Times New Roman"/>
                <w:color w:val="000000"/>
                <w:sz w:val="20"/>
                <w:szCs w:val="20"/>
              </w:rPr>
              <w:t>i tieto dokumenty a informácie:</w:t>
            </w:r>
          </w:p>
          <w:p w:rsidR="00B54C6E" w:rsidRPr="001902B7" w:rsidRDefault="00B54C6E" w:rsidP="00B54C6E">
            <w:pPr>
              <w:pStyle w:val="CM4"/>
              <w:contextualSpacing/>
              <w:jc w:val="both"/>
              <w:rPr>
                <w:rFonts w:ascii="Times New Roman" w:hAnsi="Times New Roman"/>
                <w:color w:val="000000"/>
                <w:sz w:val="20"/>
                <w:szCs w:val="20"/>
              </w:rPr>
            </w:pPr>
            <w:r w:rsidRPr="0049584D">
              <w:rPr>
                <w:rFonts w:ascii="Times New Roman" w:hAnsi="Times New Roman"/>
                <w:color w:val="000000"/>
                <w:sz w:val="20"/>
                <w:szCs w:val="20"/>
              </w:rPr>
              <w:t>podporné dôkazy a záznamy o transakciách pozostávajúce z originálnych dokumentov alebo kópií prípustných pre súdne konanie podľa uplatniteľných vnútroštátnych právnych predpisov, ktoré sú potrebné na identifikáciu transakcií, po dobu piatich rokov od ukončenia obchodného vzťahu s klientom alebo od dátumu príležitostnej transakcie.</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Pr="001902B7" w:rsidRDefault="00B54C6E" w:rsidP="00B54C6E">
            <w:pPr>
              <w:pStyle w:val="Normlny0"/>
              <w:widowControl/>
              <w:contextualSpacing/>
              <w:jc w:val="center"/>
            </w:pPr>
            <w:r>
              <w:t>návrh zákona</w:t>
            </w:r>
          </w:p>
          <w:p w:rsidR="00B54C6E" w:rsidRPr="001902B7" w:rsidRDefault="00B54C6E" w:rsidP="00B54C6E">
            <w:pPr>
              <w:pStyle w:val="Normlny0"/>
              <w:widowControl/>
              <w:contextualSpacing/>
              <w:jc w:val="center"/>
            </w:pP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t>§ 19</w:t>
            </w:r>
          </w:p>
          <w:p w:rsidR="00B54C6E" w:rsidRDefault="00B54C6E" w:rsidP="00B54C6E">
            <w:pPr>
              <w:widowControl/>
              <w:contextualSpacing/>
              <w:jc w:val="center"/>
              <w:rPr>
                <w:sz w:val="20"/>
                <w:szCs w:val="20"/>
              </w:rPr>
            </w:pPr>
            <w:r>
              <w:rPr>
                <w:sz w:val="20"/>
                <w:szCs w:val="20"/>
              </w:rPr>
              <w:t>O: 2</w:t>
            </w:r>
          </w:p>
          <w:p w:rsidR="006A3864" w:rsidRDefault="006A3864" w:rsidP="00B54C6E">
            <w:pPr>
              <w:widowControl/>
              <w:contextualSpacing/>
              <w:jc w:val="center"/>
              <w:rPr>
                <w:sz w:val="20"/>
                <w:szCs w:val="20"/>
              </w:rPr>
            </w:pPr>
          </w:p>
          <w:p w:rsidR="006A3864" w:rsidRPr="001902B7" w:rsidRDefault="006A3864" w:rsidP="00B54C6E">
            <w:pPr>
              <w:widowControl/>
              <w:contextualSpacing/>
              <w:jc w:val="center"/>
              <w:rPr>
                <w:sz w:val="20"/>
                <w:szCs w:val="20"/>
              </w:rPr>
            </w:pPr>
            <w:r>
              <w:rPr>
                <w:sz w:val="20"/>
                <w:szCs w:val="20"/>
              </w:rPr>
              <w:t>P: a)</w:t>
            </w:r>
          </w:p>
          <w:p w:rsidR="00B54C6E" w:rsidRPr="001902B7" w:rsidRDefault="006A3864" w:rsidP="00B54C6E">
            <w:pPr>
              <w:widowControl/>
              <w:contextualSpacing/>
              <w:jc w:val="center"/>
              <w:rPr>
                <w:sz w:val="20"/>
                <w:szCs w:val="20"/>
              </w:rPr>
            </w:pPr>
            <w:r>
              <w:rPr>
                <w:sz w:val="20"/>
                <w:szCs w:val="20"/>
              </w:rPr>
              <w:t>P: b)</w:t>
            </w:r>
          </w:p>
        </w:tc>
        <w:tc>
          <w:tcPr>
            <w:tcW w:w="6520" w:type="dxa"/>
            <w:tcBorders>
              <w:top w:val="single" w:sz="4" w:space="0" w:color="auto"/>
              <w:left w:val="single" w:sz="4" w:space="0" w:color="auto"/>
              <w:bottom w:val="single" w:sz="4" w:space="0" w:color="auto"/>
              <w:right w:val="single" w:sz="4" w:space="0" w:color="auto"/>
            </w:tcBorders>
          </w:tcPr>
          <w:p w:rsidR="00B54C6E" w:rsidRDefault="00B54C6E" w:rsidP="00B54C6E">
            <w:pPr>
              <w:contextualSpacing/>
              <w:jc w:val="both"/>
              <w:rPr>
                <w:sz w:val="20"/>
                <w:szCs w:val="20"/>
              </w:rPr>
            </w:pPr>
            <w:r w:rsidRPr="00EC780C">
              <w:rPr>
                <w:sz w:val="20"/>
                <w:szCs w:val="20"/>
              </w:rPr>
              <w:t>Povinná osoba je povinná uchovávať počas piatich rokov od skončenia zmluvného vzťahu s klientom alebo od vykonania príležitostného obchodu mimo obchodného vzťahu</w:t>
            </w:r>
          </w:p>
          <w:p w:rsidR="00B54C6E" w:rsidRDefault="00B54C6E" w:rsidP="00B54C6E">
            <w:pPr>
              <w:contextualSpacing/>
              <w:jc w:val="both"/>
              <w:rPr>
                <w:sz w:val="20"/>
                <w:szCs w:val="20"/>
              </w:rPr>
            </w:pPr>
            <w:r w:rsidRPr="00EC780C">
              <w:rPr>
                <w:sz w:val="20"/>
                <w:szCs w:val="20"/>
              </w:rPr>
              <w:t xml:space="preserve">údaje a písomné doklady získané podľa § 10, </w:t>
            </w:r>
            <w:r w:rsidR="006A3864">
              <w:rPr>
                <w:sz w:val="20"/>
                <w:szCs w:val="20"/>
              </w:rPr>
              <w:t xml:space="preserve">§ </w:t>
            </w:r>
            <w:r w:rsidRPr="00EC780C">
              <w:rPr>
                <w:sz w:val="20"/>
                <w:szCs w:val="20"/>
              </w:rPr>
              <w:t xml:space="preserve">11, </w:t>
            </w:r>
            <w:r w:rsidR="006A3864">
              <w:rPr>
                <w:sz w:val="20"/>
                <w:szCs w:val="20"/>
              </w:rPr>
              <w:t xml:space="preserve">§ </w:t>
            </w:r>
            <w:r w:rsidRPr="00EC780C">
              <w:rPr>
                <w:sz w:val="20"/>
                <w:szCs w:val="20"/>
              </w:rPr>
              <w:t>12 a 14,</w:t>
            </w:r>
          </w:p>
          <w:p w:rsidR="00B54C6E" w:rsidRPr="001902B7" w:rsidRDefault="00B54C6E" w:rsidP="00B54C6E">
            <w:pPr>
              <w:contextualSpacing/>
              <w:jc w:val="both"/>
              <w:rPr>
                <w:sz w:val="20"/>
                <w:szCs w:val="20"/>
              </w:rPr>
            </w:pPr>
            <w:r w:rsidRPr="00EC780C">
              <w:rPr>
                <w:sz w:val="20"/>
                <w:szCs w:val="20"/>
              </w:rPr>
              <w:t xml:space="preserve">všetky údaje a písomné </w:t>
            </w:r>
            <w:r w:rsidR="006A3864">
              <w:rPr>
                <w:sz w:val="20"/>
                <w:szCs w:val="20"/>
              </w:rPr>
              <w:t>doklady o vykonaných obchodoch,</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rPr>
                <w:b w:val="0"/>
                <w:bCs w:val="0"/>
                <w:sz w:val="20"/>
                <w:szCs w:val="20"/>
              </w:rPr>
            </w:pPr>
          </w:p>
        </w:tc>
      </w:tr>
      <w:tr w:rsidR="00B54C6E" w:rsidRPr="001902B7" w:rsidTr="00AF7DD5">
        <w:trPr>
          <w:trHeight w:val="416"/>
        </w:trPr>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lastRenderedPageBreak/>
              <w:t>Č: 40</w:t>
            </w:r>
          </w:p>
          <w:p w:rsidR="00B54C6E" w:rsidRDefault="00B54C6E" w:rsidP="00B95AE2">
            <w:pPr>
              <w:contextualSpacing/>
              <w:jc w:val="center"/>
              <w:rPr>
                <w:sz w:val="20"/>
                <w:szCs w:val="20"/>
              </w:rPr>
            </w:pPr>
            <w:r>
              <w:rPr>
                <w:sz w:val="20"/>
                <w:szCs w:val="20"/>
              </w:rPr>
              <w:t>O: 1</w:t>
            </w:r>
          </w:p>
          <w:p w:rsidR="00B54C6E" w:rsidRDefault="00B54C6E" w:rsidP="00B95AE2">
            <w:pPr>
              <w:contextualSpacing/>
              <w:jc w:val="center"/>
              <w:rPr>
                <w:sz w:val="20"/>
                <w:szCs w:val="20"/>
              </w:rPr>
            </w:pPr>
            <w:r>
              <w:rPr>
                <w:sz w:val="20"/>
                <w:szCs w:val="20"/>
              </w:rPr>
              <w:t>V: 2</w:t>
            </w:r>
          </w:p>
          <w:p w:rsidR="00B54C6E" w:rsidRPr="001902B7" w:rsidRDefault="00B54C6E" w:rsidP="00B95AE2">
            <w:pPr>
              <w:contextualSpacing/>
              <w:jc w:val="center"/>
              <w:rPr>
                <w:sz w:val="20"/>
                <w:szCs w:val="20"/>
              </w:rPr>
            </w:pP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pStyle w:val="CM4"/>
              <w:contextualSpacing/>
              <w:jc w:val="both"/>
              <w:rPr>
                <w:rFonts w:ascii="Times New Roman" w:hAnsi="Times New Roman"/>
                <w:color w:val="000000"/>
                <w:sz w:val="20"/>
                <w:szCs w:val="20"/>
              </w:rPr>
            </w:pPr>
            <w:r w:rsidRPr="00EC780C">
              <w:rPr>
                <w:rFonts w:ascii="Times New Roman" w:hAnsi="Times New Roman"/>
                <w:color w:val="000000"/>
                <w:sz w:val="20"/>
                <w:szCs w:val="20"/>
              </w:rPr>
              <w:t>Po uplynutí obdobia uchovávania uvedeného v prvom pododseku členské štáty zabezpečia, aby  povinné subjekty vymazali osobné údaje, pokiaľ sa neustanovuje inak vo  vnútroštátnych právnych predpisoch, ktorými sa stanoví, za akých okolností povinné subjekty môžu alebo musia naďalej uchovávať údaje. Členské štáty môžu povoliť  alebo vyžadovať ďalšie uchovávanie po tom,  ako vykonajú dôkladné posúdenie potreby a  primeranosti takéhoto ďalšieho uchovávania, pričom sa to považuje za opodstatnene potrebné na účely predchádzania praniu špinavých peňazí alebo financovaniu terorizmu, ich odhaľovania a vyšetrovania. Toto ďalšie obdobia uchovávania nesmie presiahnuť ďalších päť rokov.</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ákon č. 297/2008 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t>§ 19</w:t>
            </w:r>
          </w:p>
          <w:p w:rsidR="00B54C6E" w:rsidRPr="001902B7" w:rsidRDefault="00B54C6E" w:rsidP="00B54C6E">
            <w:pPr>
              <w:widowControl/>
              <w:contextualSpacing/>
              <w:jc w:val="center"/>
              <w:rPr>
                <w:sz w:val="20"/>
                <w:szCs w:val="20"/>
              </w:rPr>
            </w:pPr>
            <w:r>
              <w:rPr>
                <w:sz w:val="20"/>
                <w:szCs w:val="20"/>
              </w:rPr>
              <w:t>O: 3</w:t>
            </w: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sz w:val="20"/>
                <w:szCs w:val="20"/>
              </w:rPr>
            </w:pPr>
            <w:r w:rsidRPr="00EC780C">
              <w:rPr>
                <w:sz w:val="20"/>
                <w:szCs w:val="20"/>
              </w:rPr>
              <w:t>Povinná osoba je povinná uchovávať údaje a písomné doklady podľa odseku 2 aj dlhšie ako päť rokov, ak o to písomne požiada finančná spravodajská jednotka</w:t>
            </w:r>
            <w:r>
              <w:t xml:space="preserve"> </w:t>
            </w:r>
            <w:r w:rsidRPr="00DE3193">
              <w:rPr>
                <w:b/>
                <w:sz w:val="20"/>
                <w:szCs w:val="20"/>
              </w:rPr>
              <w:t>po dôkladnom posúdení potreby a primeranosti takéhoto ďalšieho uchovávania. Finančná</w:t>
            </w:r>
            <w:r w:rsidRPr="00EC780C">
              <w:rPr>
                <w:sz w:val="20"/>
                <w:szCs w:val="20"/>
              </w:rPr>
              <w:t xml:space="preserve"> spravodajská jednotka v žiadosti uvedie lehotu, ktorá nesmie presiahnuť ďalších päť rokov, a rozsah uchovávania údajov a písomných dokladov.</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42</w:t>
            </w:r>
          </w:p>
          <w:p w:rsidR="00B54C6E" w:rsidRPr="001902B7" w:rsidRDefault="00B54C6E" w:rsidP="00B95AE2">
            <w:pPr>
              <w:contextualSpacing/>
              <w:jc w:val="center"/>
              <w:rPr>
                <w:sz w:val="20"/>
                <w:szCs w:val="20"/>
              </w:rPr>
            </w:pP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pStyle w:val="CM4"/>
              <w:contextualSpacing/>
              <w:jc w:val="both"/>
              <w:rPr>
                <w:rFonts w:ascii="Times New Roman" w:hAnsi="Times New Roman"/>
                <w:sz w:val="20"/>
                <w:szCs w:val="20"/>
              </w:rPr>
            </w:pPr>
            <w:r w:rsidRPr="00EC780C">
              <w:rPr>
                <w:rFonts w:ascii="Times New Roman" w:hAnsi="Times New Roman"/>
                <w:sz w:val="20"/>
                <w:szCs w:val="20"/>
              </w:rPr>
              <w:t>Členské štáty vyžadujú, aby ich povinné subjekty mali zavedené systémy, ktoré im umožnia v plnom rozsahu a rýchlo reagovať na otázky ich FIU alebo ostatných orgánov v súlade s ich vnútroštátnymi právnymi predpismi, pokiaľ ide o to, či majú alebo mali počas piatich rokov predchádzajúcich danej otázke obchodný vzťah s určitými osobami, a pokiaľ ide o povahu tohto vzťahu, prostredníctvom bezpečných kanálov a spôsobom, ktorý zabezpečuje úplnú dôvernosť takýchto otázok.</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ákon č. 297/2008 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w:t>
            </w:r>
            <w:r>
              <w:rPr>
                <w:sz w:val="20"/>
                <w:szCs w:val="20"/>
              </w:rPr>
              <w:t xml:space="preserve"> 21</w:t>
            </w:r>
          </w:p>
          <w:p w:rsidR="00B54C6E" w:rsidRPr="001902B7" w:rsidRDefault="00B54C6E" w:rsidP="00B54C6E">
            <w:pPr>
              <w:widowControl/>
              <w:contextualSpacing/>
              <w:jc w:val="center"/>
              <w:rPr>
                <w:sz w:val="20"/>
                <w:szCs w:val="20"/>
              </w:rPr>
            </w:pPr>
            <w:r>
              <w:rPr>
                <w:sz w:val="20"/>
                <w:szCs w:val="20"/>
              </w:rPr>
              <w:t>O: 2</w:t>
            </w:r>
          </w:p>
          <w:p w:rsidR="00B54C6E" w:rsidRPr="001902B7" w:rsidRDefault="00B54C6E" w:rsidP="00B54C6E">
            <w:pPr>
              <w:widowControl/>
              <w:contextualSpacing/>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sz w:val="20"/>
                <w:szCs w:val="20"/>
              </w:rPr>
            </w:pPr>
            <w:r w:rsidRPr="00EC780C">
              <w:rPr>
                <w:sz w:val="20"/>
                <w:szCs w:val="20"/>
              </w:rPr>
              <w:t>Povinná osoba je povinná zaviesť účinný systém zodpovedajúci veľkosti a povahe činnosti povinnej osoby, ktorý umožní</w:t>
            </w:r>
            <w:r>
              <w:rPr>
                <w:sz w:val="20"/>
                <w:szCs w:val="20"/>
              </w:rPr>
              <w:t xml:space="preserve"> </w:t>
            </w:r>
            <w:r>
              <w:t xml:space="preserve"> </w:t>
            </w:r>
            <w:r w:rsidRPr="00DE3193">
              <w:rPr>
                <w:b/>
                <w:sz w:val="20"/>
                <w:szCs w:val="20"/>
              </w:rPr>
              <w:t>prostredníctvom bezpečných komunikačných kanálov zaručujúcich dôvernosť komunikácie</w:t>
            </w:r>
            <w:r w:rsidRPr="00EC780C">
              <w:rPr>
                <w:sz w:val="20"/>
                <w:szCs w:val="20"/>
              </w:rPr>
              <w:t xml:space="preserve"> bezodkladne poskytnúť finančnej spravodajskej jednotke na jej žiadosť údaje podľa odseku 1.</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44</w:t>
            </w:r>
          </w:p>
          <w:p w:rsidR="00B54C6E" w:rsidRDefault="00B54C6E" w:rsidP="00B95AE2">
            <w:pPr>
              <w:contextualSpacing/>
              <w:jc w:val="center"/>
              <w:rPr>
                <w:sz w:val="20"/>
                <w:szCs w:val="20"/>
              </w:rPr>
            </w:pPr>
            <w:r>
              <w:rPr>
                <w:sz w:val="20"/>
                <w:szCs w:val="20"/>
              </w:rPr>
              <w:t>O: 2</w:t>
            </w:r>
          </w:p>
          <w:p w:rsidR="00B54C6E" w:rsidRPr="001902B7" w:rsidRDefault="00B54C6E" w:rsidP="00B95AE2">
            <w:pPr>
              <w:contextualSpacing/>
              <w:jc w:val="center"/>
              <w:rPr>
                <w:sz w:val="20"/>
                <w:szCs w:val="20"/>
              </w:rPr>
            </w:pPr>
            <w:r>
              <w:rPr>
                <w:sz w:val="20"/>
                <w:szCs w:val="20"/>
              </w:rPr>
              <w:t>P: a</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6A3864" w:rsidRDefault="006A3864" w:rsidP="00B54C6E">
            <w:pPr>
              <w:pStyle w:val="CM4"/>
              <w:contextualSpacing/>
              <w:jc w:val="both"/>
              <w:rPr>
                <w:rFonts w:ascii="Times New Roman" w:hAnsi="Times New Roman"/>
                <w:color w:val="000000"/>
                <w:sz w:val="20"/>
                <w:szCs w:val="20"/>
              </w:rPr>
            </w:pPr>
          </w:p>
          <w:p w:rsidR="00B54C6E" w:rsidRDefault="00B54C6E" w:rsidP="00B54C6E">
            <w:pPr>
              <w:pStyle w:val="CM4"/>
              <w:contextualSpacing/>
              <w:jc w:val="both"/>
              <w:rPr>
                <w:rFonts w:ascii="Times New Roman" w:hAnsi="Times New Roman"/>
                <w:color w:val="000000"/>
                <w:sz w:val="20"/>
                <w:szCs w:val="20"/>
              </w:rPr>
            </w:pPr>
            <w:r w:rsidRPr="00EC780C">
              <w:rPr>
                <w:rFonts w:ascii="Times New Roman" w:hAnsi="Times New Roman"/>
                <w:color w:val="000000"/>
                <w:sz w:val="20"/>
                <w:szCs w:val="20"/>
              </w:rPr>
              <w:t>Štatisti</w:t>
            </w:r>
            <w:r>
              <w:rPr>
                <w:rFonts w:ascii="Times New Roman" w:hAnsi="Times New Roman"/>
                <w:color w:val="000000"/>
                <w:sz w:val="20"/>
                <w:szCs w:val="20"/>
              </w:rPr>
              <w:t>ky uvedené v odseku 1 obsahujú:</w:t>
            </w:r>
          </w:p>
          <w:p w:rsidR="00B54C6E" w:rsidRPr="001902B7" w:rsidRDefault="00B54C6E" w:rsidP="00B54C6E">
            <w:pPr>
              <w:pStyle w:val="CM4"/>
              <w:contextualSpacing/>
              <w:jc w:val="both"/>
              <w:rPr>
                <w:rFonts w:ascii="Times New Roman" w:hAnsi="Times New Roman"/>
                <w:color w:val="000000"/>
                <w:sz w:val="20"/>
                <w:szCs w:val="20"/>
              </w:rPr>
            </w:pPr>
            <w:r w:rsidRPr="00EC780C">
              <w:rPr>
                <w:rFonts w:ascii="Times New Roman" w:hAnsi="Times New Roman"/>
                <w:color w:val="000000"/>
                <w:sz w:val="20"/>
                <w:szCs w:val="20"/>
              </w:rPr>
              <w:t>údaje o veľkosti a význame rôznych  sektorov, ktoré patria do rozsahu pôsobnosti tejto smernice vrátane počtu subjektov a osôb a hospodárskeho významu každého sektora;</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ákon č. 297/2008 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Default="00B54C6E" w:rsidP="00B54C6E">
            <w:pPr>
              <w:widowControl/>
              <w:contextualSpacing/>
              <w:jc w:val="center"/>
              <w:rPr>
                <w:sz w:val="20"/>
                <w:szCs w:val="20"/>
              </w:rPr>
            </w:pPr>
            <w:r>
              <w:rPr>
                <w:sz w:val="20"/>
                <w:szCs w:val="20"/>
              </w:rPr>
              <w:t>§ 27</w:t>
            </w:r>
          </w:p>
          <w:p w:rsidR="00B54C6E" w:rsidRPr="001902B7" w:rsidRDefault="00B54C6E" w:rsidP="00B54C6E">
            <w:pPr>
              <w:widowControl/>
              <w:contextualSpacing/>
              <w:jc w:val="center"/>
              <w:rPr>
                <w:sz w:val="20"/>
                <w:szCs w:val="20"/>
              </w:rPr>
            </w:pPr>
            <w:r>
              <w:rPr>
                <w:sz w:val="20"/>
                <w:szCs w:val="20"/>
              </w:rPr>
              <w:t>O: 1</w:t>
            </w: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sz w:val="20"/>
                <w:szCs w:val="20"/>
              </w:rPr>
            </w:pPr>
            <w:r w:rsidRPr="00EC780C">
              <w:rPr>
                <w:sz w:val="20"/>
                <w:szCs w:val="20"/>
              </w:rPr>
              <w:t>Finančná spravodajská jednotka vedie súhrnné štatistické údaje, ktoré zahŕňajú</w:t>
            </w:r>
            <w:r>
              <w:rPr>
                <w:sz w:val="20"/>
                <w:szCs w:val="20"/>
              </w:rPr>
              <w:t xml:space="preserve"> </w:t>
            </w:r>
            <w:r>
              <w:t xml:space="preserve"> </w:t>
            </w:r>
            <w:r w:rsidRPr="00DE3193">
              <w:rPr>
                <w:b/>
                <w:sz w:val="20"/>
                <w:szCs w:val="20"/>
              </w:rPr>
              <w:t>údaje o veľkosti  a význame sektorov patria</w:t>
            </w:r>
            <w:r>
              <w:rPr>
                <w:b/>
                <w:sz w:val="20"/>
                <w:szCs w:val="20"/>
              </w:rPr>
              <w:t>cich do pôsobnosti tohto zákona</w:t>
            </w:r>
            <w:r w:rsidRPr="00DE3193">
              <w:rPr>
                <w:b/>
                <w:sz w:val="20"/>
                <w:szCs w:val="20"/>
              </w:rPr>
              <w:t xml:space="preserve"> vrátane počtu subjektov v týchto sektoroch a hospodárskeho významu každého sektora</w:t>
            </w:r>
            <w:r>
              <w:rPr>
                <w:b/>
                <w:sz w:val="20"/>
                <w:szCs w:val="20"/>
              </w:rPr>
              <w:t>,</w:t>
            </w:r>
            <w:r w:rsidRPr="00944BB2">
              <w:rPr>
                <w:sz w:val="20"/>
                <w:szCs w:val="20"/>
              </w:rPr>
              <w:t xml:space="preserve"> </w:t>
            </w:r>
            <w:r w:rsidRPr="00EC780C">
              <w:rPr>
                <w:sz w:val="20"/>
                <w:szCs w:val="20"/>
              </w:rPr>
              <w:t>počet prijatých hlásení o neobvyklých obchodných operáciách, jednotlivé spôsoby spracovania hlásení o neobvyklých obchodných operáciách a ich počet, vrátane počtu prípadov odstúpených orgánom činným v trestnom konaní alebo správcom daní za kalendárny rok a počet stíhaných osôb, počet osôb odsúdených za trestný čin legalizácie príjmu z trestnej činnosti a za trestný čin terorizmu a niektorých foriem účasti na terorizme, druhy trestných činov, hodnotu zaisteného majetku, prepadnutého majetku alebo zhabaného majetku, počet pridelených ľudských zdrojov, údaje o počte a výsledkoch vykonaných kontrol, druhoch uložených sankcií, výšku uložených pokút a údaje o počte a spôsobe vybavenia žiadostí od zahraničných partnerských subjektov. Finančná spravodajská jednotka raz ročne uverejňuje súhrnný prehľad týchto štatistických údajov vo výročnej správe. Súčasťou správ finančnej spravodajskej jednotky sú informácie o činnosti jednotky</w:t>
            </w:r>
            <w:r>
              <w:rPr>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5566B4" w:rsidP="00B54C6E">
            <w:pPr>
              <w:widowControl/>
              <w:contextualSpacing/>
              <w:jc w:val="center"/>
              <w:rPr>
                <w:sz w:val="20"/>
                <w:szCs w:val="20"/>
              </w:rPr>
            </w:pPr>
            <w:r>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45</w:t>
            </w:r>
          </w:p>
          <w:p w:rsidR="00B54C6E" w:rsidRPr="001902B7" w:rsidRDefault="00B54C6E" w:rsidP="00B95AE2">
            <w:pPr>
              <w:contextualSpacing/>
              <w:jc w:val="center"/>
              <w:rPr>
                <w:sz w:val="20"/>
                <w:szCs w:val="20"/>
              </w:rPr>
            </w:pPr>
            <w:r>
              <w:rPr>
                <w:sz w:val="20"/>
                <w:szCs w:val="20"/>
              </w:rPr>
              <w:t>O: 5</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6A3864">
            <w:pPr>
              <w:pStyle w:val="CM4"/>
              <w:contextualSpacing/>
              <w:jc w:val="both"/>
              <w:rPr>
                <w:rFonts w:ascii="Times New Roman" w:hAnsi="Times New Roman"/>
                <w:color w:val="000000"/>
                <w:sz w:val="20"/>
                <w:szCs w:val="20"/>
              </w:rPr>
            </w:pPr>
            <w:r w:rsidRPr="00944BB2">
              <w:rPr>
                <w:rFonts w:ascii="Times New Roman" w:hAnsi="Times New Roman"/>
                <w:color w:val="000000"/>
                <w:sz w:val="20"/>
                <w:szCs w:val="20"/>
              </w:rPr>
              <w:lastRenderedPageBreak/>
              <w:t xml:space="preserve">Členské štáty vyžadujú, aby v prípadoch, keď právo tretej krajiny nepovoľuje vykonávanie </w:t>
            </w:r>
            <w:r w:rsidRPr="00944BB2">
              <w:rPr>
                <w:rFonts w:ascii="Times New Roman" w:hAnsi="Times New Roman"/>
                <w:color w:val="000000"/>
                <w:sz w:val="20"/>
                <w:szCs w:val="20"/>
              </w:rPr>
              <w:lastRenderedPageBreak/>
              <w:t xml:space="preserve">politík a postupov vyžadovaných  podľa odseku 1, povinné subjekty zabezpečili, aby </w:t>
            </w:r>
            <w:r>
              <w:rPr>
                <w:rFonts w:ascii="Times New Roman" w:hAnsi="Times New Roman"/>
                <w:color w:val="000000"/>
                <w:sz w:val="20"/>
                <w:szCs w:val="20"/>
              </w:rPr>
              <w:t>p</w:t>
            </w:r>
            <w:r w:rsidRPr="00944BB2">
              <w:rPr>
                <w:rFonts w:ascii="Times New Roman" w:hAnsi="Times New Roman"/>
                <w:color w:val="000000"/>
                <w:sz w:val="20"/>
                <w:szCs w:val="20"/>
              </w:rPr>
              <w:t>obočky a dcérske spoločnosti vo  väčšinovom vlastníctve v tejto tretej krajine uplatnili dodatočné opatrenia na účinné zvládnutie rizika prania špinavých peňazí alebo financovania terorizmu a informovali príslušné orgány svojho domovského členského štátu. Ak dodatočné opatrenia nie sú dostatočné, príslušné orgány domovského členského štátu vykonajú ďalšie opatrenia dohľadu vrátane toho, že vyžadujú, aby skupina nezakladala alebo aby ukončila obchodné vzťahy, a nevykonávala transakcie a prípadne vyžadujú, aby skupina zatvorila svoje prevádzky v predmetnej tretej krajine.</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lastRenderedPageBreak/>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 xml:space="preserve">ákon č. 297/2008 </w:t>
            </w:r>
            <w:r w:rsidRPr="001902B7">
              <w:lastRenderedPageBreak/>
              <w:t>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lastRenderedPageBreak/>
              <w:t>§ 21</w:t>
            </w:r>
          </w:p>
          <w:p w:rsidR="00B54C6E" w:rsidRPr="001902B7" w:rsidRDefault="00B54C6E" w:rsidP="00B54C6E">
            <w:pPr>
              <w:widowControl/>
              <w:contextualSpacing/>
              <w:jc w:val="center"/>
              <w:rPr>
                <w:sz w:val="20"/>
                <w:szCs w:val="20"/>
              </w:rPr>
            </w:pPr>
            <w:r>
              <w:rPr>
                <w:sz w:val="20"/>
                <w:szCs w:val="20"/>
              </w:rPr>
              <w:t>O: 5</w:t>
            </w:r>
          </w:p>
          <w:p w:rsidR="00B54C6E" w:rsidRPr="001902B7" w:rsidRDefault="00B54C6E" w:rsidP="00B54C6E">
            <w:pPr>
              <w:pStyle w:val="Normlny0"/>
              <w:widowControl/>
              <w:contextualSpacing/>
              <w:jc w:val="center"/>
            </w:pPr>
          </w:p>
        </w:tc>
        <w:tc>
          <w:tcPr>
            <w:tcW w:w="6520" w:type="dxa"/>
            <w:tcBorders>
              <w:top w:val="single" w:sz="4" w:space="0" w:color="auto"/>
              <w:left w:val="single" w:sz="4" w:space="0" w:color="auto"/>
              <w:bottom w:val="single" w:sz="4" w:space="0" w:color="auto"/>
              <w:right w:val="single" w:sz="4" w:space="0" w:color="auto"/>
            </w:tcBorders>
          </w:tcPr>
          <w:p w:rsidR="00B54C6E" w:rsidRDefault="00B54C6E" w:rsidP="00B54C6E">
            <w:pPr>
              <w:contextualSpacing/>
              <w:jc w:val="both"/>
              <w:rPr>
                <w:sz w:val="20"/>
                <w:szCs w:val="20"/>
              </w:rPr>
            </w:pPr>
            <w:r w:rsidRPr="00944BB2">
              <w:rPr>
                <w:sz w:val="20"/>
                <w:szCs w:val="20"/>
              </w:rPr>
              <w:lastRenderedPageBreak/>
              <w:t xml:space="preserve">Povinná osoba je povinná vo svojich pobočkách alebo v dcérskych spoločnostiach, ktoré sa nachádzajú na území tretieho štátu, vykonávať </w:t>
            </w:r>
            <w:r w:rsidRPr="00944BB2">
              <w:rPr>
                <w:sz w:val="20"/>
                <w:szCs w:val="20"/>
              </w:rPr>
              <w:lastRenderedPageBreak/>
              <w:t>opatrenia rovnocenné vykonávaniu starostlivosti vo vzťahu ku klientovi podľa § 10, § 11 a 12 a uchovávaniu údajov podľa § 19 v súlade s požiadavkami práva Európskej únie. Ak právne predpisy tretieho štátu nedovoľujú vykonávanie takýchto opatrení, povinná osoba je povinná o tom informovať finančnú spravodajskú jednotku a prijať dodatočné opatrenia podľa osobitného predpisu.</w:t>
            </w:r>
            <w:r w:rsidRPr="00944BB2">
              <w:rPr>
                <w:sz w:val="20"/>
                <w:szCs w:val="20"/>
                <w:vertAlign w:val="superscript"/>
              </w:rPr>
              <w:t>50a</w:t>
            </w:r>
            <w:r w:rsidRPr="00DE3193">
              <w:rPr>
                <w:sz w:val="20"/>
                <w:szCs w:val="20"/>
              </w:rPr>
              <w:t>)</w:t>
            </w:r>
            <w:r>
              <w:rPr>
                <w:sz w:val="20"/>
                <w:szCs w:val="20"/>
              </w:rPr>
              <w:t xml:space="preserve"> </w:t>
            </w:r>
            <w:r w:rsidRPr="00DE3193">
              <w:rPr>
                <w:b/>
                <w:sz w:val="20"/>
                <w:szCs w:val="20"/>
              </w:rPr>
              <w:t>Ak dodatočné opatrenia nie sú dostatočné, finančná spravodajská jednotka alebo Národná banka Slovenska vykon</w:t>
            </w:r>
            <w:r w:rsidR="002C6982">
              <w:rPr>
                <w:b/>
                <w:sz w:val="20"/>
                <w:szCs w:val="20"/>
              </w:rPr>
              <w:t xml:space="preserve">á ďalšie opatrenia dohľadu; najmä </w:t>
            </w:r>
            <w:r w:rsidRPr="00DE3193">
              <w:rPr>
                <w:b/>
                <w:sz w:val="20"/>
                <w:szCs w:val="20"/>
              </w:rPr>
              <w:t>vyžad</w:t>
            </w:r>
            <w:r w:rsidR="002C6982">
              <w:rPr>
                <w:b/>
                <w:sz w:val="20"/>
                <w:szCs w:val="20"/>
              </w:rPr>
              <w:t>uje</w:t>
            </w:r>
            <w:r w:rsidRPr="00DE3193">
              <w:rPr>
                <w:b/>
                <w:sz w:val="20"/>
                <w:szCs w:val="20"/>
              </w:rPr>
              <w:t>, aby pobočka alebo dcérska spoločnosť nezakladala alebo ukončila obchodné vzťahy, nevykonávala obchody, prípadne aby ukončila pôsobenie v danom treťom štáte.</w:t>
            </w:r>
            <w:r w:rsidRPr="00944BB2">
              <w:rPr>
                <w:sz w:val="20"/>
                <w:szCs w:val="20"/>
              </w:rPr>
              <w:t xml:space="preserve"> Ak finančná spravodajská jednotka alebo Národná banka Slovenska zistí, že právne predpisy tretieho štátu nedovoľujú vykonávanie skupinových stratégií, informuje o tom účastníkov Európskeho systému finančného dohľadu.</w:t>
            </w:r>
            <w:r w:rsidRPr="00944BB2">
              <w:rPr>
                <w:sz w:val="20"/>
                <w:szCs w:val="20"/>
                <w:vertAlign w:val="superscript"/>
              </w:rPr>
              <w:t>50b</w:t>
            </w:r>
            <w:r w:rsidRPr="00DE3193">
              <w:rPr>
                <w:sz w:val="20"/>
                <w:szCs w:val="20"/>
              </w:rPr>
              <w:t>)</w:t>
            </w:r>
            <w:r w:rsidRPr="00944BB2">
              <w:rPr>
                <w:sz w:val="20"/>
                <w:szCs w:val="20"/>
              </w:rPr>
              <w:t xml:space="preserve"> Pri posudzovaní právnych predpisov tretieho štátu sa zohľadňujú všetky právne prekážky tretieho štátu brániace riadnemu vykonávaniu skupinových stratégií vrátane postupov pre výmenu informácií v rámci skupiny a ochrany osobných údajov v rozsahu, ktorý právo tretieho štátu umožňuje.</w:t>
            </w:r>
          </w:p>
          <w:p w:rsidR="00B54C6E" w:rsidRDefault="00B54C6E" w:rsidP="00B54C6E">
            <w:pPr>
              <w:contextualSpacing/>
              <w:jc w:val="both"/>
              <w:rPr>
                <w:sz w:val="20"/>
                <w:szCs w:val="20"/>
              </w:rPr>
            </w:pPr>
          </w:p>
          <w:p w:rsidR="00B54C6E" w:rsidRPr="00896E33" w:rsidRDefault="00B54C6E" w:rsidP="00B54C6E">
            <w:pPr>
              <w:contextualSpacing/>
              <w:jc w:val="both"/>
              <w:rPr>
                <w:sz w:val="16"/>
                <w:szCs w:val="16"/>
              </w:rPr>
            </w:pPr>
            <w:r w:rsidRPr="00896E33">
              <w:rPr>
                <w:sz w:val="16"/>
                <w:szCs w:val="16"/>
                <w:vertAlign w:val="superscript"/>
              </w:rPr>
              <w:t>50a</w:t>
            </w:r>
            <w:r w:rsidRPr="00896E33">
              <w:rPr>
                <w:sz w:val="16"/>
                <w:szCs w:val="16"/>
              </w:rPr>
              <w:t>) Delegované nariadenie Komisie (EÚ) 2019/758 z 31. januára 2019, ktorým sa dopĺňa smernica Európskeho 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 v. EÚ L 125, 14. 5. 2019).</w:t>
            </w:r>
          </w:p>
          <w:p w:rsidR="00B54C6E" w:rsidRPr="001902B7" w:rsidRDefault="00B54C6E" w:rsidP="00B54C6E">
            <w:pPr>
              <w:contextualSpacing/>
              <w:jc w:val="both"/>
              <w:rPr>
                <w:sz w:val="20"/>
                <w:szCs w:val="20"/>
              </w:rPr>
            </w:pPr>
            <w:r w:rsidRPr="00896E33">
              <w:rPr>
                <w:sz w:val="16"/>
                <w:szCs w:val="16"/>
                <w:vertAlign w:val="superscript"/>
              </w:rPr>
              <w:t>50b</w:t>
            </w:r>
            <w:r w:rsidRPr="00896E33">
              <w:rPr>
                <w:sz w:val="16"/>
                <w:szCs w:val="16"/>
              </w:rPr>
              <w:t>) Napríklad nariadenie Európskeho parlamentu a Rady (EÚ) č. 1092/2010 z 24. novembra 2010 o makroprudenciálnom dohľade Európskej únie nad finančným systémom a o zriadení Európskeho výboru pre systémové riziká (Ú. v. EÚ L 331, 15. 12. 2010) v platnom znení, 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 v platnom znení, nariadenie Rady (EÚ) č. 1096/2010 zo 17. novembra 2010, ktorým sa Európskej centrálnej banke udeľujú osobitné úlohy týkajúce sa fungovania Európskeho výboru pre systémové riziká (Ú. v. EÚ L 331, 15. 12. 2010).</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lastRenderedPageBreak/>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56</w:t>
            </w:r>
          </w:p>
          <w:p w:rsidR="00B54C6E" w:rsidRPr="001902B7" w:rsidRDefault="00B54C6E" w:rsidP="00B95AE2">
            <w:pPr>
              <w:contextualSpacing/>
              <w:jc w:val="center"/>
              <w:rPr>
                <w:sz w:val="20"/>
                <w:szCs w:val="20"/>
              </w:rPr>
            </w:pPr>
            <w:r>
              <w:rPr>
                <w:sz w:val="20"/>
                <w:szCs w:val="20"/>
              </w:rPr>
              <w:t>O</w:t>
            </w:r>
            <w:r w:rsidRPr="001902B7">
              <w:rPr>
                <w:sz w:val="20"/>
                <w:szCs w:val="20"/>
              </w:rPr>
              <w:t xml:space="preserve">: </w:t>
            </w:r>
            <w:r>
              <w:rPr>
                <w:sz w:val="20"/>
                <w:szCs w:val="20"/>
              </w:rPr>
              <w:t>1</w:t>
            </w: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pStyle w:val="CM4"/>
              <w:contextualSpacing/>
              <w:jc w:val="both"/>
              <w:rPr>
                <w:rFonts w:ascii="Times New Roman" w:hAnsi="Times New Roman"/>
                <w:color w:val="000000"/>
                <w:sz w:val="20"/>
                <w:szCs w:val="20"/>
              </w:rPr>
            </w:pPr>
            <w:r w:rsidRPr="00506A69">
              <w:rPr>
                <w:rFonts w:ascii="Times New Roman" w:hAnsi="Times New Roman"/>
                <w:color w:val="000000"/>
                <w:sz w:val="20"/>
                <w:szCs w:val="20"/>
              </w:rPr>
              <w:t>Členské štáty od svojich FIU vyžadujú, aby  medzi sebou používali chránené komunikačné kanály, a nabádajú k používaniu FIU.net alebo jej nástupcu.</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t>§ 28</w:t>
            </w:r>
          </w:p>
          <w:p w:rsidR="00B54C6E" w:rsidRPr="001902B7" w:rsidRDefault="00B54C6E" w:rsidP="00B54C6E">
            <w:pPr>
              <w:widowControl/>
              <w:contextualSpacing/>
              <w:jc w:val="center"/>
              <w:rPr>
                <w:sz w:val="20"/>
                <w:szCs w:val="20"/>
              </w:rPr>
            </w:pPr>
            <w:r>
              <w:rPr>
                <w:sz w:val="20"/>
                <w:szCs w:val="20"/>
              </w:rPr>
              <w:t>O: 6</w:t>
            </w:r>
          </w:p>
          <w:p w:rsidR="00B54C6E" w:rsidRPr="001902B7" w:rsidRDefault="00B54C6E" w:rsidP="00B54C6E">
            <w:pPr>
              <w:widowControl/>
              <w:contextualSpacing/>
              <w:rPr>
                <w:sz w:val="20"/>
                <w:szCs w:val="20"/>
              </w:rPr>
            </w:pP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sz w:val="20"/>
                <w:szCs w:val="20"/>
              </w:rPr>
            </w:pPr>
            <w:r w:rsidRPr="005B3E83">
              <w:rPr>
                <w:sz w:val="20"/>
                <w:szCs w:val="20"/>
              </w:rPr>
              <w:t>Finančná spravodajská jednotka používa na komunikáciu so zahraničnými orgánmi na to určené chránené komunikačné kanály.</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rPr>
                <w:b w:val="0"/>
                <w:bCs w:val="0"/>
                <w:sz w:val="20"/>
                <w:szCs w:val="20"/>
              </w:rPr>
            </w:pPr>
          </w:p>
        </w:tc>
      </w:tr>
      <w:tr w:rsidR="00B54C6E" w:rsidRPr="001902B7" w:rsidTr="00AF7DD5">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59</w:t>
            </w:r>
          </w:p>
          <w:p w:rsidR="00B54C6E" w:rsidRDefault="00B54C6E" w:rsidP="00B95AE2">
            <w:pPr>
              <w:contextualSpacing/>
              <w:jc w:val="center"/>
              <w:rPr>
                <w:sz w:val="20"/>
                <w:szCs w:val="20"/>
              </w:rPr>
            </w:pPr>
            <w:r>
              <w:rPr>
                <w:sz w:val="20"/>
                <w:szCs w:val="20"/>
              </w:rPr>
              <w:t>O: 2</w:t>
            </w:r>
          </w:p>
          <w:p w:rsidR="006A3864" w:rsidRDefault="006A3864" w:rsidP="00B95AE2">
            <w:pPr>
              <w:contextualSpacing/>
              <w:jc w:val="center"/>
              <w:rPr>
                <w:sz w:val="20"/>
                <w:szCs w:val="20"/>
              </w:rPr>
            </w:pPr>
          </w:p>
          <w:p w:rsidR="00B54C6E" w:rsidRPr="001902B7" w:rsidRDefault="00B54C6E" w:rsidP="00B95AE2">
            <w:pPr>
              <w:contextualSpacing/>
              <w:jc w:val="center"/>
              <w:rPr>
                <w:sz w:val="20"/>
                <w:szCs w:val="20"/>
              </w:rPr>
            </w:pPr>
            <w:r>
              <w:rPr>
                <w:sz w:val="20"/>
                <w:szCs w:val="20"/>
              </w:rPr>
              <w:t>P: e</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Default="00B54C6E" w:rsidP="00B54C6E">
            <w:pPr>
              <w:pStyle w:val="CM4"/>
              <w:contextualSpacing/>
              <w:jc w:val="both"/>
              <w:rPr>
                <w:rFonts w:ascii="Times New Roman" w:hAnsi="Times New Roman"/>
                <w:color w:val="000000"/>
                <w:sz w:val="20"/>
                <w:szCs w:val="20"/>
              </w:rPr>
            </w:pPr>
            <w:r w:rsidRPr="005B3E83">
              <w:rPr>
                <w:rFonts w:ascii="Times New Roman" w:hAnsi="Times New Roman"/>
                <w:color w:val="000000"/>
                <w:sz w:val="20"/>
                <w:szCs w:val="20"/>
              </w:rPr>
              <w:t xml:space="preserve">Členské štáty zabezpečia, aby sa v prípadoch uvedených v odseku 1 mohli uplatniť správne sankcie a opatrenia, ktoré zahŕňajú aspoň: </w:t>
            </w:r>
          </w:p>
          <w:p w:rsidR="00B54C6E" w:rsidRPr="001902B7" w:rsidRDefault="00B54C6E" w:rsidP="00B54C6E">
            <w:pPr>
              <w:pStyle w:val="CM4"/>
              <w:contextualSpacing/>
              <w:jc w:val="both"/>
              <w:rPr>
                <w:rFonts w:ascii="Times New Roman" w:hAnsi="Times New Roman"/>
                <w:color w:val="000000"/>
                <w:sz w:val="20"/>
                <w:szCs w:val="20"/>
              </w:rPr>
            </w:pPr>
            <w:r w:rsidRPr="005B3E83">
              <w:rPr>
                <w:rFonts w:ascii="Times New Roman" w:hAnsi="Times New Roman"/>
                <w:color w:val="000000"/>
                <w:sz w:val="20"/>
                <w:szCs w:val="20"/>
              </w:rPr>
              <w:t xml:space="preserve">maximálne správne peňažné sankcie vo  výške aspoň dvojnásobku sumy benefitu vyplývajúceho </w:t>
            </w:r>
            <w:r w:rsidRPr="005B3E83">
              <w:rPr>
                <w:rFonts w:ascii="Times New Roman" w:hAnsi="Times New Roman"/>
                <w:color w:val="000000"/>
                <w:sz w:val="20"/>
                <w:szCs w:val="20"/>
              </w:rPr>
              <w:lastRenderedPageBreak/>
              <w:t>z porušenia, ak takýto benefit možno určiť, alebo najmenej 1 000 000 EUR.</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lastRenderedPageBreak/>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ákon č. 297/2008 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 xml:space="preserve">návrh </w:t>
            </w:r>
            <w:r>
              <w:lastRenderedPageBreak/>
              <w:t>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lastRenderedPageBreak/>
              <w:t>§ 33</w:t>
            </w:r>
          </w:p>
          <w:p w:rsidR="00B54C6E" w:rsidRPr="001902B7" w:rsidRDefault="00B54C6E" w:rsidP="00B54C6E">
            <w:pPr>
              <w:widowControl/>
              <w:contextualSpacing/>
              <w:jc w:val="center"/>
              <w:rPr>
                <w:sz w:val="20"/>
                <w:szCs w:val="20"/>
              </w:rPr>
            </w:pPr>
            <w:r>
              <w:rPr>
                <w:sz w:val="20"/>
                <w:szCs w:val="20"/>
              </w:rPr>
              <w:t>O: 1</w:t>
            </w:r>
          </w:p>
          <w:p w:rsidR="00B54C6E" w:rsidRPr="001902B7" w:rsidRDefault="00B54C6E" w:rsidP="00B54C6E">
            <w:pPr>
              <w:widowControl/>
              <w:contextualSpacing/>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sz w:val="20"/>
                <w:szCs w:val="20"/>
              </w:rPr>
            </w:pPr>
            <w:r w:rsidRPr="005B3E83">
              <w:rPr>
                <w:sz w:val="20"/>
                <w:szCs w:val="20"/>
              </w:rPr>
              <w:t>Finančná spravodajská jednotka môže uložiť právnickej osobe a fyzickej osobe - podnikateľovi pokutu</w:t>
            </w:r>
            <w:r>
              <w:rPr>
                <w:sz w:val="20"/>
                <w:szCs w:val="20"/>
              </w:rPr>
              <w:t xml:space="preserve"> </w:t>
            </w:r>
            <w:r w:rsidRPr="005B3E83">
              <w:rPr>
                <w:sz w:val="20"/>
                <w:szCs w:val="20"/>
              </w:rPr>
              <w:t xml:space="preserve">vo výške aspoň dvojnásobku sumy benefitu vyplývajúceho z porušenia, ak je takýto benefit možné určiť alebo </w:t>
            </w:r>
            <w:r w:rsidRPr="00DE3193">
              <w:rPr>
                <w:b/>
                <w:sz w:val="20"/>
                <w:szCs w:val="20"/>
              </w:rPr>
              <w:t xml:space="preserve">do výšky dvojnásobku neoprávneného prospechu, ak je takýto neoprávnený prospech možné určiť alebo do 1000 000 eur, podľa toho, ktorá z týchto </w:t>
            </w:r>
            <w:r w:rsidRPr="00DE3193">
              <w:rPr>
                <w:b/>
                <w:sz w:val="20"/>
                <w:szCs w:val="20"/>
              </w:rPr>
              <w:lastRenderedPageBreak/>
              <w:t>hodnôt je vyššia</w:t>
            </w:r>
            <w:r w:rsidRPr="005B3E83">
              <w:rPr>
                <w:sz w:val="20"/>
                <w:szCs w:val="20"/>
              </w:rPr>
              <w:t>, ktorá nesplní alebo poruší niektorú z povinností ustanovených týmto zákonom v § 10 ods. 1 až 4 a 6, § 12, § 14 až 17, § 19 ods. 2 až 4, § 21, § 24 ods. 1 a 2, ak v odseku 2 nie je ustanovené inak.</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lastRenderedPageBreak/>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jc w:val="both"/>
              <w:rPr>
                <w:b w:val="0"/>
                <w:bCs w:val="0"/>
                <w:sz w:val="20"/>
                <w:szCs w:val="20"/>
              </w:rPr>
            </w:pPr>
          </w:p>
        </w:tc>
      </w:tr>
      <w:tr w:rsidR="00B54C6E" w:rsidRPr="001902B7" w:rsidTr="00013E54">
        <w:trPr>
          <w:trHeight w:val="4244"/>
        </w:trPr>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sidRPr="001902B7">
              <w:rPr>
                <w:sz w:val="20"/>
                <w:szCs w:val="20"/>
              </w:rPr>
              <w:t>Č</w:t>
            </w:r>
            <w:r>
              <w:rPr>
                <w:sz w:val="20"/>
                <w:szCs w:val="20"/>
              </w:rPr>
              <w:t>: 59</w:t>
            </w:r>
          </w:p>
          <w:p w:rsidR="00B54C6E" w:rsidRDefault="00B54C6E" w:rsidP="00B95AE2">
            <w:pPr>
              <w:contextualSpacing/>
              <w:jc w:val="center"/>
              <w:rPr>
                <w:sz w:val="20"/>
                <w:szCs w:val="20"/>
              </w:rPr>
            </w:pPr>
            <w:r>
              <w:rPr>
                <w:sz w:val="20"/>
                <w:szCs w:val="20"/>
              </w:rPr>
              <w:t>O: 3</w:t>
            </w:r>
          </w:p>
          <w:p w:rsidR="006A3864" w:rsidRDefault="006A3864" w:rsidP="00B95AE2">
            <w:pPr>
              <w:contextualSpacing/>
              <w:jc w:val="center"/>
              <w:rPr>
                <w:sz w:val="20"/>
                <w:szCs w:val="20"/>
              </w:rPr>
            </w:pPr>
          </w:p>
          <w:p w:rsidR="006A3864" w:rsidRDefault="006A3864" w:rsidP="00B95AE2">
            <w:pPr>
              <w:contextualSpacing/>
              <w:jc w:val="center"/>
              <w:rPr>
                <w:sz w:val="20"/>
                <w:szCs w:val="20"/>
              </w:rPr>
            </w:pPr>
          </w:p>
          <w:p w:rsidR="00B54C6E" w:rsidRPr="001902B7" w:rsidRDefault="00B54C6E" w:rsidP="00B95AE2">
            <w:pPr>
              <w:contextualSpacing/>
              <w:jc w:val="center"/>
              <w:rPr>
                <w:sz w:val="20"/>
                <w:szCs w:val="20"/>
              </w:rPr>
            </w:pPr>
            <w:r>
              <w:rPr>
                <w:sz w:val="20"/>
                <w:szCs w:val="20"/>
              </w:rPr>
              <w:t>P: a</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Default="00B54C6E" w:rsidP="00B54C6E">
            <w:pPr>
              <w:pStyle w:val="CM4"/>
              <w:contextualSpacing/>
              <w:jc w:val="both"/>
              <w:rPr>
                <w:rFonts w:ascii="Times New Roman" w:hAnsi="Times New Roman"/>
                <w:color w:val="000000"/>
                <w:sz w:val="20"/>
                <w:szCs w:val="20"/>
              </w:rPr>
            </w:pPr>
            <w:r w:rsidRPr="005B3E83">
              <w:rPr>
                <w:rFonts w:ascii="Times New Roman" w:hAnsi="Times New Roman"/>
                <w:color w:val="000000"/>
                <w:sz w:val="20"/>
                <w:szCs w:val="20"/>
              </w:rPr>
              <w:t xml:space="preserve">Členské štáty zabezpečia, aby sa odchylne od odseku 2 písm. e) mohli v prípade, že dotknutý povinný subjekt je úverovou inštitúciou alebo finančnou inštitúciou, uplatniť aj tieto sankcie: </w:t>
            </w:r>
          </w:p>
          <w:p w:rsidR="00B54C6E" w:rsidRPr="001902B7" w:rsidRDefault="00B54C6E" w:rsidP="00B54C6E">
            <w:pPr>
              <w:pStyle w:val="CM4"/>
              <w:contextualSpacing/>
              <w:jc w:val="both"/>
              <w:rPr>
                <w:rFonts w:ascii="Times New Roman" w:hAnsi="Times New Roman"/>
                <w:color w:val="000000"/>
                <w:sz w:val="20"/>
                <w:szCs w:val="20"/>
              </w:rPr>
            </w:pPr>
            <w:r w:rsidRPr="005B3E83">
              <w:rPr>
                <w:rFonts w:ascii="Times New Roman" w:hAnsi="Times New Roman"/>
                <w:color w:val="000000"/>
                <w:sz w:val="20"/>
                <w:szCs w:val="20"/>
              </w:rPr>
              <w:t xml:space="preserve">v prípade právnickej osoby, maximálne administratívne peňažné sankcie vo výške aspoň 5 000 000 EUR alebo 10 % celkového ročného obratu podľa poslednej dostupnej účtovnej závierky schválenej riadiacim orgánom; ak je povinný subjekt materským podnikom alebo dcérskou spoločnosťou materského podniku, ktorý </w:t>
            </w:r>
            <w:r>
              <w:rPr>
                <w:rFonts w:ascii="Times New Roman" w:hAnsi="Times New Roman"/>
                <w:color w:val="000000"/>
                <w:sz w:val="20"/>
                <w:szCs w:val="20"/>
              </w:rPr>
              <w:t xml:space="preserve">musí </w:t>
            </w:r>
            <w:r w:rsidRPr="005B3E83">
              <w:rPr>
                <w:rFonts w:ascii="Times New Roman" w:hAnsi="Times New Roman"/>
                <w:color w:val="000000"/>
                <w:sz w:val="20"/>
                <w:szCs w:val="20"/>
              </w:rPr>
              <w:t>vypracúvať konsolidovanú účtovnú závierku v súlade s  článkom 22 smernice 2013/34/EÚ, príslušný celkový ročný obrat je celkový ročný obrat  alebo zodpovedajúci typ príjmu v súlade s  príslušnými smernicami o účtovníctve podľa poslednej dostupnej konsolidovanej účtovnej závierky schválenej riadiacim orgánom konečného materského podniku;</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Pr="001902B7" w:rsidRDefault="00B54C6E" w:rsidP="00B54C6E">
            <w:pPr>
              <w:pStyle w:val="Normlny0"/>
              <w:widowControl/>
              <w:contextualSpacing/>
              <w:jc w:val="center"/>
            </w:pPr>
            <w:r>
              <w:t>návrh zákona</w:t>
            </w: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jc w:val="center"/>
            </w:pPr>
          </w:p>
          <w:p w:rsidR="00B54C6E" w:rsidRPr="001902B7" w:rsidRDefault="00B54C6E" w:rsidP="00B54C6E">
            <w:pPr>
              <w:pStyle w:val="Normlny0"/>
              <w:widowControl/>
              <w:contextualSpacing/>
            </w:pP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t>§ 33</w:t>
            </w:r>
          </w:p>
          <w:p w:rsidR="00B54C6E" w:rsidRPr="001902B7" w:rsidRDefault="00B54C6E" w:rsidP="00B54C6E">
            <w:pPr>
              <w:widowControl/>
              <w:contextualSpacing/>
              <w:jc w:val="center"/>
              <w:rPr>
                <w:sz w:val="20"/>
                <w:szCs w:val="20"/>
              </w:rPr>
            </w:pPr>
            <w:r>
              <w:rPr>
                <w:sz w:val="20"/>
                <w:szCs w:val="20"/>
              </w:rPr>
              <w:t>O: 2</w:t>
            </w: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rPr>
                <w:sz w:val="20"/>
                <w:szCs w:val="20"/>
              </w:rPr>
            </w:pP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2C6982" w:rsidP="002C6982">
            <w:pPr>
              <w:contextualSpacing/>
              <w:jc w:val="both"/>
              <w:rPr>
                <w:sz w:val="20"/>
                <w:szCs w:val="20"/>
              </w:rPr>
            </w:pPr>
            <w:r w:rsidRPr="002C6982">
              <w:rPr>
                <w:sz w:val="20"/>
                <w:szCs w:val="20"/>
              </w:rPr>
              <w:t>Finančná spravodajská jednotka môže uložiť banke alebo finančnej inštitúcii za nesplnenie alebo porušenie niektorej z povinností ustanovených v odseku 1 pokutu do 5 000 000 eur alebo do 10 % z celkového ročného obratu podľa poslednej riadnej účtovnej závierky, podľa toho, ktorá z týchto hodnôt je vyššia; ak je banka alebo finančná inštitúcia súčasťou konsolidovaného celku, pokutu do 10 % z celkového ročného obratu podľa poslednej konsolidovanej účtovnej závierky konsolidovaného celku, ktorého je banka alebo finančná inštitúcia súčasťou.</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rPr>
                <w:b w:val="0"/>
                <w:bCs w:val="0"/>
                <w:sz w:val="20"/>
                <w:szCs w:val="20"/>
              </w:rPr>
            </w:pPr>
          </w:p>
        </w:tc>
      </w:tr>
      <w:tr w:rsidR="00B54C6E" w:rsidRPr="001902B7" w:rsidTr="00AF7DD5">
        <w:trPr>
          <w:trHeight w:val="558"/>
        </w:trPr>
        <w:tc>
          <w:tcPr>
            <w:tcW w:w="752" w:type="dxa"/>
            <w:tcBorders>
              <w:top w:val="single" w:sz="4" w:space="0" w:color="auto"/>
              <w:left w:val="single" w:sz="12" w:space="0" w:color="auto"/>
              <w:bottom w:val="single" w:sz="4" w:space="0" w:color="auto"/>
              <w:right w:val="single" w:sz="4" w:space="0" w:color="auto"/>
            </w:tcBorders>
          </w:tcPr>
          <w:p w:rsidR="00B54C6E" w:rsidRPr="001902B7" w:rsidRDefault="00B54C6E" w:rsidP="00B95AE2">
            <w:pPr>
              <w:contextualSpacing/>
              <w:jc w:val="center"/>
              <w:rPr>
                <w:sz w:val="20"/>
                <w:szCs w:val="20"/>
              </w:rPr>
            </w:pPr>
            <w:r>
              <w:rPr>
                <w:sz w:val="20"/>
                <w:szCs w:val="20"/>
              </w:rPr>
              <w:t>Č: 60</w:t>
            </w:r>
          </w:p>
          <w:p w:rsidR="00B54C6E" w:rsidRPr="001902B7" w:rsidRDefault="00B54C6E" w:rsidP="00B95AE2">
            <w:pPr>
              <w:contextualSpacing/>
              <w:jc w:val="center"/>
              <w:rPr>
                <w:sz w:val="20"/>
                <w:szCs w:val="20"/>
              </w:rPr>
            </w:pPr>
            <w:r>
              <w:rPr>
                <w:sz w:val="20"/>
                <w:szCs w:val="20"/>
              </w:rPr>
              <w:t>O: 1</w:t>
            </w:r>
          </w:p>
          <w:p w:rsidR="00B54C6E" w:rsidRPr="001902B7" w:rsidRDefault="00B54C6E" w:rsidP="00B95AE2">
            <w:pPr>
              <w:contextualSpacing/>
              <w:jc w:val="center"/>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pStyle w:val="CM4"/>
              <w:contextualSpacing/>
              <w:jc w:val="both"/>
              <w:rPr>
                <w:rFonts w:ascii="Times New Roman" w:hAnsi="Times New Roman"/>
                <w:color w:val="000000"/>
                <w:sz w:val="20"/>
                <w:szCs w:val="20"/>
              </w:rPr>
            </w:pPr>
            <w:r w:rsidRPr="001B31F2">
              <w:rPr>
                <w:rFonts w:ascii="Times New Roman" w:hAnsi="Times New Roman"/>
                <w:color w:val="000000"/>
                <w:sz w:val="20"/>
                <w:szCs w:val="20"/>
              </w:rPr>
              <w:t>Členské štáty zabezpečia, aby rozhodnutie, ktorým sa ukladá správna sankcia alebo opatrenie za porušenie vnútro­štátnych ustanovení transponujúcich túto smernicu, voči ktorému nebolo podané odvolanie, zverejnili príslušné orgány na svojich oficiálnych webových stránkach bezodkladne po tom, ako bola osoba, ktorej sa sankcia udelila, informovaná o  uvedenom rozhodnutí. Zverejnenie zahŕňa aspoň informácie o type  a povahe porušenia, ako aj o totožnosti zodpovednej osoby. Členské štáty nie sú  povinné uplatňovať tento pododsek na  rozhodnutia, ktorými sa ukladajú opatrenia vyšetrovacej povahy.</w:t>
            </w:r>
          </w:p>
        </w:tc>
        <w:tc>
          <w:tcPr>
            <w:tcW w:w="709" w:type="dxa"/>
            <w:tcBorders>
              <w:top w:val="single" w:sz="4" w:space="0" w:color="auto"/>
              <w:left w:val="single" w:sz="4" w:space="0" w:color="auto"/>
              <w:bottom w:val="single" w:sz="4" w:space="0" w:color="auto"/>
              <w:right w:val="single" w:sz="12" w:space="0" w:color="auto"/>
            </w:tcBorders>
          </w:tcPr>
          <w:p w:rsidR="00B54C6E" w:rsidRPr="001902B7" w:rsidRDefault="00B54C6E" w:rsidP="00B54C6E">
            <w:pPr>
              <w:widowControl/>
              <w:contextualSpacing/>
              <w:jc w:val="center"/>
              <w:rPr>
                <w:sz w:val="20"/>
                <w:szCs w:val="20"/>
              </w:rPr>
            </w:pPr>
            <w:r w:rsidRPr="001902B7">
              <w:rPr>
                <w:sz w:val="20"/>
                <w:szCs w:val="20"/>
              </w:rPr>
              <w:t>N</w:t>
            </w:r>
          </w:p>
        </w:tc>
        <w:tc>
          <w:tcPr>
            <w:tcW w:w="850" w:type="dxa"/>
            <w:tcBorders>
              <w:top w:val="single" w:sz="4" w:space="0" w:color="auto"/>
              <w:left w:val="nil"/>
              <w:bottom w:val="single" w:sz="4" w:space="0" w:color="auto"/>
              <w:right w:val="single" w:sz="4" w:space="0" w:color="auto"/>
            </w:tcBorders>
          </w:tcPr>
          <w:p w:rsidR="00B54C6E" w:rsidRDefault="00B54C6E" w:rsidP="00B54C6E">
            <w:pPr>
              <w:pStyle w:val="Normlny0"/>
              <w:widowControl/>
              <w:contextualSpacing/>
              <w:jc w:val="center"/>
            </w:pPr>
            <w:r>
              <w:t>z</w:t>
            </w:r>
            <w:r w:rsidRPr="001902B7">
              <w:t>ákon č. 297/2008 Z. z.</w:t>
            </w:r>
          </w:p>
          <w:p w:rsidR="00B54C6E" w:rsidRDefault="00B54C6E" w:rsidP="00B54C6E">
            <w:pPr>
              <w:pStyle w:val="Normlny0"/>
              <w:widowControl/>
              <w:contextualSpacing/>
              <w:jc w:val="center"/>
            </w:pPr>
            <w:r>
              <w:t>+</w:t>
            </w:r>
          </w:p>
          <w:p w:rsidR="00B54C6E" w:rsidRPr="001902B7" w:rsidRDefault="00B54C6E" w:rsidP="00B54C6E">
            <w:pPr>
              <w:pStyle w:val="Normlny0"/>
              <w:widowControl/>
              <w:contextualSpacing/>
              <w:jc w:val="center"/>
            </w:pPr>
            <w:r>
              <w:t>návrh zákona</w:t>
            </w:r>
          </w:p>
        </w:tc>
        <w:tc>
          <w:tcPr>
            <w:tcW w:w="709"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Pr>
                <w:sz w:val="20"/>
                <w:szCs w:val="20"/>
              </w:rPr>
              <w:t>§ 33a</w:t>
            </w:r>
          </w:p>
          <w:p w:rsidR="00B54C6E" w:rsidRPr="001902B7" w:rsidRDefault="00B54C6E" w:rsidP="00B54C6E">
            <w:pPr>
              <w:widowControl/>
              <w:contextualSpacing/>
              <w:jc w:val="center"/>
              <w:rPr>
                <w:sz w:val="20"/>
                <w:szCs w:val="20"/>
              </w:rPr>
            </w:pPr>
            <w:r>
              <w:rPr>
                <w:sz w:val="20"/>
                <w:szCs w:val="20"/>
              </w:rPr>
              <w:t>O: 1</w:t>
            </w: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p w:rsidR="00B54C6E" w:rsidRPr="001902B7" w:rsidRDefault="00B54C6E" w:rsidP="00B54C6E">
            <w:pPr>
              <w:widowControl/>
              <w:contextualSpacing/>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contextualSpacing/>
              <w:jc w:val="both"/>
              <w:rPr>
                <w:color w:val="000000"/>
                <w:sz w:val="20"/>
                <w:szCs w:val="20"/>
              </w:rPr>
            </w:pPr>
            <w:r w:rsidRPr="001B31F2">
              <w:rPr>
                <w:color w:val="000000"/>
                <w:sz w:val="20"/>
                <w:szCs w:val="20"/>
              </w:rPr>
              <w:t xml:space="preserve">Finančná spravodajská jednotka </w:t>
            </w:r>
            <w:r w:rsidRPr="00896E33">
              <w:rPr>
                <w:b/>
                <w:color w:val="000000"/>
                <w:sz w:val="20"/>
                <w:szCs w:val="20"/>
              </w:rPr>
              <w:t>uloží</w:t>
            </w:r>
            <w:r w:rsidRPr="001B31F2">
              <w:rPr>
                <w:color w:val="000000"/>
                <w:sz w:val="20"/>
                <w:szCs w:val="20"/>
              </w:rPr>
              <w:t xml:space="preserve"> právnickej osobe a fyzickej osobe - podnikateľovi popri pokute za správne delikty uvedené v § 33 ods. 1 a 2 aj sankciu zverejnenia právoplatného rozhodnutia o uložení sankcie za správny delikt</w:t>
            </w:r>
            <w:r w:rsidRPr="00896E33">
              <w:rPr>
                <w:b/>
                <w:color w:val="000000"/>
                <w:sz w:val="20"/>
                <w:szCs w:val="20"/>
              </w:rPr>
              <w:t>, ak v odseku 3 nie je ustanovené inak</w:t>
            </w:r>
            <w:r w:rsidRPr="001B31F2">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B54C6E" w:rsidRPr="001902B7" w:rsidRDefault="00B54C6E" w:rsidP="00B54C6E">
            <w:pPr>
              <w:widowControl/>
              <w:contextualSpacing/>
              <w:jc w:val="center"/>
              <w:rPr>
                <w:sz w:val="20"/>
                <w:szCs w:val="20"/>
              </w:rPr>
            </w:pPr>
            <w:r w:rsidRPr="001902B7">
              <w:rPr>
                <w:sz w:val="20"/>
                <w:szCs w:val="20"/>
              </w:rPr>
              <w:t>Ú</w:t>
            </w:r>
          </w:p>
        </w:tc>
        <w:tc>
          <w:tcPr>
            <w:tcW w:w="1271" w:type="dxa"/>
            <w:tcBorders>
              <w:top w:val="single" w:sz="4" w:space="0" w:color="auto"/>
              <w:left w:val="single" w:sz="4" w:space="0" w:color="auto"/>
              <w:bottom w:val="single" w:sz="4" w:space="0" w:color="auto"/>
            </w:tcBorders>
          </w:tcPr>
          <w:p w:rsidR="00B54C6E" w:rsidRPr="001902B7" w:rsidRDefault="00B54C6E" w:rsidP="00B54C6E">
            <w:pPr>
              <w:pStyle w:val="Nadpis1"/>
              <w:widowControl/>
              <w:contextualSpacing/>
              <w:rPr>
                <w:b w:val="0"/>
                <w:bCs w:val="0"/>
                <w:sz w:val="20"/>
                <w:szCs w:val="20"/>
              </w:rPr>
            </w:pPr>
          </w:p>
        </w:tc>
      </w:tr>
    </w:tbl>
    <w:p w:rsidR="001B7551" w:rsidRDefault="001B7551" w:rsidP="00026812">
      <w:pPr>
        <w:contextualSpacing/>
        <w:rPr>
          <w:sz w:val="20"/>
          <w:szCs w:val="20"/>
        </w:rPr>
      </w:pPr>
    </w:p>
    <w:p w:rsidR="00B54C6E" w:rsidRDefault="00B54C6E" w:rsidP="00026812">
      <w:pPr>
        <w:contextualSpacing/>
        <w:rPr>
          <w:sz w:val="20"/>
          <w:szCs w:val="20"/>
        </w:rPr>
      </w:pPr>
    </w:p>
    <w:p w:rsidR="00B54C6E" w:rsidRDefault="00B54C6E" w:rsidP="00026812">
      <w:pPr>
        <w:contextualSpacing/>
        <w:rPr>
          <w:sz w:val="20"/>
          <w:szCs w:val="20"/>
        </w:rPr>
      </w:pPr>
    </w:p>
    <w:p w:rsidR="00B54C6E" w:rsidRDefault="00B54C6E" w:rsidP="00026812">
      <w:pPr>
        <w:contextualSpacing/>
        <w:rPr>
          <w:sz w:val="20"/>
          <w:szCs w:val="20"/>
        </w:rPr>
      </w:pPr>
    </w:p>
    <w:p w:rsidR="00B54C6E" w:rsidRDefault="00B54C6E" w:rsidP="00026812">
      <w:pPr>
        <w:contextualSpacing/>
        <w:rPr>
          <w:sz w:val="20"/>
          <w:szCs w:val="20"/>
        </w:rPr>
      </w:pPr>
    </w:p>
    <w:p w:rsidR="00B54C6E" w:rsidRDefault="00B54C6E" w:rsidP="00026812">
      <w:pPr>
        <w:contextualSpacing/>
        <w:rPr>
          <w:sz w:val="20"/>
          <w:szCs w:val="20"/>
        </w:rPr>
      </w:pPr>
    </w:p>
    <w:p w:rsidR="00B54C6E" w:rsidRPr="001902B7" w:rsidRDefault="00B54C6E" w:rsidP="00026812">
      <w:pPr>
        <w:contextualSpacing/>
        <w:rPr>
          <w:sz w:val="20"/>
          <w:szCs w:val="20"/>
        </w:rPr>
      </w:pPr>
    </w:p>
    <w:p w:rsidR="00030FF0" w:rsidRDefault="00030FF0" w:rsidP="00026812">
      <w:pPr>
        <w:contextualSpacing/>
        <w:jc w:val="both"/>
        <w:rPr>
          <w:sz w:val="16"/>
          <w:szCs w:val="16"/>
        </w:rPr>
      </w:pPr>
      <w:r w:rsidRPr="00641336">
        <w:rPr>
          <w:sz w:val="16"/>
          <w:szCs w:val="16"/>
        </w:rPr>
        <w:lastRenderedPageBreak/>
        <w:t>LEGENDA:</w:t>
      </w:r>
    </w:p>
    <w:p w:rsidR="0090474D" w:rsidRPr="00641336" w:rsidRDefault="0090474D" w:rsidP="00026812">
      <w:pPr>
        <w:contextualSpacing/>
        <w:jc w:val="both"/>
        <w:rPr>
          <w:sz w:val="16"/>
          <w:szCs w:val="16"/>
        </w:rPr>
      </w:pPr>
    </w:p>
    <w:tbl>
      <w:tblPr>
        <w:tblW w:w="15805" w:type="dxa"/>
        <w:tblCellMar>
          <w:left w:w="70" w:type="dxa"/>
          <w:right w:w="70" w:type="dxa"/>
        </w:tblCellMar>
        <w:tblLook w:val="04A0" w:firstRow="1" w:lastRow="0" w:firstColumn="1" w:lastColumn="0" w:noHBand="0" w:noVBand="1"/>
      </w:tblPr>
      <w:tblGrid>
        <w:gridCol w:w="2373"/>
        <w:gridCol w:w="3722"/>
        <w:gridCol w:w="2304"/>
        <w:gridCol w:w="7406"/>
      </w:tblGrid>
      <w:tr w:rsidR="00030FF0" w:rsidRPr="00641336" w:rsidTr="00C37511">
        <w:trPr>
          <w:trHeight w:val="2029"/>
        </w:trPr>
        <w:tc>
          <w:tcPr>
            <w:tcW w:w="2373" w:type="dxa"/>
          </w:tcPr>
          <w:p w:rsidR="00030FF0" w:rsidRPr="00641336" w:rsidRDefault="00030FF0" w:rsidP="00026812">
            <w:pPr>
              <w:pStyle w:val="Normlny0"/>
              <w:contextualSpacing/>
              <w:jc w:val="both"/>
              <w:rPr>
                <w:b/>
                <w:sz w:val="16"/>
                <w:szCs w:val="16"/>
              </w:rPr>
            </w:pPr>
            <w:r w:rsidRPr="00641336">
              <w:rPr>
                <w:b/>
                <w:sz w:val="16"/>
                <w:szCs w:val="16"/>
              </w:rPr>
              <w:t xml:space="preserve">   V stĺpci (1):</w:t>
            </w:r>
          </w:p>
          <w:p w:rsidR="00030FF0" w:rsidRPr="00641336" w:rsidRDefault="00030FF0" w:rsidP="00026812">
            <w:pPr>
              <w:contextualSpacing/>
              <w:jc w:val="both"/>
              <w:rPr>
                <w:sz w:val="16"/>
                <w:szCs w:val="16"/>
              </w:rPr>
            </w:pPr>
            <w:r w:rsidRPr="00641336">
              <w:rPr>
                <w:sz w:val="16"/>
                <w:szCs w:val="16"/>
              </w:rPr>
              <w:t xml:space="preserve">   Č – článok</w:t>
            </w:r>
          </w:p>
          <w:p w:rsidR="00030FF0" w:rsidRPr="00641336" w:rsidRDefault="00030FF0" w:rsidP="00026812">
            <w:pPr>
              <w:contextualSpacing/>
              <w:jc w:val="both"/>
              <w:rPr>
                <w:sz w:val="16"/>
                <w:szCs w:val="16"/>
              </w:rPr>
            </w:pPr>
            <w:r w:rsidRPr="00641336">
              <w:rPr>
                <w:sz w:val="16"/>
                <w:szCs w:val="16"/>
              </w:rPr>
              <w:t xml:space="preserve">   O – odsek</w:t>
            </w:r>
          </w:p>
          <w:p w:rsidR="00030FF0" w:rsidRPr="00641336" w:rsidRDefault="00030FF0" w:rsidP="00026812">
            <w:pPr>
              <w:contextualSpacing/>
              <w:jc w:val="both"/>
              <w:rPr>
                <w:sz w:val="16"/>
                <w:szCs w:val="16"/>
              </w:rPr>
            </w:pPr>
            <w:r w:rsidRPr="00641336">
              <w:rPr>
                <w:sz w:val="16"/>
                <w:szCs w:val="16"/>
              </w:rPr>
              <w:t xml:space="preserve">   B – bod </w:t>
            </w:r>
          </w:p>
          <w:p w:rsidR="00030FF0" w:rsidRPr="00641336" w:rsidRDefault="00030FF0" w:rsidP="00026812">
            <w:pPr>
              <w:contextualSpacing/>
              <w:jc w:val="both"/>
              <w:rPr>
                <w:sz w:val="16"/>
                <w:szCs w:val="16"/>
              </w:rPr>
            </w:pPr>
            <w:r w:rsidRPr="00641336">
              <w:rPr>
                <w:sz w:val="16"/>
                <w:szCs w:val="16"/>
              </w:rPr>
              <w:t xml:space="preserve">   V – veta</w:t>
            </w:r>
          </w:p>
          <w:p w:rsidR="00030FF0" w:rsidRPr="00641336" w:rsidRDefault="00030FF0" w:rsidP="00026812">
            <w:pPr>
              <w:contextualSpacing/>
              <w:jc w:val="both"/>
              <w:rPr>
                <w:sz w:val="16"/>
                <w:szCs w:val="16"/>
              </w:rPr>
            </w:pPr>
            <w:r w:rsidRPr="00641336">
              <w:rPr>
                <w:sz w:val="16"/>
                <w:szCs w:val="16"/>
              </w:rPr>
              <w:t xml:space="preserve">   </w:t>
            </w:r>
            <w:r w:rsidR="00013E54">
              <w:rPr>
                <w:sz w:val="16"/>
                <w:szCs w:val="16"/>
              </w:rPr>
              <w:t>P – písmeno (číslo)</w:t>
            </w:r>
          </w:p>
        </w:tc>
        <w:tc>
          <w:tcPr>
            <w:tcW w:w="3722" w:type="dxa"/>
            <w:hideMark/>
          </w:tcPr>
          <w:p w:rsidR="00030FF0" w:rsidRPr="00641336" w:rsidRDefault="00030FF0" w:rsidP="00026812">
            <w:pPr>
              <w:pStyle w:val="Normlny0"/>
              <w:contextualSpacing/>
              <w:jc w:val="both"/>
              <w:rPr>
                <w:b/>
                <w:sz w:val="16"/>
                <w:szCs w:val="16"/>
              </w:rPr>
            </w:pPr>
            <w:r w:rsidRPr="00641336">
              <w:rPr>
                <w:b/>
                <w:sz w:val="16"/>
                <w:szCs w:val="16"/>
              </w:rPr>
              <w:t>V stĺpci (3):</w:t>
            </w:r>
          </w:p>
          <w:p w:rsidR="00030FF0" w:rsidRPr="00641336" w:rsidRDefault="00030FF0" w:rsidP="00026812">
            <w:pPr>
              <w:contextualSpacing/>
              <w:jc w:val="both"/>
              <w:rPr>
                <w:sz w:val="16"/>
                <w:szCs w:val="16"/>
              </w:rPr>
            </w:pPr>
            <w:r w:rsidRPr="00641336">
              <w:rPr>
                <w:sz w:val="16"/>
                <w:szCs w:val="16"/>
              </w:rPr>
              <w:t>N – bežná transpozícia</w:t>
            </w:r>
          </w:p>
          <w:p w:rsidR="00030FF0" w:rsidRPr="00641336" w:rsidRDefault="00030FF0" w:rsidP="00026812">
            <w:pPr>
              <w:contextualSpacing/>
              <w:jc w:val="both"/>
              <w:rPr>
                <w:sz w:val="16"/>
                <w:szCs w:val="16"/>
              </w:rPr>
            </w:pPr>
            <w:r w:rsidRPr="00641336">
              <w:rPr>
                <w:sz w:val="16"/>
                <w:szCs w:val="16"/>
              </w:rPr>
              <w:t>O – transpozícia s možnosťou voľby</w:t>
            </w:r>
          </w:p>
          <w:p w:rsidR="00030FF0" w:rsidRPr="00641336" w:rsidRDefault="00030FF0" w:rsidP="00026812">
            <w:pPr>
              <w:contextualSpacing/>
              <w:jc w:val="both"/>
              <w:rPr>
                <w:sz w:val="16"/>
                <w:szCs w:val="16"/>
              </w:rPr>
            </w:pPr>
            <w:r w:rsidRPr="00641336">
              <w:rPr>
                <w:sz w:val="16"/>
                <w:szCs w:val="16"/>
              </w:rPr>
              <w:t>D – transpozícia podľa úvahy (dobrovoľná)</w:t>
            </w:r>
          </w:p>
          <w:p w:rsidR="00030FF0" w:rsidRPr="00641336" w:rsidRDefault="00030FF0" w:rsidP="00026812">
            <w:pPr>
              <w:contextualSpacing/>
              <w:jc w:val="both"/>
              <w:rPr>
                <w:sz w:val="16"/>
                <w:szCs w:val="16"/>
              </w:rPr>
            </w:pPr>
            <w:r w:rsidRPr="00641336">
              <w:rPr>
                <w:sz w:val="16"/>
                <w:szCs w:val="16"/>
              </w:rPr>
              <w:t>n.a. – transpozícia sa neuskutočňuje</w:t>
            </w:r>
          </w:p>
        </w:tc>
        <w:tc>
          <w:tcPr>
            <w:tcW w:w="2304" w:type="dxa"/>
            <w:hideMark/>
          </w:tcPr>
          <w:p w:rsidR="00030FF0" w:rsidRPr="00641336" w:rsidRDefault="00030FF0" w:rsidP="00026812">
            <w:pPr>
              <w:pStyle w:val="Normlny0"/>
              <w:contextualSpacing/>
              <w:jc w:val="both"/>
              <w:rPr>
                <w:b/>
                <w:sz w:val="16"/>
                <w:szCs w:val="16"/>
              </w:rPr>
            </w:pPr>
            <w:r w:rsidRPr="00641336">
              <w:rPr>
                <w:b/>
                <w:sz w:val="16"/>
                <w:szCs w:val="16"/>
              </w:rPr>
              <w:t>V stĺpci (5):</w:t>
            </w:r>
          </w:p>
          <w:p w:rsidR="00030FF0" w:rsidRPr="00641336" w:rsidRDefault="00030FF0" w:rsidP="00026812">
            <w:pPr>
              <w:contextualSpacing/>
              <w:jc w:val="both"/>
              <w:rPr>
                <w:sz w:val="16"/>
                <w:szCs w:val="16"/>
              </w:rPr>
            </w:pPr>
            <w:r w:rsidRPr="00641336">
              <w:rPr>
                <w:sz w:val="16"/>
                <w:szCs w:val="16"/>
              </w:rPr>
              <w:t>Č – článok</w:t>
            </w:r>
          </w:p>
          <w:p w:rsidR="00030FF0" w:rsidRPr="00641336" w:rsidRDefault="00030FF0" w:rsidP="00026812">
            <w:pPr>
              <w:contextualSpacing/>
              <w:jc w:val="both"/>
              <w:rPr>
                <w:sz w:val="16"/>
                <w:szCs w:val="16"/>
              </w:rPr>
            </w:pPr>
            <w:r w:rsidRPr="00641336">
              <w:rPr>
                <w:sz w:val="16"/>
                <w:szCs w:val="16"/>
              </w:rPr>
              <w:t>§ – paragraf</w:t>
            </w:r>
          </w:p>
          <w:p w:rsidR="00030FF0" w:rsidRPr="00641336" w:rsidRDefault="00030FF0" w:rsidP="00026812">
            <w:pPr>
              <w:contextualSpacing/>
              <w:jc w:val="both"/>
              <w:rPr>
                <w:sz w:val="16"/>
                <w:szCs w:val="16"/>
              </w:rPr>
            </w:pPr>
            <w:r w:rsidRPr="00641336">
              <w:rPr>
                <w:sz w:val="16"/>
                <w:szCs w:val="16"/>
              </w:rPr>
              <w:t>O – odsek</w:t>
            </w:r>
          </w:p>
          <w:p w:rsidR="00030FF0" w:rsidRPr="00641336" w:rsidRDefault="00030FF0" w:rsidP="00026812">
            <w:pPr>
              <w:contextualSpacing/>
              <w:jc w:val="both"/>
              <w:rPr>
                <w:sz w:val="16"/>
                <w:szCs w:val="16"/>
              </w:rPr>
            </w:pPr>
            <w:r w:rsidRPr="00641336">
              <w:rPr>
                <w:sz w:val="16"/>
                <w:szCs w:val="16"/>
              </w:rPr>
              <w:t>V – veta</w:t>
            </w:r>
          </w:p>
          <w:p w:rsidR="00030FF0" w:rsidRPr="00641336" w:rsidRDefault="00030FF0" w:rsidP="00026812">
            <w:pPr>
              <w:contextualSpacing/>
              <w:jc w:val="both"/>
              <w:rPr>
                <w:sz w:val="16"/>
                <w:szCs w:val="16"/>
              </w:rPr>
            </w:pPr>
            <w:r w:rsidRPr="00641336">
              <w:rPr>
                <w:sz w:val="16"/>
                <w:szCs w:val="16"/>
              </w:rPr>
              <w:t>P – písmeno (číslo)</w:t>
            </w:r>
          </w:p>
        </w:tc>
        <w:tc>
          <w:tcPr>
            <w:tcW w:w="7406" w:type="dxa"/>
            <w:hideMark/>
          </w:tcPr>
          <w:p w:rsidR="00030FF0" w:rsidRPr="00641336" w:rsidRDefault="00030FF0" w:rsidP="00026812">
            <w:pPr>
              <w:pStyle w:val="Normlny0"/>
              <w:contextualSpacing/>
              <w:jc w:val="both"/>
              <w:rPr>
                <w:b/>
                <w:sz w:val="16"/>
                <w:szCs w:val="16"/>
              </w:rPr>
            </w:pPr>
            <w:r w:rsidRPr="00641336">
              <w:rPr>
                <w:b/>
                <w:sz w:val="16"/>
                <w:szCs w:val="16"/>
              </w:rPr>
              <w:t>V stĺpci (7):</w:t>
            </w:r>
          </w:p>
          <w:p w:rsidR="00030FF0" w:rsidRPr="00641336" w:rsidRDefault="00030FF0" w:rsidP="00026812">
            <w:pPr>
              <w:contextualSpacing/>
              <w:jc w:val="both"/>
              <w:rPr>
                <w:sz w:val="16"/>
                <w:szCs w:val="16"/>
              </w:rPr>
            </w:pPr>
            <w:r w:rsidRPr="00641336">
              <w:rPr>
                <w:sz w:val="16"/>
                <w:szCs w:val="16"/>
              </w:rPr>
              <w:t>Ú – úplná zhoda</w:t>
            </w:r>
          </w:p>
          <w:p w:rsidR="00030FF0" w:rsidRPr="00641336" w:rsidRDefault="00030FF0" w:rsidP="00026812">
            <w:pPr>
              <w:contextualSpacing/>
              <w:jc w:val="both"/>
              <w:rPr>
                <w:sz w:val="16"/>
                <w:szCs w:val="16"/>
              </w:rPr>
            </w:pPr>
            <w:r w:rsidRPr="00641336">
              <w:rPr>
                <w:sz w:val="16"/>
                <w:szCs w:val="16"/>
              </w:rPr>
              <w:t>Č – čiastočná zhoda</w:t>
            </w:r>
          </w:p>
          <w:p w:rsidR="00030FF0" w:rsidRPr="00641336" w:rsidRDefault="00030FF0" w:rsidP="00026812">
            <w:pPr>
              <w:contextualSpacing/>
              <w:jc w:val="both"/>
              <w:rPr>
                <w:sz w:val="16"/>
                <w:szCs w:val="16"/>
              </w:rPr>
            </w:pPr>
            <w:r w:rsidRPr="00641336">
              <w:rPr>
                <w:sz w:val="16"/>
                <w:szCs w:val="16"/>
              </w:rPr>
              <w:t>Ž – žiadna zhoda (ak nebola dosiahnutá ani čiast. ani úplná zhoda alebo k prebratiu dôjde v budúcnosti)</w:t>
            </w:r>
          </w:p>
          <w:p w:rsidR="00030FF0" w:rsidRPr="00641336" w:rsidRDefault="00030FF0" w:rsidP="00026812">
            <w:pPr>
              <w:contextualSpacing/>
              <w:jc w:val="both"/>
              <w:rPr>
                <w:sz w:val="16"/>
                <w:szCs w:val="16"/>
              </w:rPr>
            </w:pPr>
            <w:r w:rsidRPr="00641336">
              <w:rPr>
                <w:sz w:val="16"/>
                <w:szCs w:val="16"/>
              </w:rPr>
              <w:t>n.a. – neaplikovateľnosť (ak sa ustanovenie smernice netýka SR alebo nie je potrebné ho prebrať)</w:t>
            </w:r>
          </w:p>
        </w:tc>
      </w:tr>
    </w:tbl>
    <w:p w:rsidR="00245F1E" w:rsidRPr="00C0722A" w:rsidRDefault="00245F1E" w:rsidP="00896E33">
      <w:pPr>
        <w:contextualSpacing/>
        <w:rPr>
          <w:sz w:val="20"/>
          <w:szCs w:val="20"/>
        </w:rPr>
      </w:pPr>
    </w:p>
    <w:sectPr w:rsidR="00245F1E" w:rsidRPr="00C0722A" w:rsidSect="00BB28A1">
      <w:footerReference w:type="default" r:id="rId8"/>
      <w:pgSz w:w="16838" w:h="11906" w:orient="landscape"/>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EFF" w:rsidRDefault="00032EFF" w:rsidP="007949E7">
      <w:r>
        <w:separator/>
      </w:r>
    </w:p>
  </w:endnote>
  <w:endnote w:type="continuationSeparator" w:id="0">
    <w:p w:rsidR="00032EFF" w:rsidRDefault="00032EFF" w:rsidP="007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eXGyreBonum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30C" w:rsidRPr="00F8230C" w:rsidRDefault="00F8230C" w:rsidP="00F8230C">
    <w:pPr>
      <w:pStyle w:val="Pta"/>
      <w:jc w:val="center"/>
      <w:rPr>
        <w:sz w:val="16"/>
        <w:szCs w:val="16"/>
      </w:rPr>
    </w:pPr>
    <w:r w:rsidRPr="00F8230C">
      <w:rPr>
        <w:sz w:val="16"/>
        <w:szCs w:val="16"/>
      </w:rPr>
      <w:fldChar w:fldCharType="begin"/>
    </w:r>
    <w:r w:rsidRPr="00F8230C">
      <w:rPr>
        <w:sz w:val="16"/>
        <w:szCs w:val="16"/>
      </w:rPr>
      <w:instrText>PAGE   \* MERGEFORMAT</w:instrText>
    </w:r>
    <w:r w:rsidRPr="00F8230C">
      <w:rPr>
        <w:sz w:val="16"/>
        <w:szCs w:val="16"/>
      </w:rPr>
      <w:fldChar w:fldCharType="separate"/>
    </w:r>
    <w:r w:rsidR="008159CA">
      <w:rPr>
        <w:noProof/>
        <w:sz w:val="16"/>
        <w:szCs w:val="16"/>
      </w:rPr>
      <w:t>2</w:t>
    </w:r>
    <w:r w:rsidRPr="00F8230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EFF" w:rsidRDefault="00032EFF" w:rsidP="007949E7">
      <w:r>
        <w:separator/>
      </w:r>
    </w:p>
  </w:footnote>
  <w:footnote w:type="continuationSeparator" w:id="0">
    <w:p w:rsidR="00032EFF" w:rsidRDefault="00032EFF" w:rsidP="0079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2D5"/>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6D427F8"/>
    <w:multiLevelType w:val="hybridMultilevel"/>
    <w:tmpl w:val="D0B89C76"/>
    <w:lvl w:ilvl="0" w:tplc="6C3A8696">
      <w:start w:val="1"/>
      <w:numFmt w:val="decimal"/>
      <w:suff w:val="nothing"/>
      <w:lvlText w:val="%1."/>
      <w:lvlJc w:val="left"/>
      <w:pPr>
        <w:ind w:firstLine="709"/>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C124B2F"/>
    <w:multiLevelType w:val="multilevel"/>
    <w:tmpl w:val="FDA8CA74"/>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3" w15:restartNumberingAfterBreak="0">
    <w:nsid w:val="0C6079EF"/>
    <w:multiLevelType w:val="hybridMultilevel"/>
    <w:tmpl w:val="B9FA5D5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A4595C"/>
    <w:multiLevelType w:val="hybridMultilevel"/>
    <w:tmpl w:val="D326DC6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FBA736C"/>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09B2A8E"/>
    <w:multiLevelType w:val="hybridMultilevel"/>
    <w:tmpl w:val="4B5C7BEA"/>
    <w:lvl w:ilvl="0" w:tplc="FA761D7A">
      <w:start w:val="1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303380"/>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8" w15:restartNumberingAfterBreak="0">
    <w:nsid w:val="1C702101"/>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CB1692"/>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73301A9"/>
    <w:multiLevelType w:val="multilevel"/>
    <w:tmpl w:val="A29CC2B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58D2404"/>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7903E69"/>
    <w:multiLevelType w:val="hybridMultilevel"/>
    <w:tmpl w:val="51E089D4"/>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3" w15:restartNumberingAfterBreak="0">
    <w:nsid w:val="44967E62"/>
    <w:multiLevelType w:val="hybridMultilevel"/>
    <w:tmpl w:val="793C871A"/>
    <w:lvl w:ilvl="0" w:tplc="9FCE2D54">
      <w:start w:val="1"/>
      <w:numFmt w:val="decimal"/>
      <w:suff w:val="nothing"/>
      <w:lvlText w:val="%1."/>
      <w:lvlJc w:val="left"/>
      <w:pPr>
        <w:ind w:left="-769" w:firstLine="769"/>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472D4533"/>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C5511DE"/>
    <w:multiLevelType w:val="hybridMultilevel"/>
    <w:tmpl w:val="876A4F8A"/>
    <w:lvl w:ilvl="0" w:tplc="FD9A7F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CE06CBB"/>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0581019"/>
    <w:multiLevelType w:val="multilevel"/>
    <w:tmpl w:val="6FC6686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18" w15:restartNumberingAfterBreak="0">
    <w:nsid w:val="537C7EC5"/>
    <w:multiLevelType w:val="hybridMultilevel"/>
    <w:tmpl w:val="567ADB7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4A63EF2"/>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7735D3"/>
    <w:multiLevelType w:val="multilevel"/>
    <w:tmpl w:val="4FC6CFB6"/>
    <w:lvl w:ilvl="0">
      <w:start w:val="1"/>
      <w:numFmt w:val="lowerLetter"/>
      <w:lvlText w:val="%1)"/>
      <w:lvlJc w:val="left"/>
      <w:pPr>
        <w:ind w:left="720" w:hanging="360"/>
      </w:pPr>
      <w:rPr>
        <w:rFonts w:cs="Times New Roman"/>
        <w:u w:val="none"/>
      </w:rPr>
    </w:lvl>
    <w:lvl w:ilvl="1">
      <w:start w:val="1"/>
      <w:numFmt w:val="lowerRoman"/>
      <w:lvlText w:val="%2)"/>
      <w:lvlJc w:val="righ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lowerRoman"/>
      <w:lvlText w:val="(%5)"/>
      <w:lvlJc w:val="right"/>
      <w:pPr>
        <w:ind w:left="3600" w:hanging="360"/>
      </w:pPr>
      <w:rPr>
        <w:rFonts w:cs="Times New Roman"/>
        <w:u w:val="none"/>
      </w:rPr>
    </w:lvl>
    <w:lvl w:ilvl="5">
      <w:start w:val="1"/>
      <w:numFmt w:val="decimal"/>
      <w:lvlText w:val="(%6)"/>
      <w:lvlJc w:val="left"/>
      <w:pPr>
        <w:ind w:left="4320" w:hanging="360"/>
      </w:pPr>
      <w:rPr>
        <w:rFonts w:cs="Times New Roman"/>
        <w:u w:val="none"/>
      </w:rPr>
    </w:lvl>
    <w:lvl w:ilvl="6">
      <w:start w:val="1"/>
      <w:numFmt w:val="lowerLetter"/>
      <w:lvlText w:val="%7."/>
      <w:lvlJc w:val="left"/>
      <w:pPr>
        <w:ind w:left="5040" w:hanging="360"/>
      </w:pPr>
      <w:rPr>
        <w:rFonts w:cs="Times New Roman"/>
        <w:u w:val="none"/>
      </w:rPr>
    </w:lvl>
    <w:lvl w:ilvl="7">
      <w:start w:val="1"/>
      <w:numFmt w:val="lowerRoman"/>
      <w:lvlText w:val="%8."/>
      <w:lvlJc w:val="right"/>
      <w:pPr>
        <w:ind w:left="5760" w:hanging="360"/>
      </w:pPr>
      <w:rPr>
        <w:rFonts w:cs="Times New Roman"/>
        <w:u w:val="none"/>
      </w:rPr>
    </w:lvl>
    <w:lvl w:ilvl="8">
      <w:start w:val="1"/>
      <w:numFmt w:val="decimal"/>
      <w:lvlText w:val="%9."/>
      <w:lvlJc w:val="left"/>
      <w:pPr>
        <w:ind w:left="6480" w:hanging="360"/>
      </w:pPr>
      <w:rPr>
        <w:rFonts w:cs="Times New Roman"/>
        <w:u w:val="none"/>
      </w:rPr>
    </w:lvl>
  </w:abstractNum>
  <w:abstractNum w:abstractNumId="21" w15:restartNumberingAfterBreak="0">
    <w:nsid w:val="5C1F50CD"/>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D085626"/>
    <w:multiLevelType w:val="hybridMultilevel"/>
    <w:tmpl w:val="DC7AACFE"/>
    <w:lvl w:ilvl="0" w:tplc="F196C70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D5D75F6"/>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4" w15:restartNumberingAfterBreak="0">
    <w:nsid w:val="5F127BA4"/>
    <w:multiLevelType w:val="hybridMultilevel"/>
    <w:tmpl w:val="DD9404F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F965199"/>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3A32F9B"/>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8" w15:restartNumberingAfterBreak="0">
    <w:nsid w:val="72306D05"/>
    <w:multiLevelType w:val="multilevel"/>
    <w:tmpl w:val="68949122"/>
    <w:lvl w:ilvl="0">
      <w:start w:val="1"/>
      <w:numFmt w:val="decimal"/>
      <w:lvlText w:val="§ %1"/>
      <w:lvlJc w:val="center"/>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30B30E9"/>
    <w:multiLevelType w:val="hybridMultilevel"/>
    <w:tmpl w:val="98CC6326"/>
    <w:lvl w:ilvl="0" w:tplc="A4B07E16">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F11FF1"/>
    <w:multiLevelType w:val="hybridMultilevel"/>
    <w:tmpl w:val="3306F000"/>
    <w:lvl w:ilvl="0" w:tplc="1FC8A5DA">
      <w:start w:val="1"/>
      <w:numFmt w:val="decimal"/>
      <w:suff w:val="nothing"/>
      <w:lvlText w:val="%1."/>
      <w:lvlJc w:val="left"/>
      <w:pPr>
        <w:ind w:firstLine="709"/>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31" w15:restartNumberingAfterBreak="0">
    <w:nsid w:val="77677C4A"/>
    <w:multiLevelType w:val="hybridMultilevel"/>
    <w:tmpl w:val="7CEA8276"/>
    <w:lvl w:ilvl="0" w:tplc="76C85586">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2" w15:restartNumberingAfterBreak="0">
    <w:nsid w:val="77BE78CC"/>
    <w:multiLevelType w:val="multilevel"/>
    <w:tmpl w:val="113A1B9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B083002"/>
    <w:multiLevelType w:val="hybridMultilevel"/>
    <w:tmpl w:val="D58621D2"/>
    <w:lvl w:ilvl="0" w:tplc="041B0017">
      <w:start w:val="1"/>
      <w:numFmt w:val="lowerLetter"/>
      <w:lvlText w:val="%1)"/>
      <w:lvlJc w:val="left"/>
      <w:pPr>
        <w:ind w:left="36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EB240BC"/>
    <w:multiLevelType w:val="multilevel"/>
    <w:tmpl w:val="45289ED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2"/>
  </w:num>
  <w:num w:numId="2">
    <w:abstractNumId w:val="27"/>
  </w:num>
  <w:num w:numId="3">
    <w:abstractNumId w:val="22"/>
  </w:num>
  <w:num w:numId="4">
    <w:abstractNumId w:val="8"/>
  </w:num>
  <w:num w:numId="5">
    <w:abstractNumId w:val="1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5"/>
  </w:num>
  <w:num w:numId="10">
    <w:abstractNumId w:val="29"/>
  </w:num>
  <w:num w:numId="11">
    <w:abstractNumId w:val="3"/>
  </w:num>
  <w:num w:numId="12">
    <w:abstractNumId w:val="4"/>
  </w:num>
  <w:num w:numId="13">
    <w:abstractNumId w:val="2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1"/>
  </w:num>
  <w:num w:numId="18">
    <w:abstractNumId w:val="31"/>
  </w:num>
  <w:num w:numId="19">
    <w:abstractNumId w:val="6"/>
  </w:num>
  <w:num w:numId="20">
    <w:abstractNumId w:val="28"/>
  </w:num>
  <w:num w:numId="21">
    <w:abstractNumId w:val="34"/>
  </w:num>
  <w:num w:numId="22">
    <w:abstractNumId w:val="17"/>
  </w:num>
  <w:num w:numId="23">
    <w:abstractNumId w:val="2"/>
  </w:num>
  <w:num w:numId="24">
    <w:abstractNumId w:val="16"/>
  </w:num>
  <w:num w:numId="25">
    <w:abstractNumId w:val="20"/>
  </w:num>
  <w:num w:numId="26">
    <w:abstractNumId w:val="32"/>
  </w:num>
  <w:num w:numId="27">
    <w:abstractNumId w:val="5"/>
  </w:num>
  <w:num w:numId="28">
    <w:abstractNumId w:val="9"/>
  </w:num>
  <w:num w:numId="29">
    <w:abstractNumId w:val="14"/>
  </w:num>
  <w:num w:numId="30">
    <w:abstractNumId w:val="10"/>
  </w:num>
  <w:num w:numId="31">
    <w:abstractNumId w:val="26"/>
  </w:num>
  <w:num w:numId="32">
    <w:abstractNumId w:val="25"/>
  </w:num>
  <w:num w:numId="33">
    <w:abstractNumId w:val="11"/>
  </w:num>
  <w:num w:numId="34">
    <w:abstractNumId w:val="19"/>
  </w:num>
  <w:num w:numId="35">
    <w:abstractNumId w:val="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51"/>
    <w:rsid w:val="000008B7"/>
    <w:rsid w:val="000008D7"/>
    <w:rsid w:val="00003BD9"/>
    <w:rsid w:val="0001034B"/>
    <w:rsid w:val="00010446"/>
    <w:rsid w:val="000133BB"/>
    <w:rsid w:val="00013E54"/>
    <w:rsid w:val="00022D84"/>
    <w:rsid w:val="00023155"/>
    <w:rsid w:val="00025F82"/>
    <w:rsid w:val="00026812"/>
    <w:rsid w:val="00030FF0"/>
    <w:rsid w:val="00032EFF"/>
    <w:rsid w:val="00043674"/>
    <w:rsid w:val="00051EA3"/>
    <w:rsid w:val="00056169"/>
    <w:rsid w:val="00076533"/>
    <w:rsid w:val="00080B20"/>
    <w:rsid w:val="00091DE2"/>
    <w:rsid w:val="00094E36"/>
    <w:rsid w:val="00096801"/>
    <w:rsid w:val="00096C5E"/>
    <w:rsid w:val="000976FD"/>
    <w:rsid w:val="000A0525"/>
    <w:rsid w:val="000A0893"/>
    <w:rsid w:val="000A67E3"/>
    <w:rsid w:val="000B1938"/>
    <w:rsid w:val="000B2CF2"/>
    <w:rsid w:val="000B4427"/>
    <w:rsid w:val="000B4DF0"/>
    <w:rsid w:val="000C0CF5"/>
    <w:rsid w:val="000C474C"/>
    <w:rsid w:val="000C5B28"/>
    <w:rsid w:val="000C682B"/>
    <w:rsid w:val="000E0E23"/>
    <w:rsid w:val="000E36C8"/>
    <w:rsid w:val="000F5782"/>
    <w:rsid w:val="000F6767"/>
    <w:rsid w:val="000F6AC0"/>
    <w:rsid w:val="00100746"/>
    <w:rsid w:val="00115F2C"/>
    <w:rsid w:val="001202A5"/>
    <w:rsid w:val="00121608"/>
    <w:rsid w:val="00125CCC"/>
    <w:rsid w:val="0013370F"/>
    <w:rsid w:val="00144F66"/>
    <w:rsid w:val="00146BF5"/>
    <w:rsid w:val="00150641"/>
    <w:rsid w:val="00151272"/>
    <w:rsid w:val="001534BF"/>
    <w:rsid w:val="0015371F"/>
    <w:rsid w:val="00157022"/>
    <w:rsid w:val="001614A9"/>
    <w:rsid w:val="001628DE"/>
    <w:rsid w:val="001679D1"/>
    <w:rsid w:val="0018080D"/>
    <w:rsid w:val="00186680"/>
    <w:rsid w:val="001902B7"/>
    <w:rsid w:val="001962B6"/>
    <w:rsid w:val="001A1AE8"/>
    <w:rsid w:val="001A2267"/>
    <w:rsid w:val="001A7F7B"/>
    <w:rsid w:val="001B31F2"/>
    <w:rsid w:val="001B7551"/>
    <w:rsid w:val="001C29D4"/>
    <w:rsid w:val="001C3E1B"/>
    <w:rsid w:val="001C601A"/>
    <w:rsid w:val="001C734C"/>
    <w:rsid w:val="001D47C7"/>
    <w:rsid w:val="001F401E"/>
    <w:rsid w:val="001F71C2"/>
    <w:rsid w:val="00200783"/>
    <w:rsid w:val="00202DD1"/>
    <w:rsid w:val="002065FA"/>
    <w:rsid w:val="00230B53"/>
    <w:rsid w:val="00231042"/>
    <w:rsid w:val="00237508"/>
    <w:rsid w:val="00243B3D"/>
    <w:rsid w:val="00245F1E"/>
    <w:rsid w:val="00247565"/>
    <w:rsid w:val="002558EA"/>
    <w:rsid w:val="00256039"/>
    <w:rsid w:val="002643F8"/>
    <w:rsid w:val="002673A9"/>
    <w:rsid w:val="002739C1"/>
    <w:rsid w:val="002821BA"/>
    <w:rsid w:val="002828F1"/>
    <w:rsid w:val="00283404"/>
    <w:rsid w:val="00284124"/>
    <w:rsid w:val="00285AD6"/>
    <w:rsid w:val="00294095"/>
    <w:rsid w:val="002B47A8"/>
    <w:rsid w:val="002B6EB5"/>
    <w:rsid w:val="002C6982"/>
    <w:rsid w:val="002D4A6F"/>
    <w:rsid w:val="002E0A9C"/>
    <w:rsid w:val="002F2B77"/>
    <w:rsid w:val="002F4D1C"/>
    <w:rsid w:val="002F6981"/>
    <w:rsid w:val="003001A7"/>
    <w:rsid w:val="003110C9"/>
    <w:rsid w:val="00316CCF"/>
    <w:rsid w:val="00320BD0"/>
    <w:rsid w:val="00331F1E"/>
    <w:rsid w:val="00333042"/>
    <w:rsid w:val="00335BF2"/>
    <w:rsid w:val="00342687"/>
    <w:rsid w:val="00355349"/>
    <w:rsid w:val="00362A1C"/>
    <w:rsid w:val="00380A2F"/>
    <w:rsid w:val="0038162A"/>
    <w:rsid w:val="00391745"/>
    <w:rsid w:val="00391A6D"/>
    <w:rsid w:val="00392096"/>
    <w:rsid w:val="003B5636"/>
    <w:rsid w:val="003B6018"/>
    <w:rsid w:val="003C320B"/>
    <w:rsid w:val="003C6B94"/>
    <w:rsid w:val="003D5F1E"/>
    <w:rsid w:val="003E6CB2"/>
    <w:rsid w:val="003E6D9F"/>
    <w:rsid w:val="003E7844"/>
    <w:rsid w:val="003F6756"/>
    <w:rsid w:val="0040488E"/>
    <w:rsid w:val="004201F5"/>
    <w:rsid w:val="00420BFC"/>
    <w:rsid w:val="00421084"/>
    <w:rsid w:val="00421873"/>
    <w:rsid w:val="00424C29"/>
    <w:rsid w:val="00425EE7"/>
    <w:rsid w:val="00427BB2"/>
    <w:rsid w:val="00440D31"/>
    <w:rsid w:val="0044346D"/>
    <w:rsid w:val="00450231"/>
    <w:rsid w:val="00452F53"/>
    <w:rsid w:val="00455E03"/>
    <w:rsid w:val="0045789F"/>
    <w:rsid w:val="0046431C"/>
    <w:rsid w:val="00481CAC"/>
    <w:rsid w:val="004861FE"/>
    <w:rsid w:val="0049584D"/>
    <w:rsid w:val="00495F8E"/>
    <w:rsid w:val="00496353"/>
    <w:rsid w:val="004A2929"/>
    <w:rsid w:val="004A293D"/>
    <w:rsid w:val="004B0C8D"/>
    <w:rsid w:val="004B4A51"/>
    <w:rsid w:val="004C0A19"/>
    <w:rsid w:val="004C5870"/>
    <w:rsid w:val="004C6E90"/>
    <w:rsid w:val="004D17B9"/>
    <w:rsid w:val="004D1E51"/>
    <w:rsid w:val="004D786C"/>
    <w:rsid w:val="004E186B"/>
    <w:rsid w:val="004E6AE1"/>
    <w:rsid w:val="00506A69"/>
    <w:rsid w:val="0051435A"/>
    <w:rsid w:val="00515DFE"/>
    <w:rsid w:val="00516FEF"/>
    <w:rsid w:val="00525592"/>
    <w:rsid w:val="00526109"/>
    <w:rsid w:val="00530FBC"/>
    <w:rsid w:val="005345B4"/>
    <w:rsid w:val="005434A0"/>
    <w:rsid w:val="00551FE4"/>
    <w:rsid w:val="005545AC"/>
    <w:rsid w:val="00556147"/>
    <w:rsid w:val="005566B4"/>
    <w:rsid w:val="005676E2"/>
    <w:rsid w:val="005865F3"/>
    <w:rsid w:val="005918C1"/>
    <w:rsid w:val="00593E11"/>
    <w:rsid w:val="005940BE"/>
    <w:rsid w:val="005A3B31"/>
    <w:rsid w:val="005A72C0"/>
    <w:rsid w:val="005B3602"/>
    <w:rsid w:val="005B3E83"/>
    <w:rsid w:val="005B6162"/>
    <w:rsid w:val="005B7357"/>
    <w:rsid w:val="005B7BF7"/>
    <w:rsid w:val="005D763C"/>
    <w:rsid w:val="005E1CA7"/>
    <w:rsid w:val="005E72A2"/>
    <w:rsid w:val="005E795C"/>
    <w:rsid w:val="005F7F2D"/>
    <w:rsid w:val="006012C2"/>
    <w:rsid w:val="00605703"/>
    <w:rsid w:val="00607E6E"/>
    <w:rsid w:val="00610209"/>
    <w:rsid w:val="00611584"/>
    <w:rsid w:val="00631C80"/>
    <w:rsid w:val="006366D4"/>
    <w:rsid w:val="00641336"/>
    <w:rsid w:val="00641899"/>
    <w:rsid w:val="00664AC6"/>
    <w:rsid w:val="00667AA5"/>
    <w:rsid w:val="006836E1"/>
    <w:rsid w:val="0069191D"/>
    <w:rsid w:val="0069534E"/>
    <w:rsid w:val="006A05E6"/>
    <w:rsid w:val="006A0667"/>
    <w:rsid w:val="006A3864"/>
    <w:rsid w:val="006B0362"/>
    <w:rsid w:val="006B1966"/>
    <w:rsid w:val="006B35E0"/>
    <w:rsid w:val="006C3644"/>
    <w:rsid w:val="006C7EE1"/>
    <w:rsid w:val="006D58D8"/>
    <w:rsid w:val="006D6FF6"/>
    <w:rsid w:val="006E32CB"/>
    <w:rsid w:val="006E3697"/>
    <w:rsid w:val="006F2395"/>
    <w:rsid w:val="006F32DC"/>
    <w:rsid w:val="006F62A8"/>
    <w:rsid w:val="00704F14"/>
    <w:rsid w:val="007064FD"/>
    <w:rsid w:val="007146D4"/>
    <w:rsid w:val="00714B55"/>
    <w:rsid w:val="0071612C"/>
    <w:rsid w:val="00726228"/>
    <w:rsid w:val="00732981"/>
    <w:rsid w:val="00751FF0"/>
    <w:rsid w:val="007629E8"/>
    <w:rsid w:val="00762BD7"/>
    <w:rsid w:val="00762C5F"/>
    <w:rsid w:val="00774D34"/>
    <w:rsid w:val="00783097"/>
    <w:rsid w:val="007949E7"/>
    <w:rsid w:val="007A17EE"/>
    <w:rsid w:val="007A47F9"/>
    <w:rsid w:val="007A5A00"/>
    <w:rsid w:val="007B7649"/>
    <w:rsid w:val="007C6852"/>
    <w:rsid w:val="007C754A"/>
    <w:rsid w:val="007D1152"/>
    <w:rsid w:val="007D1E42"/>
    <w:rsid w:val="007D2689"/>
    <w:rsid w:val="007D6DFC"/>
    <w:rsid w:val="0080613E"/>
    <w:rsid w:val="008077AE"/>
    <w:rsid w:val="008101AF"/>
    <w:rsid w:val="008159CA"/>
    <w:rsid w:val="008276AA"/>
    <w:rsid w:val="008364F8"/>
    <w:rsid w:val="00845B52"/>
    <w:rsid w:val="0085144D"/>
    <w:rsid w:val="00853CDD"/>
    <w:rsid w:val="00854623"/>
    <w:rsid w:val="0086144E"/>
    <w:rsid w:val="008620A7"/>
    <w:rsid w:val="00862B81"/>
    <w:rsid w:val="0087704D"/>
    <w:rsid w:val="00880273"/>
    <w:rsid w:val="00882767"/>
    <w:rsid w:val="008849E5"/>
    <w:rsid w:val="00890667"/>
    <w:rsid w:val="00893177"/>
    <w:rsid w:val="008947CC"/>
    <w:rsid w:val="00896E33"/>
    <w:rsid w:val="008A1603"/>
    <w:rsid w:val="008B3AF1"/>
    <w:rsid w:val="008B6B46"/>
    <w:rsid w:val="008C10F4"/>
    <w:rsid w:val="008D087D"/>
    <w:rsid w:val="008D0C2A"/>
    <w:rsid w:val="008D2E3B"/>
    <w:rsid w:val="008D6852"/>
    <w:rsid w:val="008E59D4"/>
    <w:rsid w:val="008F501C"/>
    <w:rsid w:val="008F68B6"/>
    <w:rsid w:val="00902F4D"/>
    <w:rsid w:val="0090474D"/>
    <w:rsid w:val="00907AA2"/>
    <w:rsid w:val="0091707A"/>
    <w:rsid w:val="00922B72"/>
    <w:rsid w:val="00922E4F"/>
    <w:rsid w:val="009435CF"/>
    <w:rsid w:val="00944AE7"/>
    <w:rsid w:val="00944BB2"/>
    <w:rsid w:val="00945589"/>
    <w:rsid w:val="00950074"/>
    <w:rsid w:val="0095484D"/>
    <w:rsid w:val="0095597C"/>
    <w:rsid w:val="009561E0"/>
    <w:rsid w:val="00957073"/>
    <w:rsid w:val="00961C6A"/>
    <w:rsid w:val="00962AA3"/>
    <w:rsid w:val="009719C6"/>
    <w:rsid w:val="00975E12"/>
    <w:rsid w:val="009809F3"/>
    <w:rsid w:val="009950D2"/>
    <w:rsid w:val="009A7CB8"/>
    <w:rsid w:val="009B043A"/>
    <w:rsid w:val="009C3BD9"/>
    <w:rsid w:val="009D2789"/>
    <w:rsid w:val="009E0BA8"/>
    <w:rsid w:val="009E1BBC"/>
    <w:rsid w:val="009E4149"/>
    <w:rsid w:val="009E4810"/>
    <w:rsid w:val="009F3506"/>
    <w:rsid w:val="009F56E0"/>
    <w:rsid w:val="00A02ED6"/>
    <w:rsid w:val="00A0702F"/>
    <w:rsid w:val="00A104E1"/>
    <w:rsid w:val="00A216BD"/>
    <w:rsid w:val="00A21B94"/>
    <w:rsid w:val="00A250EC"/>
    <w:rsid w:val="00A31BC3"/>
    <w:rsid w:val="00A462A8"/>
    <w:rsid w:val="00A47790"/>
    <w:rsid w:val="00A611FF"/>
    <w:rsid w:val="00A61E7E"/>
    <w:rsid w:val="00A62C52"/>
    <w:rsid w:val="00A64ADD"/>
    <w:rsid w:val="00A718CF"/>
    <w:rsid w:val="00A73E15"/>
    <w:rsid w:val="00A77DCB"/>
    <w:rsid w:val="00AA5B83"/>
    <w:rsid w:val="00AB1BA2"/>
    <w:rsid w:val="00AB20BD"/>
    <w:rsid w:val="00AB38E4"/>
    <w:rsid w:val="00AE02B0"/>
    <w:rsid w:val="00AE0E50"/>
    <w:rsid w:val="00AE2B88"/>
    <w:rsid w:val="00AE5445"/>
    <w:rsid w:val="00AF69F3"/>
    <w:rsid w:val="00AF7DD5"/>
    <w:rsid w:val="00B02B09"/>
    <w:rsid w:val="00B166F0"/>
    <w:rsid w:val="00B223D9"/>
    <w:rsid w:val="00B22F4C"/>
    <w:rsid w:val="00B250C5"/>
    <w:rsid w:val="00B33DAC"/>
    <w:rsid w:val="00B350D2"/>
    <w:rsid w:val="00B37F04"/>
    <w:rsid w:val="00B40264"/>
    <w:rsid w:val="00B41521"/>
    <w:rsid w:val="00B4165D"/>
    <w:rsid w:val="00B43834"/>
    <w:rsid w:val="00B460FF"/>
    <w:rsid w:val="00B54C6E"/>
    <w:rsid w:val="00B5647B"/>
    <w:rsid w:val="00B56DAE"/>
    <w:rsid w:val="00B576E4"/>
    <w:rsid w:val="00B73983"/>
    <w:rsid w:val="00B80BBD"/>
    <w:rsid w:val="00B8267B"/>
    <w:rsid w:val="00B82A0D"/>
    <w:rsid w:val="00B8325F"/>
    <w:rsid w:val="00B944F4"/>
    <w:rsid w:val="00B95AE2"/>
    <w:rsid w:val="00BB077B"/>
    <w:rsid w:val="00BB1E20"/>
    <w:rsid w:val="00BB28A1"/>
    <w:rsid w:val="00BB48AC"/>
    <w:rsid w:val="00BB59BB"/>
    <w:rsid w:val="00BB7457"/>
    <w:rsid w:val="00BC2420"/>
    <w:rsid w:val="00BC2BEF"/>
    <w:rsid w:val="00BC5285"/>
    <w:rsid w:val="00BC617E"/>
    <w:rsid w:val="00BD0F02"/>
    <w:rsid w:val="00BE406D"/>
    <w:rsid w:val="00BF3669"/>
    <w:rsid w:val="00BF4885"/>
    <w:rsid w:val="00C00BE2"/>
    <w:rsid w:val="00C023A3"/>
    <w:rsid w:val="00C03269"/>
    <w:rsid w:val="00C0722A"/>
    <w:rsid w:val="00C078BD"/>
    <w:rsid w:val="00C1539D"/>
    <w:rsid w:val="00C154F3"/>
    <w:rsid w:val="00C159BE"/>
    <w:rsid w:val="00C16B01"/>
    <w:rsid w:val="00C220F7"/>
    <w:rsid w:val="00C37511"/>
    <w:rsid w:val="00C544EF"/>
    <w:rsid w:val="00C65A9C"/>
    <w:rsid w:val="00C70AF1"/>
    <w:rsid w:val="00C73085"/>
    <w:rsid w:val="00C7480E"/>
    <w:rsid w:val="00C81D17"/>
    <w:rsid w:val="00C81E4A"/>
    <w:rsid w:val="00C821A8"/>
    <w:rsid w:val="00C839A7"/>
    <w:rsid w:val="00C8582D"/>
    <w:rsid w:val="00C94B09"/>
    <w:rsid w:val="00C96643"/>
    <w:rsid w:val="00C978E1"/>
    <w:rsid w:val="00CB055B"/>
    <w:rsid w:val="00CC0A1D"/>
    <w:rsid w:val="00CC3020"/>
    <w:rsid w:val="00CC7E31"/>
    <w:rsid w:val="00CD12D5"/>
    <w:rsid w:val="00CD17D0"/>
    <w:rsid w:val="00CD6007"/>
    <w:rsid w:val="00CD7788"/>
    <w:rsid w:val="00CE59F1"/>
    <w:rsid w:val="00CF4AD2"/>
    <w:rsid w:val="00D03E42"/>
    <w:rsid w:val="00D13B00"/>
    <w:rsid w:val="00D201E0"/>
    <w:rsid w:val="00D36B15"/>
    <w:rsid w:val="00D4059E"/>
    <w:rsid w:val="00D41E23"/>
    <w:rsid w:val="00D4286E"/>
    <w:rsid w:val="00D4386B"/>
    <w:rsid w:val="00D44FD2"/>
    <w:rsid w:val="00D476FA"/>
    <w:rsid w:val="00D47B93"/>
    <w:rsid w:val="00D5016A"/>
    <w:rsid w:val="00D63239"/>
    <w:rsid w:val="00D72558"/>
    <w:rsid w:val="00D85203"/>
    <w:rsid w:val="00D90CDF"/>
    <w:rsid w:val="00DA0B4E"/>
    <w:rsid w:val="00DA0FC3"/>
    <w:rsid w:val="00DA73EC"/>
    <w:rsid w:val="00DC583D"/>
    <w:rsid w:val="00DD2E7A"/>
    <w:rsid w:val="00DD4259"/>
    <w:rsid w:val="00DE1394"/>
    <w:rsid w:val="00DE3074"/>
    <w:rsid w:val="00DE3193"/>
    <w:rsid w:val="00E0287B"/>
    <w:rsid w:val="00E05AF9"/>
    <w:rsid w:val="00E07359"/>
    <w:rsid w:val="00E11EA0"/>
    <w:rsid w:val="00E14199"/>
    <w:rsid w:val="00E201FB"/>
    <w:rsid w:val="00E30307"/>
    <w:rsid w:val="00E35931"/>
    <w:rsid w:val="00E43B23"/>
    <w:rsid w:val="00E45975"/>
    <w:rsid w:val="00E51A19"/>
    <w:rsid w:val="00E54BFB"/>
    <w:rsid w:val="00E57335"/>
    <w:rsid w:val="00E711C6"/>
    <w:rsid w:val="00E92A54"/>
    <w:rsid w:val="00E92CC2"/>
    <w:rsid w:val="00E935EB"/>
    <w:rsid w:val="00EB0B68"/>
    <w:rsid w:val="00EB2935"/>
    <w:rsid w:val="00EC4133"/>
    <w:rsid w:val="00EC780C"/>
    <w:rsid w:val="00ED3105"/>
    <w:rsid w:val="00ED511F"/>
    <w:rsid w:val="00EE31B1"/>
    <w:rsid w:val="00EE3AF6"/>
    <w:rsid w:val="00EE4F99"/>
    <w:rsid w:val="00F07A31"/>
    <w:rsid w:val="00F13B5C"/>
    <w:rsid w:val="00F140DC"/>
    <w:rsid w:val="00F22059"/>
    <w:rsid w:val="00F241DC"/>
    <w:rsid w:val="00F32093"/>
    <w:rsid w:val="00F41951"/>
    <w:rsid w:val="00F4580B"/>
    <w:rsid w:val="00F51505"/>
    <w:rsid w:val="00F643D2"/>
    <w:rsid w:val="00F7080F"/>
    <w:rsid w:val="00F73449"/>
    <w:rsid w:val="00F77482"/>
    <w:rsid w:val="00F77E8E"/>
    <w:rsid w:val="00F8078E"/>
    <w:rsid w:val="00F8230C"/>
    <w:rsid w:val="00FA4818"/>
    <w:rsid w:val="00FC3DE3"/>
    <w:rsid w:val="00FD2B8A"/>
    <w:rsid w:val="00FD733A"/>
    <w:rsid w:val="00FE574C"/>
    <w:rsid w:val="00FF56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97A9E1-C9A9-478E-8560-F5C9D708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7551"/>
    <w:pPr>
      <w:widowControl w:val="0"/>
      <w:adjustRightInd w:val="0"/>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1B7551"/>
    <w:pPr>
      <w:keepNext/>
      <w:jc w:val="center"/>
      <w:outlineLvl w:val="0"/>
    </w:pPr>
    <w:rPr>
      <w:b/>
      <w:bCs/>
    </w:rPr>
  </w:style>
  <w:style w:type="paragraph" w:styleId="Nadpis2">
    <w:name w:val="heading 2"/>
    <w:basedOn w:val="Normlny"/>
    <w:next w:val="Normlny"/>
    <w:link w:val="Nadpis2Char"/>
    <w:uiPriority w:val="9"/>
    <w:semiHidden/>
    <w:unhideWhenUsed/>
    <w:qFormat/>
    <w:rsid w:val="00BB59BB"/>
    <w:pPr>
      <w:keepNext/>
      <w:keepLines/>
      <w:spacing w:before="200"/>
      <w:outlineLvl w:val="1"/>
    </w:pPr>
    <w:rPr>
      <w:rFonts w:asciiTheme="majorHAnsi" w:eastAsiaTheme="majorEastAsia" w:hAnsiTheme="majorHAnsi"/>
      <w:b/>
      <w:bCs/>
      <w:color w:val="4F81BD" w:themeColor="accent1"/>
      <w:sz w:val="26"/>
      <w:szCs w:val="26"/>
    </w:rPr>
  </w:style>
  <w:style w:type="paragraph" w:styleId="Nadpis3">
    <w:name w:val="heading 3"/>
    <w:basedOn w:val="Normlny"/>
    <w:next w:val="Normlny"/>
    <w:link w:val="Nadpis3Char"/>
    <w:uiPriority w:val="9"/>
    <w:semiHidden/>
    <w:unhideWhenUsed/>
    <w:qFormat/>
    <w:rsid w:val="001B7551"/>
    <w:pPr>
      <w:keepNext/>
      <w:keepLines/>
      <w:spacing w:before="200"/>
      <w:outlineLvl w:val="2"/>
    </w:pPr>
    <w:rPr>
      <w:rFonts w:asciiTheme="majorHAnsi" w:eastAsiaTheme="majorEastAsia" w:hAnsiTheme="majorHAnsi"/>
      <w:b/>
      <w:bCs/>
      <w:color w:val="4F81BD" w:themeColor="accent1"/>
    </w:rPr>
  </w:style>
  <w:style w:type="paragraph" w:styleId="Nadpis4">
    <w:name w:val="heading 4"/>
    <w:basedOn w:val="Normlny"/>
    <w:next w:val="Normlny"/>
    <w:link w:val="Nadpis4Char"/>
    <w:uiPriority w:val="9"/>
    <w:qFormat/>
    <w:rsid w:val="001B7551"/>
    <w:pPr>
      <w:keepNext/>
      <w:jc w:val="center"/>
      <w:outlineLvl w:val="3"/>
    </w:pPr>
    <w:rPr>
      <w:b/>
      <w:bCs/>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B7551"/>
    <w:rPr>
      <w:rFonts w:ascii="Times New Roman" w:hAnsi="Times New Roman" w:cs="Times New Roman"/>
      <w:b/>
      <w:bCs/>
      <w:sz w:val="24"/>
      <w:szCs w:val="24"/>
      <w:lang w:val="x-none" w:eastAsia="sk-SK"/>
    </w:rPr>
  </w:style>
  <w:style w:type="character" w:customStyle="1" w:styleId="Nadpis2Char">
    <w:name w:val="Nadpis 2 Char"/>
    <w:basedOn w:val="Predvolenpsmoodseku"/>
    <w:link w:val="Nadpis2"/>
    <w:uiPriority w:val="9"/>
    <w:semiHidden/>
    <w:locked/>
    <w:rsid w:val="00BB59BB"/>
    <w:rPr>
      <w:rFonts w:asciiTheme="majorHAnsi" w:eastAsiaTheme="majorEastAsia" w:hAnsiTheme="majorHAnsi" w:cs="Times New Roman"/>
      <w:b/>
      <w:bCs/>
      <w:color w:val="4F81BD" w:themeColor="accent1"/>
      <w:sz w:val="26"/>
      <w:szCs w:val="26"/>
      <w:lang w:val="x-none" w:eastAsia="sk-SK"/>
    </w:rPr>
  </w:style>
  <w:style w:type="character" w:customStyle="1" w:styleId="Nadpis3Char">
    <w:name w:val="Nadpis 3 Char"/>
    <w:basedOn w:val="Predvolenpsmoodseku"/>
    <w:link w:val="Nadpis3"/>
    <w:uiPriority w:val="9"/>
    <w:semiHidden/>
    <w:locked/>
    <w:rsid w:val="001B7551"/>
    <w:rPr>
      <w:rFonts w:asciiTheme="majorHAnsi" w:eastAsiaTheme="majorEastAsia" w:hAnsiTheme="majorHAnsi" w:cs="Times New Roman"/>
      <w:b/>
      <w:bCs/>
      <w:color w:val="4F81BD" w:themeColor="accent1"/>
      <w:sz w:val="24"/>
      <w:szCs w:val="24"/>
      <w:lang w:val="x-none" w:eastAsia="sk-SK"/>
    </w:rPr>
  </w:style>
  <w:style w:type="character" w:customStyle="1" w:styleId="Nadpis4Char">
    <w:name w:val="Nadpis 4 Char"/>
    <w:basedOn w:val="Predvolenpsmoodseku"/>
    <w:link w:val="Nadpis4"/>
    <w:uiPriority w:val="9"/>
    <w:locked/>
    <w:rsid w:val="001B7551"/>
    <w:rPr>
      <w:rFonts w:ascii="Times New Roman" w:hAnsi="Times New Roman" w:cs="Times New Roman"/>
      <w:b/>
      <w:bCs/>
      <w:lang w:val="x-none" w:eastAsia="sk-SK"/>
    </w:rPr>
  </w:style>
  <w:style w:type="paragraph" w:styleId="Zkladntext3">
    <w:name w:val="Body Text 3"/>
    <w:basedOn w:val="Normlny"/>
    <w:link w:val="Zkladntext3Char"/>
    <w:uiPriority w:val="99"/>
    <w:rsid w:val="001B7551"/>
    <w:pPr>
      <w:spacing w:line="240" w:lineRule="atLeast"/>
      <w:jc w:val="both"/>
    </w:pPr>
  </w:style>
  <w:style w:type="character" w:customStyle="1" w:styleId="Zkladntext3Char">
    <w:name w:val="Základný text 3 Char"/>
    <w:basedOn w:val="Predvolenpsmoodseku"/>
    <w:link w:val="Zkladntext3"/>
    <w:uiPriority w:val="99"/>
    <w:locked/>
    <w:rsid w:val="001B7551"/>
    <w:rPr>
      <w:rFonts w:ascii="Times New Roman" w:hAnsi="Times New Roman" w:cs="Times New Roman"/>
      <w:sz w:val="24"/>
      <w:szCs w:val="24"/>
      <w:lang w:val="x-none" w:eastAsia="sk-SK"/>
    </w:rPr>
  </w:style>
  <w:style w:type="paragraph" w:styleId="Hlavika">
    <w:name w:val="header"/>
    <w:basedOn w:val="Normlny"/>
    <w:link w:val="HlavikaChar"/>
    <w:uiPriority w:val="99"/>
    <w:rsid w:val="001B7551"/>
    <w:pPr>
      <w:tabs>
        <w:tab w:val="center" w:pos="4536"/>
        <w:tab w:val="right" w:pos="9072"/>
      </w:tabs>
    </w:pPr>
  </w:style>
  <w:style w:type="character" w:customStyle="1" w:styleId="HlavikaChar">
    <w:name w:val="Hlavička Char"/>
    <w:basedOn w:val="Predvolenpsmoodseku"/>
    <w:link w:val="Hlavika"/>
    <w:uiPriority w:val="99"/>
    <w:locked/>
    <w:rsid w:val="001B7551"/>
    <w:rPr>
      <w:rFonts w:ascii="Times New Roman" w:hAnsi="Times New Roman" w:cs="Times New Roman"/>
      <w:sz w:val="24"/>
      <w:szCs w:val="24"/>
      <w:lang w:val="x-none" w:eastAsia="sk-SK"/>
    </w:rPr>
  </w:style>
  <w:style w:type="paragraph" w:styleId="Zarkazkladnhotextu">
    <w:name w:val="Body Text Indent"/>
    <w:basedOn w:val="Normlny"/>
    <w:link w:val="ZarkazkladnhotextuChar"/>
    <w:uiPriority w:val="99"/>
    <w:rsid w:val="001B7551"/>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sid w:val="001B7551"/>
    <w:rPr>
      <w:rFonts w:ascii="Times New Roman" w:hAnsi="Times New Roman" w:cs="Times New Roman"/>
      <w:sz w:val="20"/>
      <w:szCs w:val="20"/>
      <w:lang w:val="x-none" w:eastAsia="sk-SK"/>
    </w:rPr>
  </w:style>
  <w:style w:type="paragraph" w:customStyle="1" w:styleId="Normlny0">
    <w:name w:val="_Normálny"/>
    <w:basedOn w:val="Normlny"/>
    <w:rsid w:val="001B7551"/>
    <w:rPr>
      <w:sz w:val="20"/>
      <w:szCs w:val="20"/>
    </w:rPr>
  </w:style>
  <w:style w:type="paragraph" w:customStyle="1" w:styleId="CarCharCharCharCharChar1">
    <w:name w:val="Car Char Char Char Char Char1"/>
    <w:basedOn w:val="Normlny"/>
    <w:rsid w:val="001B7551"/>
    <w:pPr>
      <w:spacing w:after="160" w:line="240" w:lineRule="exact"/>
    </w:pPr>
    <w:rPr>
      <w:rFonts w:ascii="Tahoma" w:hAnsi="Tahoma" w:cs="Tahoma"/>
      <w:sz w:val="20"/>
      <w:szCs w:val="20"/>
      <w:lang w:val="en-US"/>
    </w:rPr>
  </w:style>
  <w:style w:type="paragraph" w:customStyle="1" w:styleId="Normlnywebov8">
    <w:name w:val="Normálny (webový)8"/>
    <w:basedOn w:val="Normlny"/>
    <w:rsid w:val="001B7551"/>
    <w:pPr>
      <w:spacing w:before="90" w:after="90"/>
      <w:ind w:left="270" w:right="270"/>
    </w:pPr>
    <w:rPr>
      <w:sz w:val="22"/>
      <w:szCs w:val="22"/>
    </w:rPr>
  </w:style>
  <w:style w:type="paragraph" w:customStyle="1" w:styleId="Default">
    <w:name w:val="Default"/>
    <w:rsid w:val="001B7551"/>
    <w:pPr>
      <w:autoSpaceDE w:val="0"/>
      <w:autoSpaceDN w:val="0"/>
      <w:adjustRightInd w:val="0"/>
      <w:spacing w:after="0" w:line="240" w:lineRule="auto"/>
    </w:pPr>
    <w:rPr>
      <w:rFonts w:ascii="Times New Roman" w:hAnsi="Times New Roman" w:cs="Times New Roman"/>
      <w:color w:val="000000"/>
      <w:sz w:val="24"/>
      <w:szCs w:val="24"/>
      <w:lang w:eastAsia="sk-SK"/>
    </w:rPr>
  </w:style>
  <w:style w:type="paragraph" w:styleId="Odsekzoznamu">
    <w:name w:val="List Paragraph"/>
    <w:basedOn w:val="Normlny"/>
    <w:uiPriority w:val="34"/>
    <w:qFormat/>
    <w:rsid w:val="001B7551"/>
    <w:pPr>
      <w:widowControl/>
      <w:adjustRightInd/>
      <w:spacing w:after="160" w:line="259" w:lineRule="auto"/>
      <w:ind w:left="720"/>
      <w:contextualSpacing/>
    </w:pPr>
    <w:rPr>
      <w:rFonts w:ascii="Calibri" w:hAnsi="Calibri"/>
      <w:sz w:val="22"/>
      <w:szCs w:val="22"/>
      <w:lang w:eastAsia="en-US"/>
    </w:rPr>
  </w:style>
  <w:style w:type="character" w:styleId="Odkaznakomentr">
    <w:name w:val="annotation reference"/>
    <w:basedOn w:val="Predvolenpsmoodseku"/>
    <w:uiPriority w:val="99"/>
    <w:unhideWhenUsed/>
    <w:rsid w:val="001B7551"/>
    <w:rPr>
      <w:rFonts w:cs="Times New Roman"/>
      <w:sz w:val="16"/>
      <w:szCs w:val="16"/>
    </w:rPr>
  </w:style>
  <w:style w:type="paragraph" w:styleId="Textkomentra">
    <w:name w:val="annotation text"/>
    <w:basedOn w:val="Normlny"/>
    <w:link w:val="TextkomentraChar"/>
    <w:uiPriority w:val="99"/>
    <w:unhideWhenUsed/>
    <w:rsid w:val="001B7551"/>
    <w:pPr>
      <w:widowControl/>
      <w:adjustRightInd/>
      <w:spacing w:after="160"/>
    </w:pPr>
    <w:rPr>
      <w:rFonts w:asciiTheme="minorHAnsi" w:hAnsiTheme="minorHAnsi"/>
      <w:sz w:val="20"/>
      <w:szCs w:val="20"/>
      <w:lang w:eastAsia="en-US"/>
    </w:rPr>
  </w:style>
  <w:style w:type="character" w:customStyle="1" w:styleId="TextkomentraChar">
    <w:name w:val="Text komentára Char"/>
    <w:basedOn w:val="Predvolenpsmoodseku"/>
    <w:link w:val="Textkomentra"/>
    <w:uiPriority w:val="99"/>
    <w:locked/>
    <w:rsid w:val="001B7551"/>
    <w:rPr>
      <w:rFonts w:cs="Times New Roman"/>
      <w:sz w:val="20"/>
      <w:szCs w:val="20"/>
    </w:rPr>
  </w:style>
  <w:style w:type="paragraph" w:styleId="Textbubliny">
    <w:name w:val="Balloon Text"/>
    <w:basedOn w:val="Normlny"/>
    <w:link w:val="TextbublinyChar"/>
    <w:uiPriority w:val="99"/>
    <w:semiHidden/>
    <w:unhideWhenUsed/>
    <w:rsid w:val="001B755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1B7551"/>
    <w:rPr>
      <w:rFonts w:ascii="Tahoma" w:hAnsi="Tahoma" w:cs="Tahoma"/>
      <w:sz w:val="16"/>
      <w:szCs w:val="16"/>
      <w:lang w:val="x-none" w:eastAsia="sk-SK"/>
    </w:rPr>
  </w:style>
  <w:style w:type="character" w:styleId="Hypertextovprepojenie">
    <w:name w:val="Hyperlink"/>
    <w:basedOn w:val="Predvolenpsmoodseku"/>
    <w:uiPriority w:val="99"/>
    <w:semiHidden/>
    <w:unhideWhenUsed/>
    <w:rsid w:val="001B7551"/>
    <w:rPr>
      <w:rFonts w:cs="Times New Roman"/>
      <w:color w:val="05507A"/>
      <w:u w:val="none"/>
      <w:effect w:val="none"/>
    </w:rPr>
  </w:style>
  <w:style w:type="character" w:styleId="PremennHTML">
    <w:name w:val="HTML Variable"/>
    <w:basedOn w:val="Predvolenpsmoodseku"/>
    <w:uiPriority w:val="99"/>
    <w:semiHidden/>
    <w:unhideWhenUsed/>
    <w:rsid w:val="001B7551"/>
    <w:rPr>
      <w:rFonts w:cs="Times New Roman"/>
      <w:b/>
      <w:bCs/>
    </w:rPr>
  </w:style>
  <w:style w:type="paragraph" w:styleId="Normlnywebov">
    <w:name w:val="Normal (Web)"/>
    <w:basedOn w:val="Normlny"/>
    <w:uiPriority w:val="99"/>
    <w:semiHidden/>
    <w:unhideWhenUsed/>
    <w:rsid w:val="001B7551"/>
    <w:pPr>
      <w:widowControl/>
      <w:adjustRightInd/>
      <w:spacing w:before="144" w:after="144"/>
    </w:pPr>
  </w:style>
  <w:style w:type="paragraph" w:styleId="Bezriadkovania">
    <w:name w:val="No Spacing"/>
    <w:uiPriority w:val="1"/>
    <w:qFormat/>
    <w:rsid w:val="001B7551"/>
    <w:pPr>
      <w:widowControl w:val="0"/>
      <w:adjustRightInd w:val="0"/>
      <w:spacing w:after="0" w:line="240" w:lineRule="auto"/>
    </w:pPr>
    <w:rPr>
      <w:rFonts w:ascii="Times New Roman" w:hAnsi="Times New Roman" w:cs="Times New Roman"/>
      <w:sz w:val="24"/>
      <w:szCs w:val="24"/>
      <w:lang w:eastAsia="sk-SK"/>
    </w:rPr>
  </w:style>
  <w:style w:type="paragraph" w:customStyle="1" w:styleId="CM1">
    <w:name w:val="CM1"/>
    <w:basedOn w:val="Default"/>
    <w:next w:val="Default"/>
    <w:uiPriority w:val="99"/>
    <w:rsid w:val="009950D2"/>
    <w:rPr>
      <w:rFonts w:ascii="EU Albertina" w:hAnsi="EU Albertina"/>
      <w:color w:val="auto"/>
      <w:lang w:eastAsia="en-US"/>
    </w:rPr>
  </w:style>
  <w:style w:type="paragraph" w:customStyle="1" w:styleId="CM3">
    <w:name w:val="CM3"/>
    <w:basedOn w:val="Default"/>
    <w:next w:val="Default"/>
    <w:uiPriority w:val="99"/>
    <w:rsid w:val="009950D2"/>
    <w:rPr>
      <w:rFonts w:ascii="EU Albertina" w:hAnsi="EU Albertina"/>
      <w:color w:val="auto"/>
      <w:lang w:eastAsia="en-US"/>
    </w:rPr>
  </w:style>
  <w:style w:type="paragraph" w:customStyle="1" w:styleId="CM4">
    <w:name w:val="CM4"/>
    <w:basedOn w:val="Default"/>
    <w:next w:val="Default"/>
    <w:uiPriority w:val="99"/>
    <w:rsid w:val="009950D2"/>
    <w:rPr>
      <w:rFonts w:ascii="EU Albertina" w:hAnsi="EU Albertina"/>
      <w:color w:val="auto"/>
      <w:lang w:eastAsia="en-US"/>
    </w:rPr>
  </w:style>
  <w:style w:type="character" w:customStyle="1" w:styleId="fontstyle01">
    <w:name w:val="fontstyle01"/>
    <w:basedOn w:val="Predvolenpsmoodseku"/>
    <w:rsid w:val="003110C9"/>
    <w:rPr>
      <w:rFonts w:ascii="TeXGyreBonumRegular" w:hAnsi="TeXGyreBonumRegular" w:cs="Times New Roman"/>
      <w:color w:val="000000"/>
      <w:sz w:val="20"/>
      <w:szCs w:val="20"/>
    </w:rPr>
  </w:style>
  <w:style w:type="character" w:styleId="Siln">
    <w:name w:val="Strong"/>
    <w:basedOn w:val="Predvolenpsmoodseku"/>
    <w:uiPriority w:val="22"/>
    <w:qFormat/>
    <w:rsid w:val="00A77DCB"/>
    <w:rPr>
      <w:rFonts w:cs="Times New Roman"/>
      <w:b/>
      <w:bCs/>
    </w:rPr>
  </w:style>
  <w:style w:type="paragraph" w:styleId="Predmetkomentra">
    <w:name w:val="annotation subject"/>
    <w:basedOn w:val="Textkomentra"/>
    <w:next w:val="Textkomentra"/>
    <w:link w:val="PredmetkomentraChar"/>
    <w:uiPriority w:val="99"/>
    <w:unhideWhenUsed/>
    <w:rsid w:val="003F6756"/>
    <w:pPr>
      <w:spacing w:after="0"/>
    </w:pPr>
    <w:rPr>
      <w:rFonts w:ascii="Calibri" w:hAnsi="Calibri" w:cs="Calibri"/>
      <w:b/>
      <w:bCs/>
      <w:lang w:eastAsia="sk-SK"/>
    </w:rPr>
  </w:style>
  <w:style w:type="character" w:customStyle="1" w:styleId="PredmetkomentraChar">
    <w:name w:val="Predmet komentára Char"/>
    <w:basedOn w:val="TextkomentraChar"/>
    <w:link w:val="Predmetkomentra"/>
    <w:uiPriority w:val="99"/>
    <w:locked/>
    <w:rsid w:val="003F6756"/>
    <w:rPr>
      <w:rFonts w:ascii="Calibri" w:hAnsi="Calibri" w:cs="Calibri"/>
      <w:b/>
      <w:bCs/>
      <w:sz w:val="20"/>
      <w:szCs w:val="20"/>
      <w:lang w:val="x-none" w:eastAsia="sk-SK"/>
    </w:rPr>
  </w:style>
  <w:style w:type="paragraph" w:styleId="Pta">
    <w:name w:val="footer"/>
    <w:basedOn w:val="Normlny"/>
    <w:link w:val="PtaChar"/>
    <w:uiPriority w:val="99"/>
    <w:rsid w:val="00F8230C"/>
    <w:pPr>
      <w:tabs>
        <w:tab w:val="center" w:pos="4536"/>
        <w:tab w:val="right" w:pos="9072"/>
      </w:tabs>
    </w:pPr>
  </w:style>
  <w:style w:type="character" w:customStyle="1" w:styleId="PtaChar">
    <w:name w:val="Päta Char"/>
    <w:basedOn w:val="Predvolenpsmoodseku"/>
    <w:link w:val="Pta"/>
    <w:uiPriority w:val="99"/>
    <w:locked/>
    <w:rsid w:val="00F8230C"/>
    <w:rPr>
      <w:rFonts w:ascii="Times New Roman" w:hAnsi="Times New Roman" w:cs="Times New Roman"/>
      <w:sz w:val="24"/>
      <w:szCs w:val="24"/>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96847">
      <w:marLeft w:val="0"/>
      <w:marRight w:val="0"/>
      <w:marTop w:val="0"/>
      <w:marBottom w:val="0"/>
      <w:divBdr>
        <w:top w:val="none" w:sz="0" w:space="0" w:color="auto"/>
        <w:left w:val="none" w:sz="0" w:space="0" w:color="auto"/>
        <w:bottom w:val="none" w:sz="0" w:space="0" w:color="auto"/>
        <w:right w:val="none" w:sz="0" w:space="0" w:color="auto"/>
      </w:divBdr>
    </w:div>
    <w:div w:id="1410496848">
      <w:marLeft w:val="0"/>
      <w:marRight w:val="0"/>
      <w:marTop w:val="0"/>
      <w:marBottom w:val="0"/>
      <w:divBdr>
        <w:top w:val="none" w:sz="0" w:space="0" w:color="auto"/>
        <w:left w:val="none" w:sz="0" w:space="0" w:color="auto"/>
        <w:bottom w:val="none" w:sz="0" w:space="0" w:color="auto"/>
        <w:right w:val="none" w:sz="0" w:space="0" w:color="auto"/>
      </w:divBdr>
      <w:divsChild>
        <w:div w:id="1410496919">
          <w:marLeft w:val="0"/>
          <w:marRight w:val="0"/>
          <w:marTop w:val="0"/>
          <w:marBottom w:val="0"/>
          <w:divBdr>
            <w:top w:val="none" w:sz="0" w:space="0" w:color="auto"/>
            <w:left w:val="none" w:sz="0" w:space="0" w:color="auto"/>
            <w:bottom w:val="none" w:sz="0" w:space="0" w:color="auto"/>
            <w:right w:val="none" w:sz="0" w:space="0" w:color="auto"/>
          </w:divBdr>
        </w:div>
        <w:div w:id="1410496922">
          <w:marLeft w:val="0"/>
          <w:marRight w:val="0"/>
          <w:marTop w:val="0"/>
          <w:marBottom w:val="0"/>
          <w:divBdr>
            <w:top w:val="none" w:sz="0" w:space="0" w:color="auto"/>
            <w:left w:val="none" w:sz="0" w:space="0" w:color="auto"/>
            <w:bottom w:val="none" w:sz="0" w:space="0" w:color="auto"/>
            <w:right w:val="none" w:sz="0" w:space="0" w:color="auto"/>
          </w:divBdr>
        </w:div>
      </w:divsChild>
    </w:div>
    <w:div w:id="1410496853">
      <w:marLeft w:val="0"/>
      <w:marRight w:val="0"/>
      <w:marTop w:val="0"/>
      <w:marBottom w:val="0"/>
      <w:divBdr>
        <w:top w:val="none" w:sz="0" w:space="0" w:color="auto"/>
        <w:left w:val="none" w:sz="0" w:space="0" w:color="auto"/>
        <w:bottom w:val="none" w:sz="0" w:space="0" w:color="auto"/>
        <w:right w:val="none" w:sz="0" w:space="0" w:color="auto"/>
      </w:divBdr>
      <w:divsChild>
        <w:div w:id="1410496851">
          <w:marLeft w:val="0"/>
          <w:marRight w:val="0"/>
          <w:marTop w:val="440"/>
          <w:marBottom w:val="740"/>
          <w:divBdr>
            <w:top w:val="none" w:sz="0" w:space="0" w:color="auto"/>
            <w:left w:val="none" w:sz="0" w:space="0" w:color="auto"/>
            <w:bottom w:val="none" w:sz="0" w:space="0" w:color="auto"/>
            <w:right w:val="none" w:sz="0" w:space="0" w:color="auto"/>
          </w:divBdr>
          <w:divsChild>
            <w:div w:id="1410496850">
              <w:marLeft w:val="0"/>
              <w:marRight w:val="0"/>
              <w:marTop w:val="400"/>
              <w:marBottom w:val="0"/>
              <w:divBdr>
                <w:top w:val="none" w:sz="0" w:space="0" w:color="auto"/>
                <w:left w:val="none" w:sz="0" w:space="0" w:color="auto"/>
                <w:bottom w:val="none" w:sz="0" w:space="0" w:color="auto"/>
                <w:right w:val="none" w:sz="0" w:space="0" w:color="auto"/>
              </w:divBdr>
            </w:div>
          </w:divsChild>
        </w:div>
        <w:div w:id="1410496852">
          <w:marLeft w:val="0"/>
          <w:marRight w:val="0"/>
          <w:marTop w:val="240"/>
          <w:marBottom w:val="140"/>
          <w:divBdr>
            <w:top w:val="none" w:sz="0" w:space="0" w:color="auto"/>
            <w:left w:val="none" w:sz="0" w:space="0" w:color="auto"/>
            <w:bottom w:val="none" w:sz="0" w:space="0" w:color="auto"/>
            <w:right w:val="none" w:sz="0" w:space="0" w:color="auto"/>
          </w:divBdr>
        </w:div>
      </w:divsChild>
    </w:div>
    <w:div w:id="1410496855">
      <w:marLeft w:val="0"/>
      <w:marRight w:val="0"/>
      <w:marTop w:val="0"/>
      <w:marBottom w:val="0"/>
      <w:divBdr>
        <w:top w:val="none" w:sz="0" w:space="0" w:color="auto"/>
        <w:left w:val="none" w:sz="0" w:space="0" w:color="auto"/>
        <w:bottom w:val="none" w:sz="0" w:space="0" w:color="auto"/>
        <w:right w:val="none" w:sz="0" w:space="0" w:color="auto"/>
      </w:divBdr>
      <w:divsChild>
        <w:div w:id="1410496858">
          <w:marLeft w:val="0"/>
          <w:marRight w:val="0"/>
          <w:marTop w:val="0"/>
          <w:marBottom w:val="0"/>
          <w:divBdr>
            <w:top w:val="none" w:sz="0" w:space="0" w:color="auto"/>
            <w:left w:val="none" w:sz="0" w:space="0" w:color="auto"/>
            <w:bottom w:val="none" w:sz="0" w:space="0" w:color="auto"/>
            <w:right w:val="none" w:sz="0" w:space="0" w:color="auto"/>
          </w:divBdr>
          <w:divsChild>
            <w:div w:id="1410496856">
              <w:marLeft w:val="0"/>
              <w:marRight w:val="0"/>
              <w:marTop w:val="0"/>
              <w:marBottom w:val="0"/>
              <w:divBdr>
                <w:top w:val="none" w:sz="0" w:space="0" w:color="auto"/>
                <w:left w:val="none" w:sz="0" w:space="0" w:color="auto"/>
                <w:bottom w:val="none" w:sz="0" w:space="0" w:color="auto"/>
                <w:right w:val="none" w:sz="0" w:space="0" w:color="auto"/>
              </w:divBdr>
            </w:div>
            <w:div w:id="1410496857">
              <w:marLeft w:val="0"/>
              <w:marRight w:val="0"/>
              <w:marTop w:val="0"/>
              <w:marBottom w:val="0"/>
              <w:divBdr>
                <w:top w:val="none" w:sz="0" w:space="0" w:color="auto"/>
                <w:left w:val="none" w:sz="0" w:space="0" w:color="auto"/>
                <w:bottom w:val="none" w:sz="0" w:space="0" w:color="auto"/>
                <w:right w:val="none" w:sz="0" w:space="0" w:color="auto"/>
              </w:divBdr>
            </w:div>
            <w:div w:id="1410496912">
              <w:marLeft w:val="0"/>
              <w:marRight w:val="0"/>
              <w:marTop w:val="0"/>
              <w:marBottom w:val="0"/>
              <w:divBdr>
                <w:top w:val="none" w:sz="0" w:space="0" w:color="auto"/>
                <w:left w:val="none" w:sz="0" w:space="0" w:color="auto"/>
                <w:bottom w:val="none" w:sz="0" w:space="0" w:color="auto"/>
                <w:right w:val="none" w:sz="0" w:space="0" w:color="auto"/>
              </w:divBdr>
            </w:div>
            <w:div w:id="14104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861">
      <w:marLeft w:val="0"/>
      <w:marRight w:val="0"/>
      <w:marTop w:val="0"/>
      <w:marBottom w:val="0"/>
      <w:divBdr>
        <w:top w:val="none" w:sz="0" w:space="0" w:color="auto"/>
        <w:left w:val="none" w:sz="0" w:space="0" w:color="auto"/>
        <w:bottom w:val="none" w:sz="0" w:space="0" w:color="auto"/>
        <w:right w:val="none" w:sz="0" w:space="0" w:color="auto"/>
      </w:divBdr>
      <w:divsChild>
        <w:div w:id="1410496859">
          <w:marLeft w:val="0"/>
          <w:marRight w:val="0"/>
          <w:marTop w:val="0"/>
          <w:marBottom w:val="0"/>
          <w:divBdr>
            <w:top w:val="none" w:sz="0" w:space="0" w:color="auto"/>
            <w:left w:val="none" w:sz="0" w:space="0" w:color="auto"/>
            <w:bottom w:val="none" w:sz="0" w:space="0" w:color="auto"/>
            <w:right w:val="none" w:sz="0" w:space="0" w:color="auto"/>
          </w:divBdr>
        </w:div>
        <w:div w:id="1410496906">
          <w:marLeft w:val="0"/>
          <w:marRight w:val="0"/>
          <w:marTop w:val="0"/>
          <w:marBottom w:val="0"/>
          <w:divBdr>
            <w:top w:val="none" w:sz="0" w:space="0" w:color="auto"/>
            <w:left w:val="none" w:sz="0" w:space="0" w:color="auto"/>
            <w:bottom w:val="none" w:sz="0" w:space="0" w:color="auto"/>
            <w:right w:val="none" w:sz="0" w:space="0" w:color="auto"/>
          </w:divBdr>
        </w:div>
        <w:div w:id="1410496907">
          <w:marLeft w:val="0"/>
          <w:marRight w:val="0"/>
          <w:marTop w:val="0"/>
          <w:marBottom w:val="0"/>
          <w:divBdr>
            <w:top w:val="none" w:sz="0" w:space="0" w:color="auto"/>
            <w:left w:val="none" w:sz="0" w:space="0" w:color="auto"/>
            <w:bottom w:val="none" w:sz="0" w:space="0" w:color="auto"/>
            <w:right w:val="none" w:sz="0" w:space="0" w:color="auto"/>
          </w:divBdr>
        </w:div>
        <w:div w:id="1410496909">
          <w:marLeft w:val="0"/>
          <w:marRight w:val="0"/>
          <w:marTop w:val="0"/>
          <w:marBottom w:val="0"/>
          <w:divBdr>
            <w:top w:val="none" w:sz="0" w:space="0" w:color="auto"/>
            <w:left w:val="none" w:sz="0" w:space="0" w:color="auto"/>
            <w:bottom w:val="none" w:sz="0" w:space="0" w:color="auto"/>
            <w:right w:val="none" w:sz="0" w:space="0" w:color="auto"/>
          </w:divBdr>
        </w:div>
      </w:divsChild>
    </w:div>
    <w:div w:id="1410496869">
      <w:marLeft w:val="0"/>
      <w:marRight w:val="0"/>
      <w:marTop w:val="0"/>
      <w:marBottom w:val="0"/>
      <w:divBdr>
        <w:top w:val="none" w:sz="0" w:space="0" w:color="auto"/>
        <w:left w:val="none" w:sz="0" w:space="0" w:color="auto"/>
        <w:bottom w:val="none" w:sz="0" w:space="0" w:color="auto"/>
        <w:right w:val="none" w:sz="0" w:space="0" w:color="auto"/>
      </w:divBdr>
    </w:div>
    <w:div w:id="1410496870">
      <w:marLeft w:val="0"/>
      <w:marRight w:val="0"/>
      <w:marTop w:val="0"/>
      <w:marBottom w:val="0"/>
      <w:divBdr>
        <w:top w:val="none" w:sz="0" w:space="0" w:color="auto"/>
        <w:left w:val="none" w:sz="0" w:space="0" w:color="auto"/>
        <w:bottom w:val="none" w:sz="0" w:space="0" w:color="auto"/>
        <w:right w:val="none" w:sz="0" w:space="0" w:color="auto"/>
      </w:divBdr>
      <w:divsChild>
        <w:div w:id="1410496863">
          <w:marLeft w:val="0"/>
          <w:marRight w:val="0"/>
          <w:marTop w:val="0"/>
          <w:marBottom w:val="0"/>
          <w:divBdr>
            <w:top w:val="none" w:sz="0" w:space="0" w:color="auto"/>
            <w:left w:val="none" w:sz="0" w:space="0" w:color="auto"/>
            <w:bottom w:val="none" w:sz="0" w:space="0" w:color="auto"/>
            <w:right w:val="none" w:sz="0" w:space="0" w:color="auto"/>
          </w:divBdr>
        </w:div>
        <w:div w:id="1410496864">
          <w:marLeft w:val="0"/>
          <w:marRight w:val="0"/>
          <w:marTop w:val="0"/>
          <w:marBottom w:val="0"/>
          <w:divBdr>
            <w:top w:val="none" w:sz="0" w:space="0" w:color="auto"/>
            <w:left w:val="none" w:sz="0" w:space="0" w:color="auto"/>
            <w:bottom w:val="none" w:sz="0" w:space="0" w:color="auto"/>
            <w:right w:val="none" w:sz="0" w:space="0" w:color="auto"/>
          </w:divBdr>
        </w:div>
        <w:div w:id="1410496865">
          <w:marLeft w:val="0"/>
          <w:marRight w:val="0"/>
          <w:marTop w:val="0"/>
          <w:marBottom w:val="0"/>
          <w:divBdr>
            <w:top w:val="none" w:sz="0" w:space="0" w:color="auto"/>
            <w:left w:val="none" w:sz="0" w:space="0" w:color="auto"/>
            <w:bottom w:val="none" w:sz="0" w:space="0" w:color="auto"/>
            <w:right w:val="none" w:sz="0" w:space="0" w:color="auto"/>
          </w:divBdr>
        </w:div>
        <w:div w:id="1410496866">
          <w:marLeft w:val="0"/>
          <w:marRight w:val="0"/>
          <w:marTop w:val="0"/>
          <w:marBottom w:val="0"/>
          <w:divBdr>
            <w:top w:val="none" w:sz="0" w:space="0" w:color="auto"/>
            <w:left w:val="none" w:sz="0" w:space="0" w:color="auto"/>
            <w:bottom w:val="none" w:sz="0" w:space="0" w:color="auto"/>
            <w:right w:val="none" w:sz="0" w:space="0" w:color="auto"/>
          </w:divBdr>
        </w:div>
        <w:div w:id="1410496867">
          <w:marLeft w:val="0"/>
          <w:marRight w:val="0"/>
          <w:marTop w:val="0"/>
          <w:marBottom w:val="0"/>
          <w:divBdr>
            <w:top w:val="none" w:sz="0" w:space="0" w:color="auto"/>
            <w:left w:val="none" w:sz="0" w:space="0" w:color="auto"/>
            <w:bottom w:val="none" w:sz="0" w:space="0" w:color="auto"/>
            <w:right w:val="none" w:sz="0" w:space="0" w:color="auto"/>
          </w:divBdr>
        </w:div>
        <w:div w:id="1410496871">
          <w:marLeft w:val="0"/>
          <w:marRight w:val="0"/>
          <w:marTop w:val="0"/>
          <w:marBottom w:val="0"/>
          <w:divBdr>
            <w:top w:val="none" w:sz="0" w:space="0" w:color="auto"/>
            <w:left w:val="none" w:sz="0" w:space="0" w:color="auto"/>
            <w:bottom w:val="none" w:sz="0" w:space="0" w:color="auto"/>
            <w:right w:val="none" w:sz="0" w:space="0" w:color="auto"/>
          </w:divBdr>
        </w:div>
        <w:div w:id="1410496872">
          <w:marLeft w:val="0"/>
          <w:marRight w:val="0"/>
          <w:marTop w:val="0"/>
          <w:marBottom w:val="0"/>
          <w:divBdr>
            <w:top w:val="none" w:sz="0" w:space="0" w:color="auto"/>
            <w:left w:val="none" w:sz="0" w:space="0" w:color="auto"/>
            <w:bottom w:val="none" w:sz="0" w:space="0" w:color="auto"/>
            <w:right w:val="none" w:sz="0" w:space="0" w:color="auto"/>
          </w:divBdr>
        </w:div>
        <w:div w:id="1410496873">
          <w:marLeft w:val="0"/>
          <w:marRight w:val="0"/>
          <w:marTop w:val="0"/>
          <w:marBottom w:val="0"/>
          <w:divBdr>
            <w:top w:val="none" w:sz="0" w:space="0" w:color="auto"/>
            <w:left w:val="none" w:sz="0" w:space="0" w:color="auto"/>
            <w:bottom w:val="none" w:sz="0" w:space="0" w:color="auto"/>
            <w:right w:val="none" w:sz="0" w:space="0" w:color="auto"/>
          </w:divBdr>
        </w:div>
        <w:div w:id="1410496874">
          <w:marLeft w:val="0"/>
          <w:marRight w:val="0"/>
          <w:marTop w:val="0"/>
          <w:marBottom w:val="0"/>
          <w:divBdr>
            <w:top w:val="none" w:sz="0" w:space="0" w:color="auto"/>
            <w:left w:val="none" w:sz="0" w:space="0" w:color="auto"/>
            <w:bottom w:val="none" w:sz="0" w:space="0" w:color="auto"/>
            <w:right w:val="none" w:sz="0" w:space="0" w:color="auto"/>
          </w:divBdr>
        </w:div>
        <w:div w:id="1410496875">
          <w:marLeft w:val="0"/>
          <w:marRight w:val="0"/>
          <w:marTop w:val="0"/>
          <w:marBottom w:val="0"/>
          <w:divBdr>
            <w:top w:val="none" w:sz="0" w:space="0" w:color="auto"/>
            <w:left w:val="none" w:sz="0" w:space="0" w:color="auto"/>
            <w:bottom w:val="none" w:sz="0" w:space="0" w:color="auto"/>
            <w:right w:val="none" w:sz="0" w:space="0" w:color="auto"/>
          </w:divBdr>
        </w:div>
        <w:div w:id="1410496876">
          <w:marLeft w:val="0"/>
          <w:marRight w:val="0"/>
          <w:marTop w:val="0"/>
          <w:marBottom w:val="0"/>
          <w:divBdr>
            <w:top w:val="none" w:sz="0" w:space="0" w:color="auto"/>
            <w:left w:val="none" w:sz="0" w:space="0" w:color="auto"/>
            <w:bottom w:val="none" w:sz="0" w:space="0" w:color="auto"/>
            <w:right w:val="none" w:sz="0" w:space="0" w:color="auto"/>
          </w:divBdr>
        </w:div>
        <w:div w:id="1410496877">
          <w:marLeft w:val="0"/>
          <w:marRight w:val="0"/>
          <w:marTop w:val="0"/>
          <w:marBottom w:val="0"/>
          <w:divBdr>
            <w:top w:val="none" w:sz="0" w:space="0" w:color="auto"/>
            <w:left w:val="none" w:sz="0" w:space="0" w:color="auto"/>
            <w:bottom w:val="none" w:sz="0" w:space="0" w:color="auto"/>
            <w:right w:val="none" w:sz="0" w:space="0" w:color="auto"/>
          </w:divBdr>
        </w:div>
        <w:div w:id="1410496878">
          <w:marLeft w:val="0"/>
          <w:marRight w:val="0"/>
          <w:marTop w:val="0"/>
          <w:marBottom w:val="0"/>
          <w:divBdr>
            <w:top w:val="none" w:sz="0" w:space="0" w:color="auto"/>
            <w:left w:val="none" w:sz="0" w:space="0" w:color="auto"/>
            <w:bottom w:val="none" w:sz="0" w:space="0" w:color="auto"/>
            <w:right w:val="none" w:sz="0" w:space="0" w:color="auto"/>
          </w:divBdr>
          <w:divsChild>
            <w:div w:id="1410496868">
              <w:marLeft w:val="0"/>
              <w:marRight w:val="0"/>
              <w:marTop w:val="0"/>
              <w:marBottom w:val="0"/>
              <w:divBdr>
                <w:top w:val="none" w:sz="0" w:space="0" w:color="auto"/>
                <w:left w:val="none" w:sz="0" w:space="0" w:color="auto"/>
                <w:bottom w:val="none" w:sz="0" w:space="0" w:color="auto"/>
                <w:right w:val="none" w:sz="0" w:space="0" w:color="auto"/>
              </w:divBdr>
            </w:div>
            <w:div w:id="1410496880">
              <w:marLeft w:val="0"/>
              <w:marRight w:val="0"/>
              <w:marTop w:val="0"/>
              <w:marBottom w:val="0"/>
              <w:divBdr>
                <w:top w:val="none" w:sz="0" w:space="0" w:color="auto"/>
                <w:left w:val="none" w:sz="0" w:space="0" w:color="auto"/>
                <w:bottom w:val="none" w:sz="0" w:space="0" w:color="auto"/>
                <w:right w:val="none" w:sz="0" w:space="0" w:color="auto"/>
              </w:divBdr>
            </w:div>
            <w:div w:id="1410496888">
              <w:marLeft w:val="0"/>
              <w:marRight w:val="0"/>
              <w:marTop w:val="0"/>
              <w:marBottom w:val="0"/>
              <w:divBdr>
                <w:top w:val="none" w:sz="0" w:space="0" w:color="auto"/>
                <w:left w:val="none" w:sz="0" w:space="0" w:color="auto"/>
                <w:bottom w:val="none" w:sz="0" w:space="0" w:color="auto"/>
                <w:right w:val="none" w:sz="0" w:space="0" w:color="auto"/>
              </w:divBdr>
            </w:div>
            <w:div w:id="1410496901">
              <w:marLeft w:val="0"/>
              <w:marRight w:val="0"/>
              <w:marTop w:val="0"/>
              <w:marBottom w:val="0"/>
              <w:divBdr>
                <w:top w:val="none" w:sz="0" w:space="0" w:color="auto"/>
                <w:left w:val="none" w:sz="0" w:space="0" w:color="auto"/>
                <w:bottom w:val="none" w:sz="0" w:space="0" w:color="auto"/>
                <w:right w:val="none" w:sz="0" w:space="0" w:color="auto"/>
              </w:divBdr>
            </w:div>
          </w:divsChild>
        </w:div>
        <w:div w:id="1410496879">
          <w:marLeft w:val="0"/>
          <w:marRight w:val="0"/>
          <w:marTop w:val="0"/>
          <w:marBottom w:val="0"/>
          <w:divBdr>
            <w:top w:val="none" w:sz="0" w:space="0" w:color="auto"/>
            <w:left w:val="none" w:sz="0" w:space="0" w:color="auto"/>
            <w:bottom w:val="none" w:sz="0" w:space="0" w:color="auto"/>
            <w:right w:val="none" w:sz="0" w:space="0" w:color="auto"/>
          </w:divBdr>
        </w:div>
        <w:div w:id="1410496881">
          <w:marLeft w:val="0"/>
          <w:marRight w:val="0"/>
          <w:marTop w:val="0"/>
          <w:marBottom w:val="0"/>
          <w:divBdr>
            <w:top w:val="none" w:sz="0" w:space="0" w:color="auto"/>
            <w:left w:val="none" w:sz="0" w:space="0" w:color="auto"/>
            <w:bottom w:val="none" w:sz="0" w:space="0" w:color="auto"/>
            <w:right w:val="none" w:sz="0" w:space="0" w:color="auto"/>
          </w:divBdr>
        </w:div>
        <w:div w:id="1410496882">
          <w:marLeft w:val="0"/>
          <w:marRight w:val="0"/>
          <w:marTop w:val="0"/>
          <w:marBottom w:val="0"/>
          <w:divBdr>
            <w:top w:val="none" w:sz="0" w:space="0" w:color="auto"/>
            <w:left w:val="none" w:sz="0" w:space="0" w:color="auto"/>
            <w:bottom w:val="none" w:sz="0" w:space="0" w:color="auto"/>
            <w:right w:val="none" w:sz="0" w:space="0" w:color="auto"/>
          </w:divBdr>
        </w:div>
        <w:div w:id="1410496883">
          <w:marLeft w:val="0"/>
          <w:marRight w:val="0"/>
          <w:marTop w:val="0"/>
          <w:marBottom w:val="0"/>
          <w:divBdr>
            <w:top w:val="none" w:sz="0" w:space="0" w:color="auto"/>
            <w:left w:val="none" w:sz="0" w:space="0" w:color="auto"/>
            <w:bottom w:val="none" w:sz="0" w:space="0" w:color="auto"/>
            <w:right w:val="none" w:sz="0" w:space="0" w:color="auto"/>
          </w:divBdr>
        </w:div>
        <w:div w:id="1410496885">
          <w:marLeft w:val="0"/>
          <w:marRight w:val="0"/>
          <w:marTop w:val="0"/>
          <w:marBottom w:val="0"/>
          <w:divBdr>
            <w:top w:val="none" w:sz="0" w:space="0" w:color="auto"/>
            <w:left w:val="none" w:sz="0" w:space="0" w:color="auto"/>
            <w:bottom w:val="none" w:sz="0" w:space="0" w:color="auto"/>
            <w:right w:val="none" w:sz="0" w:space="0" w:color="auto"/>
          </w:divBdr>
        </w:div>
        <w:div w:id="1410496886">
          <w:marLeft w:val="0"/>
          <w:marRight w:val="0"/>
          <w:marTop w:val="0"/>
          <w:marBottom w:val="0"/>
          <w:divBdr>
            <w:top w:val="none" w:sz="0" w:space="0" w:color="auto"/>
            <w:left w:val="none" w:sz="0" w:space="0" w:color="auto"/>
            <w:bottom w:val="none" w:sz="0" w:space="0" w:color="auto"/>
            <w:right w:val="none" w:sz="0" w:space="0" w:color="auto"/>
          </w:divBdr>
        </w:div>
        <w:div w:id="1410496887">
          <w:marLeft w:val="0"/>
          <w:marRight w:val="0"/>
          <w:marTop w:val="0"/>
          <w:marBottom w:val="0"/>
          <w:divBdr>
            <w:top w:val="none" w:sz="0" w:space="0" w:color="auto"/>
            <w:left w:val="none" w:sz="0" w:space="0" w:color="auto"/>
            <w:bottom w:val="none" w:sz="0" w:space="0" w:color="auto"/>
            <w:right w:val="none" w:sz="0" w:space="0" w:color="auto"/>
          </w:divBdr>
        </w:div>
        <w:div w:id="1410496889">
          <w:marLeft w:val="0"/>
          <w:marRight w:val="0"/>
          <w:marTop w:val="0"/>
          <w:marBottom w:val="0"/>
          <w:divBdr>
            <w:top w:val="none" w:sz="0" w:space="0" w:color="auto"/>
            <w:left w:val="none" w:sz="0" w:space="0" w:color="auto"/>
            <w:bottom w:val="none" w:sz="0" w:space="0" w:color="auto"/>
            <w:right w:val="none" w:sz="0" w:space="0" w:color="auto"/>
          </w:divBdr>
        </w:div>
        <w:div w:id="1410496891">
          <w:marLeft w:val="0"/>
          <w:marRight w:val="0"/>
          <w:marTop w:val="0"/>
          <w:marBottom w:val="0"/>
          <w:divBdr>
            <w:top w:val="none" w:sz="0" w:space="0" w:color="auto"/>
            <w:left w:val="none" w:sz="0" w:space="0" w:color="auto"/>
            <w:bottom w:val="none" w:sz="0" w:space="0" w:color="auto"/>
            <w:right w:val="none" w:sz="0" w:space="0" w:color="auto"/>
          </w:divBdr>
        </w:div>
        <w:div w:id="1410496892">
          <w:marLeft w:val="0"/>
          <w:marRight w:val="0"/>
          <w:marTop w:val="0"/>
          <w:marBottom w:val="0"/>
          <w:divBdr>
            <w:top w:val="none" w:sz="0" w:space="0" w:color="auto"/>
            <w:left w:val="none" w:sz="0" w:space="0" w:color="auto"/>
            <w:bottom w:val="none" w:sz="0" w:space="0" w:color="auto"/>
            <w:right w:val="none" w:sz="0" w:space="0" w:color="auto"/>
          </w:divBdr>
        </w:div>
        <w:div w:id="1410496896">
          <w:marLeft w:val="0"/>
          <w:marRight w:val="0"/>
          <w:marTop w:val="0"/>
          <w:marBottom w:val="0"/>
          <w:divBdr>
            <w:top w:val="none" w:sz="0" w:space="0" w:color="auto"/>
            <w:left w:val="none" w:sz="0" w:space="0" w:color="auto"/>
            <w:bottom w:val="none" w:sz="0" w:space="0" w:color="auto"/>
            <w:right w:val="none" w:sz="0" w:space="0" w:color="auto"/>
          </w:divBdr>
        </w:div>
        <w:div w:id="1410496897">
          <w:marLeft w:val="0"/>
          <w:marRight w:val="0"/>
          <w:marTop w:val="0"/>
          <w:marBottom w:val="0"/>
          <w:divBdr>
            <w:top w:val="none" w:sz="0" w:space="0" w:color="auto"/>
            <w:left w:val="none" w:sz="0" w:space="0" w:color="auto"/>
            <w:bottom w:val="none" w:sz="0" w:space="0" w:color="auto"/>
            <w:right w:val="none" w:sz="0" w:space="0" w:color="auto"/>
          </w:divBdr>
        </w:div>
        <w:div w:id="1410496898">
          <w:marLeft w:val="0"/>
          <w:marRight w:val="0"/>
          <w:marTop w:val="0"/>
          <w:marBottom w:val="0"/>
          <w:divBdr>
            <w:top w:val="none" w:sz="0" w:space="0" w:color="auto"/>
            <w:left w:val="none" w:sz="0" w:space="0" w:color="auto"/>
            <w:bottom w:val="none" w:sz="0" w:space="0" w:color="auto"/>
            <w:right w:val="none" w:sz="0" w:space="0" w:color="auto"/>
          </w:divBdr>
        </w:div>
        <w:div w:id="1410496902">
          <w:marLeft w:val="0"/>
          <w:marRight w:val="0"/>
          <w:marTop w:val="0"/>
          <w:marBottom w:val="0"/>
          <w:divBdr>
            <w:top w:val="none" w:sz="0" w:space="0" w:color="auto"/>
            <w:left w:val="none" w:sz="0" w:space="0" w:color="auto"/>
            <w:bottom w:val="none" w:sz="0" w:space="0" w:color="auto"/>
            <w:right w:val="none" w:sz="0" w:space="0" w:color="auto"/>
          </w:divBdr>
        </w:div>
        <w:div w:id="1410496903">
          <w:marLeft w:val="0"/>
          <w:marRight w:val="0"/>
          <w:marTop w:val="0"/>
          <w:marBottom w:val="0"/>
          <w:divBdr>
            <w:top w:val="none" w:sz="0" w:space="0" w:color="auto"/>
            <w:left w:val="none" w:sz="0" w:space="0" w:color="auto"/>
            <w:bottom w:val="none" w:sz="0" w:space="0" w:color="auto"/>
            <w:right w:val="none" w:sz="0" w:space="0" w:color="auto"/>
          </w:divBdr>
        </w:div>
        <w:div w:id="1410496905">
          <w:marLeft w:val="0"/>
          <w:marRight w:val="0"/>
          <w:marTop w:val="0"/>
          <w:marBottom w:val="0"/>
          <w:divBdr>
            <w:top w:val="none" w:sz="0" w:space="0" w:color="auto"/>
            <w:left w:val="none" w:sz="0" w:space="0" w:color="auto"/>
            <w:bottom w:val="none" w:sz="0" w:space="0" w:color="auto"/>
            <w:right w:val="none" w:sz="0" w:space="0" w:color="auto"/>
          </w:divBdr>
        </w:div>
      </w:divsChild>
    </w:div>
    <w:div w:id="1410496884">
      <w:marLeft w:val="0"/>
      <w:marRight w:val="0"/>
      <w:marTop w:val="0"/>
      <w:marBottom w:val="0"/>
      <w:divBdr>
        <w:top w:val="none" w:sz="0" w:space="0" w:color="auto"/>
        <w:left w:val="none" w:sz="0" w:space="0" w:color="auto"/>
        <w:bottom w:val="none" w:sz="0" w:space="0" w:color="auto"/>
        <w:right w:val="none" w:sz="0" w:space="0" w:color="auto"/>
      </w:divBdr>
    </w:div>
    <w:div w:id="1410496890">
      <w:marLeft w:val="0"/>
      <w:marRight w:val="0"/>
      <w:marTop w:val="0"/>
      <w:marBottom w:val="0"/>
      <w:divBdr>
        <w:top w:val="none" w:sz="0" w:space="0" w:color="auto"/>
        <w:left w:val="none" w:sz="0" w:space="0" w:color="auto"/>
        <w:bottom w:val="none" w:sz="0" w:space="0" w:color="auto"/>
        <w:right w:val="none" w:sz="0" w:space="0" w:color="auto"/>
      </w:divBdr>
    </w:div>
    <w:div w:id="1410496893">
      <w:marLeft w:val="0"/>
      <w:marRight w:val="0"/>
      <w:marTop w:val="0"/>
      <w:marBottom w:val="0"/>
      <w:divBdr>
        <w:top w:val="none" w:sz="0" w:space="0" w:color="auto"/>
        <w:left w:val="none" w:sz="0" w:space="0" w:color="auto"/>
        <w:bottom w:val="none" w:sz="0" w:space="0" w:color="auto"/>
        <w:right w:val="none" w:sz="0" w:space="0" w:color="auto"/>
      </w:divBdr>
    </w:div>
    <w:div w:id="1410496894">
      <w:marLeft w:val="0"/>
      <w:marRight w:val="0"/>
      <w:marTop w:val="0"/>
      <w:marBottom w:val="0"/>
      <w:divBdr>
        <w:top w:val="none" w:sz="0" w:space="0" w:color="auto"/>
        <w:left w:val="none" w:sz="0" w:space="0" w:color="auto"/>
        <w:bottom w:val="none" w:sz="0" w:space="0" w:color="auto"/>
        <w:right w:val="none" w:sz="0" w:space="0" w:color="auto"/>
      </w:divBdr>
    </w:div>
    <w:div w:id="1410496895">
      <w:marLeft w:val="0"/>
      <w:marRight w:val="0"/>
      <w:marTop w:val="0"/>
      <w:marBottom w:val="0"/>
      <w:divBdr>
        <w:top w:val="none" w:sz="0" w:space="0" w:color="auto"/>
        <w:left w:val="none" w:sz="0" w:space="0" w:color="auto"/>
        <w:bottom w:val="none" w:sz="0" w:space="0" w:color="auto"/>
        <w:right w:val="none" w:sz="0" w:space="0" w:color="auto"/>
      </w:divBdr>
    </w:div>
    <w:div w:id="1410496899">
      <w:marLeft w:val="0"/>
      <w:marRight w:val="0"/>
      <w:marTop w:val="0"/>
      <w:marBottom w:val="0"/>
      <w:divBdr>
        <w:top w:val="none" w:sz="0" w:space="0" w:color="auto"/>
        <w:left w:val="none" w:sz="0" w:space="0" w:color="auto"/>
        <w:bottom w:val="none" w:sz="0" w:space="0" w:color="auto"/>
        <w:right w:val="none" w:sz="0" w:space="0" w:color="auto"/>
      </w:divBdr>
    </w:div>
    <w:div w:id="1410496900">
      <w:marLeft w:val="0"/>
      <w:marRight w:val="0"/>
      <w:marTop w:val="0"/>
      <w:marBottom w:val="0"/>
      <w:divBdr>
        <w:top w:val="none" w:sz="0" w:space="0" w:color="auto"/>
        <w:left w:val="none" w:sz="0" w:space="0" w:color="auto"/>
        <w:bottom w:val="none" w:sz="0" w:space="0" w:color="auto"/>
        <w:right w:val="none" w:sz="0" w:space="0" w:color="auto"/>
      </w:divBdr>
    </w:div>
    <w:div w:id="1410496904">
      <w:marLeft w:val="0"/>
      <w:marRight w:val="0"/>
      <w:marTop w:val="0"/>
      <w:marBottom w:val="0"/>
      <w:divBdr>
        <w:top w:val="none" w:sz="0" w:space="0" w:color="auto"/>
        <w:left w:val="none" w:sz="0" w:space="0" w:color="auto"/>
        <w:bottom w:val="none" w:sz="0" w:space="0" w:color="auto"/>
        <w:right w:val="none" w:sz="0" w:space="0" w:color="auto"/>
      </w:divBdr>
    </w:div>
    <w:div w:id="1410496908">
      <w:marLeft w:val="0"/>
      <w:marRight w:val="0"/>
      <w:marTop w:val="0"/>
      <w:marBottom w:val="0"/>
      <w:divBdr>
        <w:top w:val="none" w:sz="0" w:space="0" w:color="auto"/>
        <w:left w:val="none" w:sz="0" w:space="0" w:color="auto"/>
        <w:bottom w:val="none" w:sz="0" w:space="0" w:color="auto"/>
        <w:right w:val="none" w:sz="0" w:space="0" w:color="auto"/>
      </w:divBdr>
      <w:divsChild>
        <w:div w:id="1410496860">
          <w:marLeft w:val="0"/>
          <w:marRight w:val="0"/>
          <w:marTop w:val="0"/>
          <w:marBottom w:val="0"/>
          <w:divBdr>
            <w:top w:val="none" w:sz="0" w:space="0" w:color="auto"/>
            <w:left w:val="none" w:sz="0" w:space="0" w:color="auto"/>
            <w:bottom w:val="none" w:sz="0" w:space="0" w:color="auto"/>
            <w:right w:val="none" w:sz="0" w:space="0" w:color="auto"/>
          </w:divBdr>
        </w:div>
        <w:div w:id="1410496862">
          <w:marLeft w:val="0"/>
          <w:marRight w:val="0"/>
          <w:marTop w:val="0"/>
          <w:marBottom w:val="0"/>
          <w:divBdr>
            <w:top w:val="none" w:sz="0" w:space="0" w:color="auto"/>
            <w:left w:val="none" w:sz="0" w:space="0" w:color="auto"/>
            <w:bottom w:val="none" w:sz="0" w:space="0" w:color="auto"/>
            <w:right w:val="none" w:sz="0" w:space="0" w:color="auto"/>
          </w:divBdr>
        </w:div>
      </w:divsChild>
    </w:div>
    <w:div w:id="1410496910">
      <w:marLeft w:val="0"/>
      <w:marRight w:val="0"/>
      <w:marTop w:val="0"/>
      <w:marBottom w:val="0"/>
      <w:divBdr>
        <w:top w:val="none" w:sz="0" w:space="0" w:color="auto"/>
        <w:left w:val="none" w:sz="0" w:space="0" w:color="auto"/>
        <w:bottom w:val="none" w:sz="0" w:space="0" w:color="auto"/>
        <w:right w:val="none" w:sz="0" w:space="0" w:color="auto"/>
      </w:divBdr>
    </w:div>
    <w:div w:id="1410496911">
      <w:marLeft w:val="0"/>
      <w:marRight w:val="0"/>
      <w:marTop w:val="0"/>
      <w:marBottom w:val="0"/>
      <w:divBdr>
        <w:top w:val="none" w:sz="0" w:space="0" w:color="auto"/>
        <w:left w:val="none" w:sz="0" w:space="0" w:color="auto"/>
        <w:bottom w:val="none" w:sz="0" w:space="0" w:color="auto"/>
        <w:right w:val="none" w:sz="0" w:space="0" w:color="auto"/>
      </w:divBdr>
    </w:div>
    <w:div w:id="1410496914">
      <w:marLeft w:val="0"/>
      <w:marRight w:val="0"/>
      <w:marTop w:val="0"/>
      <w:marBottom w:val="0"/>
      <w:divBdr>
        <w:top w:val="none" w:sz="0" w:space="0" w:color="auto"/>
        <w:left w:val="none" w:sz="0" w:space="0" w:color="auto"/>
        <w:bottom w:val="none" w:sz="0" w:space="0" w:color="auto"/>
        <w:right w:val="none" w:sz="0" w:space="0" w:color="auto"/>
      </w:divBdr>
      <w:divsChild>
        <w:div w:id="1410496849">
          <w:marLeft w:val="0"/>
          <w:marRight w:val="0"/>
          <w:marTop w:val="400"/>
          <w:marBottom w:val="0"/>
          <w:divBdr>
            <w:top w:val="none" w:sz="0" w:space="0" w:color="auto"/>
            <w:left w:val="none" w:sz="0" w:space="0" w:color="auto"/>
            <w:bottom w:val="none" w:sz="0" w:space="0" w:color="auto"/>
            <w:right w:val="none" w:sz="0" w:space="0" w:color="auto"/>
          </w:divBdr>
        </w:div>
        <w:div w:id="1410496854">
          <w:marLeft w:val="0"/>
          <w:marRight w:val="0"/>
          <w:marTop w:val="400"/>
          <w:marBottom w:val="0"/>
          <w:divBdr>
            <w:top w:val="none" w:sz="0" w:space="0" w:color="auto"/>
            <w:left w:val="none" w:sz="0" w:space="0" w:color="auto"/>
            <w:bottom w:val="none" w:sz="0" w:space="0" w:color="auto"/>
            <w:right w:val="none" w:sz="0" w:space="0" w:color="auto"/>
          </w:divBdr>
        </w:div>
      </w:divsChild>
    </w:div>
    <w:div w:id="1410496921">
      <w:marLeft w:val="0"/>
      <w:marRight w:val="0"/>
      <w:marTop w:val="0"/>
      <w:marBottom w:val="0"/>
      <w:divBdr>
        <w:top w:val="none" w:sz="0" w:space="0" w:color="auto"/>
        <w:left w:val="none" w:sz="0" w:space="0" w:color="auto"/>
        <w:bottom w:val="none" w:sz="0" w:space="0" w:color="auto"/>
        <w:right w:val="none" w:sz="0" w:space="0" w:color="auto"/>
      </w:divBdr>
      <w:divsChild>
        <w:div w:id="1410496918">
          <w:marLeft w:val="0"/>
          <w:marRight w:val="0"/>
          <w:marTop w:val="0"/>
          <w:marBottom w:val="0"/>
          <w:divBdr>
            <w:top w:val="none" w:sz="0" w:space="0" w:color="auto"/>
            <w:left w:val="none" w:sz="0" w:space="0" w:color="auto"/>
            <w:bottom w:val="none" w:sz="0" w:space="0" w:color="auto"/>
            <w:right w:val="none" w:sz="0" w:space="0" w:color="auto"/>
          </w:divBdr>
          <w:divsChild>
            <w:div w:id="1410496915">
              <w:marLeft w:val="0"/>
              <w:marRight w:val="0"/>
              <w:marTop w:val="0"/>
              <w:marBottom w:val="0"/>
              <w:divBdr>
                <w:top w:val="none" w:sz="0" w:space="0" w:color="auto"/>
                <w:left w:val="none" w:sz="0" w:space="0" w:color="auto"/>
                <w:bottom w:val="none" w:sz="0" w:space="0" w:color="auto"/>
                <w:right w:val="none" w:sz="0" w:space="0" w:color="auto"/>
              </w:divBdr>
            </w:div>
            <w:div w:id="1410496916">
              <w:marLeft w:val="0"/>
              <w:marRight w:val="0"/>
              <w:marTop w:val="0"/>
              <w:marBottom w:val="0"/>
              <w:divBdr>
                <w:top w:val="none" w:sz="0" w:space="0" w:color="auto"/>
                <w:left w:val="none" w:sz="0" w:space="0" w:color="auto"/>
                <w:bottom w:val="none" w:sz="0" w:space="0" w:color="auto"/>
                <w:right w:val="none" w:sz="0" w:space="0" w:color="auto"/>
              </w:divBdr>
            </w:div>
            <w:div w:id="1410496917">
              <w:marLeft w:val="0"/>
              <w:marRight w:val="0"/>
              <w:marTop w:val="0"/>
              <w:marBottom w:val="0"/>
              <w:divBdr>
                <w:top w:val="none" w:sz="0" w:space="0" w:color="auto"/>
                <w:left w:val="none" w:sz="0" w:space="0" w:color="auto"/>
                <w:bottom w:val="none" w:sz="0" w:space="0" w:color="auto"/>
                <w:right w:val="none" w:sz="0" w:space="0" w:color="auto"/>
              </w:divBdr>
            </w:div>
            <w:div w:id="14104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923">
      <w:marLeft w:val="0"/>
      <w:marRight w:val="0"/>
      <w:marTop w:val="0"/>
      <w:marBottom w:val="0"/>
      <w:divBdr>
        <w:top w:val="none" w:sz="0" w:space="0" w:color="auto"/>
        <w:left w:val="none" w:sz="0" w:space="0" w:color="auto"/>
        <w:bottom w:val="none" w:sz="0" w:space="0" w:color="auto"/>
        <w:right w:val="none" w:sz="0" w:space="0" w:color="auto"/>
      </w:divBdr>
    </w:div>
    <w:div w:id="1410496924">
      <w:marLeft w:val="0"/>
      <w:marRight w:val="0"/>
      <w:marTop w:val="0"/>
      <w:marBottom w:val="0"/>
      <w:divBdr>
        <w:top w:val="none" w:sz="0" w:space="0" w:color="auto"/>
        <w:left w:val="none" w:sz="0" w:space="0" w:color="auto"/>
        <w:bottom w:val="none" w:sz="0" w:space="0" w:color="auto"/>
        <w:right w:val="none" w:sz="0" w:space="0" w:color="auto"/>
      </w:divBdr>
      <w:divsChild>
        <w:div w:id="1410496845">
          <w:marLeft w:val="0"/>
          <w:marRight w:val="0"/>
          <w:marTop w:val="225"/>
          <w:marBottom w:val="0"/>
          <w:divBdr>
            <w:top w:val="none" w:sz="0" w:space="0" w:color="auto"/>
            <w:left w:val="none" w:sz="0" w:space="0" w:color="auto"/>
            <w:bottom w:val="none" w:sz="0" w:space="0" w:color="auto"/>
            <w:right w:val="none" w:sz="0" w:space="0" w:color="auto"/>
          </w:divBdr>
          <w:divsChild>
            <w:div w:id="1410496843">
              <w:marLeft w:val="0"/>
              <w:marRight w:val="0"/>
              <w:marTop w:val="0"/>
              <w:marBottom w:val="0"/>
              <w:divBdr>
                <w:top w:val="none" w:sz="0" w:space="0" w:color="auto"/>
                <w:left w:val="none" w:sz="0" w:space="0" w:color="auto"/>
                <w:bottom w:val="none" w:sz="0" w:space="0" w:color="auto"/>
                <w:right w:val="none" w:sz="0" w:space="0" w:color="auto"/>
              </w:divBdr>
            </w:div>
            <w:div w:id="1410496926">
              <w:marLeft w:val="0"/>
              <w:marRight w:val="0"/>
              <w:marTop w:val="0"/>
              <w:marBottom w:val="0"/>
              <w:divBdr>
                <w:top w:val="none" w:sz="0" w:space="0" w:color="auto"/>
                <w:left w:val="none" w:sz="0" w:space="0" w:color="auto"/>
                <w:bottom w:val="none" w:sz="0" w:space="0" w:color="auto"/>
                <w:right w:val="none" w:sz="0" w:space="0" w:color="auto"/>
              </w:divBdr>
            </w:div>
          </w:divsChild>
        </w:div>
        <w:div w:id="1410496846">
          <w:marLeft w:val="0"/>
          <w:marRight w:val="0"/>
          <w:marTop w:val="225"/>
          <w:marBottom w:val="0"/>
          <w:divBdr>
            <w:top w:val="none" w:sz="0" w:space="0" w:color="auto"/>
            <w:left w:val="none" w:sz="0" w:space="0" w:color="auto"/>
            <w:bottom w:val="none" w:sz="0" w:space="0" w:color="auto"/>
            <w:right w:val="none" w:sz="0" w:space="0" w:color="auto"/>
          </w:divBdr>
          <w:divsChild>
            <w:div w:id="1410496844">
              <w:marLeft w:val="0"/>
              <w:marRight w:val="0"/>
              <w:marTop w:val="0"/>
              <w:marBottom w:val="0"/>
              <w:divBdr>
                <w:top w:val="none" w:sz="0" w:space="0" w:color="auto"/>
                <w:left w:val="none" w:sz="0" w:space="0" w:color="auto"/>
                <w:bottom w:val="none" w:sz="0" w:space="0" w:color="auto"/>
                <w:right w:val="none" w:sz="0" w:space="0" w:color="auto"/>
              </w:divBdr>
            </w:div>
            <w:div w:id="14104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38F7-708E-4D9D-AA8C-F0C51563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3186</Words>
  <Characters>18161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Beník</dc:creator>
  <cp:keywords/>
  <dc:description/>
  <cp:lastModifiedBy>Marianna Ferancova</cp:lastModifiedBy>
  <cp:revision>2</cp:revision>
  <cp:lastPrinted>2020-04-28T08:42:00Z</cp:lastPrinted>
  <dcterms:created xsi:type="dcterms:W3CDTF">2021-12-22T10:24:00Z</dcterms:created>
  <dcterms:modified xsi:type="dcterms:W3CDTF">2021-12-22T10:24:00Z</dcterms:modified>
</cp:coreProperties>
</file>