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F9" w:rsidRPr="00347B31" w:rsidRDefault="004662F9" w:rsidP="004662F9">
      <w:pPr>
        <w:autoSpaceDE/>
        <w:ind w:left="360"/>
        <w:jc w:val="center"/>
        <w:rPr>
          <w:b/>
          <w:sz w:val="32"/>
          <w:szCs w:val="32"/>
        </w:rPr>
      </w:pPr>
      <w:r w:rsidRPr="00347B31">
        <w:rPr>
          <w:b/>
          <w:sz w:val="32"/>
          <w:szCs w:val="32"/>
        </w:rPr>
        <w:t>TABUĽKA ZHODY</w:t>
      </w:r>
    </w:p>
    <w:p w:rsidR="004662F9" w:rsidRPr="00347B31" w:rsidRDefault="004662F9" w:rsidP="004662F9">
      <w:pPr>
        <w:autoSpaceDE/>
        <w:ind w:left="360"/>
        <w:jc w:val="center"/>
        <w:rPr>
          <w:b/>
          <w:sz w:val="32"/>
          <w:szCs w:val="32"/>
        </w:rPr>
      </w:pPr>
      <w:r>
        <w:rPr>
          <w:b/>
          <w:sz w:val="32"/>
          <w:szCs w:val="32"/>
        </w:rPr>
        <w:t xml:space="preserve">návrhu </w:t>
      </w:r>
      <w:r w:rsidRPr="00347B31">
        <w:rPr>
          <w:b/>
          <w:sz w:val="32"/>
          <w:szCs w:val="32"/>
        </w:rPr>
        <w:t>právneho predpisu s právom Európskej únie</w:t>
      </w:r>
    </w:p>
    <w:p w:rsidR="004662F9" w:rsidRPr="00347B31" w:rsidRDefault="004662F9" w:rsidP="004662F9">
      <w:pPr>
        <w:autoSpaceDE/>
        <w:ind w:left="360"/>
        <w:jc w:val="both"/>
        <w:rPr>
          <w:b/>
          <w:sz w:val="20"/>
          <w:szCs w:val="20"/>
        </w:rPr>
      </w:pPr>
    </w:p>
    <w:tbl>
      <w:tblPr>
        <w:tblW w:w="14813" w:type="dxa"/>
        <w:tblInd w:w="-595" w:type="dxa"/>
        <w:tblLayout w:type="fixed"/>
        <w:tblCellMar>
          <w:left w:w="43" w:type="dxa"/>
          <w:right w:w="43" w:type="dxa"/>
        </w:tblCellMar>
        <w:tblLook w:val="0000" w:firstRow="0" w:lastRow="0" w:firstColumn="0" w:lastColumn="0" w:noHBand="0" w:noVBand="0"/>
      </w:tblPr>
      <w:tblGrid>
        <w:gridCol w:w="780"/>
        <w:gridCol w:w="4820"/>
        <w:gridCol w:w="850"/>
        <w:gridCol w:w="851"/>
        <w:gridCol w:w="708"/>
        <w:gridCol w:w="4962"/>
        <w:gridCol w:w="708"/>
        <w:gridCol w:w="1134"/>
      </w:tblGrid>
      <w:tr w:rsidR="004662F9" w:rsidRPr="00347B31" w:rsidTr="00C3693F">
        <w:trPr>
          <w:cantSplit/>
          <w:trHeight w:val="567"/>
        </w:trPr>
        <w:tc>
          <w:tcPr>
            <w:tcW w:w="6450" w:type="dxa"/>
            <w:gridSpan w:val="3"/>
            <w:tcBorders>
              <w:top w:val="single" w:sz="4" w:space="0" w:color="000000"/>
              <w:left w:val="single" w:sz="4" w:space="0" w:color="000000"/>
              <w:bottom w:val="single" w:sz="4" w:space="0" w:color="000000"/>
            </w:tcBorders>
          </w:tcPr>
          <w:p w:rsidR="004662F9" w:rsidRPr="00347B31" w:rsidRDefault="004662F9" w:rsidP="00C3693F">
            <w:pPr>
              <w:jc w:val="both"/>
              <w:rPr>
                <w:b/>
                <w:sz w:val="20"/>
                <w:szCs w:val="20"/>
              </w:rPr>
            </w:pPr>
            <w:r w:rsidRPr="006637DD">
              <w:rPr>
                <w:sz w:val="22"/>
              </w:rPr>
              <w:t xml:space="preserve">Smernica Európskeho parlamentu a Rady 2013/32/EÚ z  26. júna 2013 o spoločných konaniach o poskytovaní a odnímaní medzinárodnej ochrany (prepracované znenie) </w:t>
            </w:r>
          </w:p>
        </w:tc>
        <w:tc>
          <w:tcPr>
            <w:tcW w:w="8363" w:type="dxa"/>
            <w:gridSpan w:val="5"/>
            <w:tcBorders>
              <w:top w:val="single" w:sz="4" w:space="0" w:color="000000"/>
              <w:left w:val="single" w:sz="4" w:space="0" w:color="000000"/>
              <w:bottom w:val="single" w:sz="4" w:space="0" w:color="000000"/>
              <w:right w:val="single" w:sz="4" w:space="0" w:color="000000"/>
            </w:tcBorders>
          </w:tcPr>
          <w:p w:rsidR="004662F9" w:rsidRPr="005C0FB6" w:rsidRDefault="004662F9" w:rsidP="004662F9">
            <w:pPr>
              <w:numPr>
                <w:ilvl w:val="0"/>
                <w:numId w:val="2"/>
              </w:numPr>
              <w:ind w:left="241" w:hanging="241"/>
              <w:jc w:val="both"/>
              <w:rPr>
                <w:sz w:val="20"/>
                <w:szCs w:val="20"/>
              </w:rPr>
            </w:pPr>
            <w:r w:rsidRPr="008F7B7A">
              <w:rPr>
                <w:sz w:val="20"/>
                <w:szCs w:val="20"/>
              </w:rPr>
              <w:t>Návrh zákona</w:t>
            </w:r>
            <w:r w:rsidRPr="008F7B7A">
              <w:rPr>
                <w:bCs/>
                <w:sz w:val="20"/>
                <w:szCs w:val="20"/>
              </w:rPr>
              <w:t xml:space="preserve">, ktorým sa mení a dopĺňa zákon č. </w:t>
            </w:r>
            <w:r w:rsidRPr="008F7B7A">
              <w:rPr>
                <w:sz w:val="20"/>
                <w:szCs w:val="20"/>
              </w:rPr>
              <w:t xml:space="preserve">480/2002 Z. z. o azyle a o zmene a doplnení niektorých zákonov </w:t>
            </w:r>
            <w:r w:rsidRPr="005C0FB6">
              <w:rPr>
                <w:sz w:val="20"/>
                <w:szCs w:val="20"/>
              </w:rPr>
              <w:t>v znení neskorších predpisov</w:t>
            </w:r>
            <w:r>
              <w:rPr>
                <w:sz w:val="20"/>
                <w:szCs w:val="20"/>
              </w:rPr>
              <w:t xml:space="preserve"> </w:t>
            </w:r>
            <w:r w:rsidRPr="005C0FB6">
              <w:rPr>
                <w:sz w:val="20"/>
                <w:szCs w:val="20"/>
              </w:rPr>
              <w:t>(ďalej len „návrh zákona)</w:t>
            </w:r>
          </w:p>
          <w:p w:rsidR="004662F9" w:rsidRPr="005C0FB6" w:rsidRDefault="004662F9" w:rsidP="004662F9">
            <w:pPr>
              <w:numPr>
                <w:ilvl w:val="0"/>
                <w:numId w:val="2"/>
              </w:numPr>
              <w:ind w:left="241" w:hanging="241"/>
              <w:jc w:val="both"/>
              <w:rPr>
                <w:sz w:val="20"/>
                <w:szCs w:val="20"/>
              </w:rPr>
            </w:pPr>
            <w:r w:rsidRPr="005C0FB6">
              <w:rPr>
                <w:sz w:val="20"/>
                <w:szCs w:val="20"/>
              </w:rPr>
              <w:t>Zákon č. 480/2002 Z. z. o azyle a o zmene a doplnení niektorých zákonov v znení neskorších predpisov</w:t>
            </w:r>
            <w:r>
              <w:rPr>
                <w:sz w:val="20"/>
                <w:szCs w:val="20"/>
              </w:rPr>
              <w:t xml:space="preserve"> (ďalej len „480/2002 Z. z.“)</w:t>
            </w:r>
          </w:p>
          <w:p w:rsidR="004662F9" w:rsidRPr="004850BD" w:rsidRDefault="004662F9" w:rsidP="00C3693F">
            <w:pPr>
              <w:ind w:left="720"/>
              <w:jc w:val="both"/>
              <w:rPr>
                <w:sz w:val="20"/>
                <w:szCs w:val="20"/>
              </w:rPr>
            </w:pPr>
          </w:p>
        </w:tc>
      </w:tr>
      <w:tr w:rsidR="004662F9" w:rsidRPr="00347B31" w:rsidTr="00C3693F">
        <w:tc>
          <w:tcPr>
            <w:tcW w:w="780" w:type="dxa"/>
            <w:tcBorders>
              <w:top w:val="single" w:sz="4" w:space="0" w:color="000000"/>
              <w:left w:val="single" w:sz="4" w:space="0" w:color="000000"/>
              <w:bottom w:val="single" w:sz="4" w:space="0" w:color="000000"/>
            </w:tcBorders>
          </w:tcPr>
          <w:p w:rsidR="004662F9" w:rsidRPr="00347B31" w:rsidRDefault="004662F9" w:rsidP="00C3693F">
            <w:pPr>
              <w:snapToGrid w:val="0"/>
              <w:jc w:val="center"/>
              <w:rPr>
                <w:sz w:val="20"/>
                <w:szCs w:val="20"/>
              </w:rPr>
            </w:pPr>
            <w:r w:rsidRPr="00347B31">
              <w:rPr>
                <w:sz w:val="20"/>
                <w:szCs w:val="20"/>
              </w:rPr>
              <w:t>1</w:t>
            </w:r>
          </w:p>
        </w:tc>
        <w:tc>
          <w:tcPr>
            <w:tcW w:w="4820" w:type="dxa"/>
            <w:tcBorders>
              <w:top w:val="single" w:sz="4" w:space="0" w:color="000000"/>
              <w:left w:val="single" w:sz="4" w:space="0" w:color="000000"/>
              <w:bottom w:val="single" w:sz="4" w:space="0" w:color="000000"/>
            </w:tcBorders>
          </w:tcPr>
          <w:p w:rsidR="004662F9" w:rsidRPr="00347B31" w:rsidRDefault="004662F9" w:rsidP="00C3693F">
            <w:pPr>
              <w:snapToGrid w:val="0"/>
              <w:jc w:val="center"/>
              <w:rPr>
                <w:sz w:val="20"/>
                <w:szCs w:val="20"/>
              </w:rPr>
            </w:pPr>
            <w:r w:rsidRPr="00347B31">
              <w:rPr>
                <w:sz w:val="20"/>
                <w:szCs w:val="20"/>
              </w:rPr>
              <w:t>2</w:t>
            </w:r>
          </w:p>
        </w:tc>
        <w:tc>
          <w:tcPr>
            <w:tcW w:w="850" w:type="dxa"/>
            <w:tcBorders>
              <w:top w:val="single" w:sz="4" w:space="0" w:color="000000"/>
              <w:left w:val="single" w:sz="4" w:space="0" w:color="000000"/>
              <w:bottom w:val="single" w:sz="4" w:space="0" w:color="000000"/>
            </w:tcBorders>
          </w:tcPr>
          <w:p w:rsidR="004662F9" w:rsidRPr="00347B31" w:rsidRDefault="004662F9" w:rsidP="00C3693F">
            <w:pPr>
              <w:snapToGrid w:val="0"/>
              <w:jc w:val="center"/>
              <w:rPr>
                <w:sz w:val="20"/>
                <w:szCs w:val="20"/>
              </w:rPr>
            </w:pPr>
            <w:r w:rsidRPr="00347B31">
              <w:rPr>
                <w:sz w:val="20"/>
                <w:szCs w:val="20"/>
              </w:rPr>
              <w:t>3</w:t>
            </w:r>
          </w:p>
        </w:tc>
        <w:tc>
          <w:tcPr>
            <w:tcW w:w="851" w:type="dxa"/>
            <w:tcBorders>
              <w:top w:val="single" w:sz="4" w:space="0" w:color="000000"/>
              <w:left w:val="single" w:sz="4" w:space="0" w:color="000000"/>
              <w:bottom w:val="single" w:sz="4" w:space="0" w:color="000000"/>
            </w:tcBorders>
          </w:tcPr>
          <w:p w:rsidR="004662F9" w:rsidRPr="00347B31" w:rsidRDefault="004662F9" w:rsidP="00C3693F">
            <w:pPr>
              <w:snapToGrid w:val="0"/>
              <w:jc w:val="center"/>
              <w:rPr>
                <w:sz w:val="20"/>
                <w:szCs w:val="20"/>
              </w:rPr>
            </w:pPr>
            <w:r w:rsidRPr="00347B31">
              <w:rPr>
                <w:sz w:val="20"/>
                <w:szCs w:val="20"/>
              </w:rPr>
              <w:t>4</w:t>
            </w:r>
          </w:p>
        </w:tc>
        <w:tc>
          <w:tcPr>
            <w:tcW w:w="708" w:type="dxa"/>
            <w:tcBorders>
              <w:top w:val="single" w:sz="4" w:space="0" w:color="000000"/>
              <w:left w:val="single" w:sz="4" w:space="0" w:color="000000"/>
              <w:bottom w:val="single" w:sz="4" w:space="0" w:color="000000"/>
            </w:tcBorders>
          </w:tcPr>
          <w:p w:rsidR="004662F9" w:rsidRPr="00347B31" w:rsidRDefault="004662F9" w:rsidP="00C3693F">
            <w:pPr>
              <w:pStyle w:val="Zarkazkladnhotextu"/>
              <w:snapToGrid w:val="0"/>
              <w:spacing w:after="0" w:line="240" w:lineRule="exact"/>
              <w:jc w:val="center"/>
              <w:rPr>
                <w:sz w:val="20"/>
                <w:szCs w:val="20"/>
              </w:rPr>
            </w:pPr>
            <w:r w:rsidRPr="00347B31">
              <w:rPr>
                <w:sz w:val="20"/>
                <w:szCs w:val="20"/>
              </w:rPr>
              <w:t>5</w:t>
            </w:r>
          </w:p>
        </w:tc>
        <w:tc>
          <w:tcPr>
            <w:tcW w:w="4962" w:type="dxa"/>
            <w:tcBorders>
              <w:top w:val="single" w:sz="4" w:space="0" w:color="000000"/>
              <w:left w:val="single" w:sz="4" w:space="0" w:color="000000"/>
              <w:bottom w:val="single" w:sz="4" w:space="0" w:color="000000"/>
            </w:tcBorders>
          </w:tcPr>
          <w:p w:rsidR="004662F9" w:rsidRPr="00347B31" w:rsidRDefault="004662F9" w:rsidP="00C3693F">
            <w:pPr>
              <w:pStyle w:val="Zarkazkladnhotextu"/>
              <w:snapToGrid w:val="0"/>
              <w:spacing w:after="0" w:line="240" w:lineRule="exact"/>
              <w:jc w:val="center"/>
              <w:rPr>
                <w:sz w:val="20"/>
                <w:szCs w:val="20"/>
              </w:rPr>
            </w:pPr>
            <w:r w:rsidRPr="00347B31">
              <w:rPr>
                <w:sz w:val="20"/>
                <w:szCs w:val="20"/>
              </w:rPr>
              <w:t>6</w:t>
            </w:r>
          </w:p>
        </w:tc>
        <w:tc>
          <w:tcPr>
            <w:tcW w:w="708" w:type="dxa"/>
            <w:tcBorders>
              <w:top w:val="single" w:sz="4" w:space="0" w:color="000000"/>
              <w:left w:val="single" w:sz="4" w:space="0" w:color="000000"/>
              <w:bottom w:val="single" w:sz="4" w:space="0" w:color="000000"/>
            </w:tcBorders>
          </w:tcPr>
          <w:p w:rsidR="004662F9" w:rsidRPr="00347B31" w:rsidRDefault="004662F9" w:rsidP="00C3693F">
            <w:pPr>
              <w:snapToGrid w:val="0"/>
              <w:jc w:val="center"/>
              <w:rPr>
                <w:sz w:val="20"/>
                <w:szCs w:val="20"/>
              </w:rPr>
            </w:pPr>
            <w:r w:rsidRPr="00347B31">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4662F9" w:rsidRPr="00347B31" w:rsidRDefault="004662F9" w:rsidP="00C3693F">
            <w:pPr>
              <w:snapToGrid w:val="0"/>
              <w:jc w:val="center"/>
              <w:rPr>
                <w:sz w:val="20"/>
                <w:szCs w:val="20"/>
              </w:rPr>
            </w:pPr>
            <w:r w:rsidRPr="00347B31">
              <w:rPr>
                <w:sz w:val="20"/>
                <w:szCs w:val="20"/>
              </w:rPr>
              <w:t>8</w:t>
            </w:r>
          </w:p>
        </w:tc>
      </w:tr>
      <w:tr w:rsidR="004662F9" w:rsidRPr="00347B31" w:rsidTr="00C3693F">
        <w:tc>
          <w:tcPr>
            <w:tcW w:w="780" w:type="dxa"/>
            <w:tcBorders>
              <w:top w:val="single" w:sz="4" w:space="0" w:color="000000"/>
              <w:left w:val="single" w:sz="4" w:space="0" w:color="000000"/>
              <w:bottom w:val="single" w:sz="4" w:space="0" w:color="000000"/>
            </w:tcBorders>
          </w:tcPr>
          <w:p w:rsidR="004662F9" w:rsidRPr="00347B31" w:rsidRDefault="004662F9" w:rsidP="00C3693F">
            <w:pPr>
              <w:pStyle w:val="Normlny0"/>
              <w:snapToGrid w:val="0"/>
              <w:jc w:val="center"/>
            </w:pPr>
            <w:r w:rsidRPr="00347B31">
              <w:t>Článok</w:t>
            </w:r>
          </w:p>
          <w:p w:rsidR="004662F9" w:rsidRPr="00347B31" w:rsidRDefault="004662F9" w:rsidP="00C3693F">
            <w:pPr>
              <w:pStyle w:val="Normlny0"/>
              <w:jc w:val="center"/>
            </w:pPr>
            <w:r w:rsidRPr="00347B31">
              <w:t>(Č, O,</w:t>
            </w:r>
          </w:p>
          <w:p w:rsidR="004662F9" w:rsidRPr="00347B31" w:rsidRDefault="004662F9" w:rsidP="00C3693F">
            <w:pPr>
              <w:pStyle w:val="Normlny0"/>
              <w:jc w:val="center"/>
            </w:pPr>
            <w:r w:rsidRPr="00347B31">
              <w:t>V, P)</w:t>
            </w:r>
          </w:p>
        </w:tc>
        <w:tc>
          <w:tcPr>
            <w:tcW w:w="4820" w:type="dxa"/>
            <w:tcBorders>
              <w:top w:val="single" w:sz="4" w:space="0" w:color="000000"/>
              <w:left w:val="single" w:sz="4" w:space="0" w:color="000000"/>
              <w:bottom w:val="single" w:sz="4" w:space="0" w:color="000000"/>
            </w:tcBorders>
          </w:tcPr>
          <w:p w:rsidR="004662F9" w:rsidRPr="00347B31" w:rsidRDefault="004662F9" w:rsidP="00C3693F">
            <w:pPr>
              <w:pStyle w:val="Normlny0"/>
              <w:snapToGrid w:val="0"/>
              <w:jc w:val="center"/>
            </w:pPr>
            <w:r w:rsidRPr="00347B31">
              <w:t xml:space="preserve">Text </w:t>
            </w:r>
          </w:p>
        </w:tc>
        <w:tc>
          <w:tcPr>
            <w:tcW w:w="850" w:type="dxa"/>
            <w:tcBorders>
              <w:top w:val="single" w:sz="4" w:space="0" w:color="000000"/>
              <w:left w:val="single" w:sz="4" w:space="0" w:color="000000"/>
              <w:bottom w:val="single" w:sz="4" w:space="0" w:color="000000"/>
            </w:tcBorders>
          </w:tcPr>
          <w:p w:rsidR="004662F9" w:rsidRPr="00347B31" w:rsidRDefault="004662F9" w:rsidP="00C3693F">
            <w:pPr>
              <w:pStyle w:val="Normlny0"/>
              <w:snapToGrid w:val="0"/>
              <w:jc w:val="center"/>
            </w:pPr>
            <w:r w:rsidRPr="00347B31">
              <w:t>Spô</w:t>
            </w:r>
            <w:r>
              <w:t xml:space="preserve">sob </w:t>
            </w:r>
            <w:proofErr w:type="spellStart"/>
            <w:r>
              <w:t>transpo</w:t>
            </w:r>
            <w:proofErr w:type="spellEnd"/>
            <w:r>
              <w:t>-</w:t>
            </w:r>
          </w:p>
          <w:p w:rsidR="004662F9" w:rsidRPr="00347B31" w:rsidRDefault="004662F9" w:rsidP="00C3693F">
            <w:pPr>
              <w:pStyle w:val="Normlny0"/>
              <w:jc w:val="center"/>
            </w:pPr>
            <w:proofErr w:type="spellStart"/>
            <w:r>
              <w:t>zície</w:t>
            </w:r>
            <w:proofErr w:type="spellEnd"/>
          </w:p>
        </w:tc>
        <w:tc>
          <w:tcPr>
            <w:tcW w:w="851" w:type="dxa"/>
            <w:tcBorders>
              <w:top w:val="single" w:sz="4" w:space="0" w:color="000000"/>
              <w:left w:val="single" w:sz="4" w:space="0" w:color="000000"/>
              <w:bottom w:val="single" w:sz="4" w:space="0" w:color="000000"/>
            </w:tcBorders>
          </w:tcPr>
          <w:p w:rsidR="004662F9" w:rsidRPr="00347B31" w:rsidRDefault="004662F9" w:rsidP="00C3693F">
            <w:pPr>
              <w:pStyle w:val="Normlny0"/>
              <w:snapToGrid w:val="0"/>
              <w:jc w:val="center"/>
            </w:pPr>
            <w:r w:rsidRPr="00347B31">
              <w:t>Číslo</w:t>
            </w:r>
          </w:p>
        </w:tc>
        <w:tc>
          <w:tcPr>
            <w:tcW w:w="708" w:type="dxa"/>
            <w:tcBorders>
              <w:top w:val="single" w:sz="4" w:space="0" w:color="000000"/>
              <w:left w:val="single" w:sz="4" w:space="0" w:color="000000"/>
              <w:bottom w:val="single" w:sz="4" w:space="0" w:color="000000"/>
            </w:tcBorders>
          </w:tcPr>
          <w:p w:rsidR="004662F9" w:rsidRPr="00347B31" w:rsidRDefault="004662F9" w:rsidP="00C3693F">
            <w:pPr>
              <w:pStyle w:val="Normlny0"/>
              <w:snapToGrid w:val="0"/>
              <w:ind w:left="-43" w:right="-36"/>
              <w:jc w:val="center"/>
            </w:pPr>
            <w:r w:rsidRPr="00347B31">
              <w:t>Článok</w:t>
            </w:r>
          </w:p>
          <w:p w:rsidR="004662F9" w:rsidRPr="00347B31" w:rsidRDefault="004662F9" w:rsidP="00C3693F">
            <w:pPr>
              <w:pStyle w:val="Normlny0"/>
              <w:snapToGrid w:val="0"/>
              <w:jc w:val="center"/>
            </w:pPr>
            <w:r w:rsidRPr="00347B31">
              <w:t>(Č, §, O, V, P)</w:t>
            </w:r>
          </w:p>
        </w:tc>
        <w:tc>
          <w:tcPr>
            <w:tcW w:w="4962" w:type="dxa"/>
            <w:tcBorders>
              <w:top w:val="single" w:sz="4" w:space="0" w:color="000000"/>
              <w:left w:val="single" w:sz="4" w:space="0" w:color="000000"/>
              <w:bottom w:val="single" w:sz="4" w:space="0" w:color="000000"/>
            </w:tcBorders>
          </w:tcPr>
          <w:p w:rsidR="004662F9" w:rsidRDefault="004662F9" w:rsidP="00C3693F">
            <w:pPr>
              <w:pStyle w:val="Normlny0"/>
              <w:snapToGrid w:val="0"/>
              <w:jc w:val="center"/>
            </w:pPr>
            <w:r w:rsidRPr="00347B31">
              <w:t xml:space="preserve">Text </w:t>
            </w:r>
          </w:p>
          <w:p w:rsidR="004662F9" w:rsidRPr="00347B31" w:rsidRDefault="004662F9" w:rsidP="00C3693F">
            <w:pPr>
              <w:pStyle w:val="Normlny0"/>
              <w:snapToGrid w:val="0"/>
            </w:pPr>
          </w:p>
        </w:tc>
        <w:tc>
          <w:tcPr>
            <w:tcW w:w="708" w:type="dxa"/>
            <w:tcBorders>
              <w:top w:val="single" w:sz="4" w:space="0" w:color="000000"/>
              <w:left w:val="single" w:sz="4" w:space="0" w:color="000000"/>
              <w:bottom w:val="single" w:sz="4" w:space="0" w:color="000000"/>
            </w:tcBorders>
          </w:tcPr>
          <w:p w:rsidR="004662F9" w:rsidRPr="00A13C6F" w:rsidRDefault="004662F9" w:rsidP="00C3693F">
            <w:pPr>
              <w:pStyle w:val="Normlny0"/>
              <w:snapToGrid w:val="0"/>
              <w:jc w:val="center"/>
            </w:pPr>
            <w:r w:rsidRPr="00A13C6F">
              <w:t xml:space="preserve">Zhoda </w:t>
            </w:r>
          </w:p>
        </w:tc>
        <w:tc>
          <w:tcPr>
            <w:tcW w:w="1134" w:type="dxa"/>
            <w:tcBorders>
              <w:top w:val="single" w:sz="4" w:space="0" w:color="000000"/>
              <w:left w:val="single" w:sz="4" w:space="0" w:color="000000"/>
              <w:bottom w:val="single" w:sz="4" w:space="0" w:color="000000"/>
              <w:right w:val="single" w:sz="4" w:space="0" w:color="000000"/>
            </w:tcBorders>
          </w:tcPr>
          <w:p w:rsidR="004662F9" w:rsidRPr="00347B31" w:rsidRDefault="004662F9" w:rsidP="00C3693F">
            <w:pPr>
              <w:pStyle w:val="Normlny0"/>
              <w:snapToGrid w:val="0"/>
              <w:jc w:val="center"/>
            </w:pPr>
            <w:r w:rsidRPr="00347B31">
              <w:t>Poznámky</w:t>
            </w:r>
          </w:p>
          <w:p w:rsidR="004662F9" w:rsidRPr="00347B31" w:rsidRDefault="004662F9" w:rsidP="00C3693F">
            <w:pPr>
              <w:pStyle w:val="Normlny0"/>
              <w:jc w:val="center"/>
            </w:pPr>
          </w:p>
        </w:tc>
      </w:tr>
      <w:tr w:rsidR="004662F9" w:rsidRPr="00347B31" w:rsidTr="00C3693F">
        <w:tc>
          <w:tcPr>
            <w:tcW w:w="780" w:type="dxa"/>
            <w:tcBorders>
              <w:top w:val="single" w:sz="4" w:space="0" w:color="000000"/>
              <w:left w:val="single" w:sz="4" w:space="0" w:color="000000"/>
              <w:bottom w:val="single" w:sz="4" w:space="0" w:color="000000"/>
            </w:tcBorders>
          </w:tcPr>
          <w:p w:rsidR="004662F9" w:rsidRPr="00347B31" w:rsidRDefault="004662F9" w:rsidP="00C3693F">
            <w:pPr>
              <w:snapToGrid w:val="0"/>
              <w:rPr>
                <w:sz w:val="20"/>
                <w:szCs w:val="20"/>
              </w:rPr>
            </w:pPr>
            <w:r w:rsidRPr="00347B31">
              <w:rPr>
                <w:sz w:val="20"/>
                <w:szCs w:val="20"/>
              </w:rPr>
              <w:t xml:space="preserve">Č: </w:t>
            </w:r>
            <w:r>
              <w:rPr>
                <w:sz w:val="20"/>
                <w:szCs w:val="20"/>
              </w:rPr>
              <w:t>12</w:t>
            </w:r>
          </w:p>
          <w:p w:rsidR="004662F9" w:rsidRDefault="004662F9" w:rsidP="00C3693F">
            <w:pPr>
              <w:rPr>
                <w:sz w:val="20"/>
                <w:szCs w:val="20"/>
              </w:rPr>
            </w:pPr>
            <w:r>
              <w:rPr>
                <w:sz w:val="20"/>
                <w:szCs w:val="20"/>
              </w:rPr>
              <w:t>O: 1</w:t>
            </w:r>
          </w:p>
          <w:p w:rsidR="004662F9" w:rsidRDefault="004662F9" w:rsidP="00C3693F">
            <w:pPr>
              <w:rPr>
                <w:sz w:val="20"/>
                <w:szCs w:val="20"/>
              </w:rPr>
            </w:pPr>
            <w:r>
              <w:rPr>
                <w:sz w:val="20"/>
                <w:szCs w:val="20"/>
              </w:rPr>
              <w:t>P: a</w:t>
            </w:r>
          </w:p>
          <w:p w:rsidR="004662F9" w:rsidRDefault="004662F9" w:rsidP="00C3693F">
            <w:pPr>
              <w:rPr>
                <w:sz w:val="20"/>
                <w:szCs w:val="20"/>
              </w:rPr>
            </w:pPr>
          </w:p>
          <w:p w:rsidR="004662F9" w:rsidRPr="00347B31" w:rsidRDefault="004662F9" w:rsidP="00C3693F">
            <w:pPr>
              <w:rPr>
                <w:sz w:val="20"/>
                <w:szCs w:val="20"/>
              </w:rPr>
            </w:pPr>
          </w:p>
        </w:tc>
        <w:tc>
          <w:tcPr>
            <w:tcW w:w="4820" w:type="dxa"/>
            <w:tcBorders>
              <w:top w:val="single" w:sz="4" w:space="0" w:color="000000"/>
              <w:left w:val="single" w:sz="4" w:space="0" w:color="000000"/>
              <w:bottom w:val="single" w:sz="4" w:space="0" w:color="000000"/>
            </w:tcBorders>
          </w:tcPr>
          <w:p w:rsidR="004662F9" w:rsidRPr="007A48D8" w:rsidRDefault="004662F9" w:rsidP="00C3693F">
            <w:pPr>
              <w:jc w:val="both"/>
              <w:rPr>
                <w:sz w:val="20"/>
                <w:szCs w:val="20"/>
              </w:rPr>
            </w:pPr>
            <w:r w:rsidRPr="007A48D8">
              <w:rPr>
                <w:sz w:val="20"/>
                <w:szCs w:val="20"/>
              </w:rPr>
              <w:t>Pokiaľ ide o konania stanovené v kapitole III, členské štáty zabezpečia, aby všetci žiadatelia mali tieto záruky:</w:t>
            </w:r>
          </w:p>
          <w:p w:rsidR="004662F9" w:rsidRPr="007A48D8" w:rsidRDefault="004662F9" w:rsidP="00C3693F">
            <w:pPr>
              <w:jc w:val="both"/>
              <w:rPr>
                <w:sz w:val="20"/>
                <w:szCs w:val="20"/>
              </w:rPr>
            </w:pPr>
            <w:r>
              <w:rPr>
                <w:sz w:val="20"/>
                <w:szCs w:val="20"/>
              </w:rPr>
              <w:t xml:space="preserve">a) </w:t>
            </w:r>
            <w:r w:rsidRPr="007A48D8">
              <w:rPr>
                <w:sz w:val="20"/>
                <w:szCs w:val="20"/>
              </w:rPr>
              <w:t xml:space="preserve">sú informovaní v jazyku, ktorému rozumejú alebo o ktorom sa odôvodnene predpokladá, že mu rozumejú, o konaní, ktoré bude nasledovať, o ich právach a povinnostiach počas tohto konania a o možných dôsledkoch neplnenia ich povinností a </w:t>
            </w:r>
            <w:proofErr w:type="spellStart"/>
            <w:r w:rsidRPr="007A48D8">
              <w:rPr>
                <w:sz w:val="20"/>
                <w:szCs w:val="20"/>
              </w:rPr>
              <w:t>nespolupráce</w:t>
            </w:r>
            <w:proofErr w:type="spellEnd"/>
            <w:r w:rsidRPr="007A48D8">
              <w:rPr>
                <w:sz w:val="20"/>
                <w:szCs w:val="20"/>
              </w:rPr>
              <w:t xml:space="preserve"> s orgánmi. Musia byť informovaní o časovom rámci, o prostriedkoch, ktoré majú k dispozícii na splnenie povinnosti predložiť údaje uvedené v článku 4 smernice 2011/95/EÚ, ako aj o dôsledkoch výslovného alebo konkludentného </w:t>
            </w:r>
            <w:proofErr w:type="spellStart"/>
            <w:r w:rsidRPr="007A48D8">
              <w:rPr>
                <w:sz w:val="20"/>
                <w:szCs w:val="20"/>
              </w:rPr>
              <w:t>späťvzatia</w:t>
            </w:r>
            <w:proofErr w:type="spellEnd"/>
            <w:r w:rsidRPr="007A48D8">
              <w:rPr>
                <w:sz w:val="20"/>
                <w:szCs w:val="20"/>
              </w:rPr>
              <w:t xml:space="preserve"> žiadosti. Uvedené informácie sa poskytujú včas, aby si mohli uplatniť práva, ktoré im zaručuje táto smernica, a aby mohli splniť povinnosti opísané v článku 13;</w:t>
            </w:r>
          </w:p>
          <w:p w:rsidR="004662F9" w:rsidRPr="00CA39CB" w:rsidRDefault="004662F9" w:rsidP="00C3693F">
            <w:pPr>
              <w:jc w:val="both"/>
              <w:rPr>
                <w:sz w:val="20"/>
                <w:szCs w:val="20"/>
              </w:rPr>
            </w:pPr>
          </w:p>
        </w:tc>
        <w:tc>
          <w:tcPr>
            <w:tcW w:w="850"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p>
          <w:p w:rsidR="004662F9" w:rsidRPr="00347B31" w:rsidRDefault="004662F9" w:rsidP="00C3693F">
            <w:pPr>
              <w:snapToGrid w:val="0"/>
              <w:jc w:val="center"/>
              <w:rPr>
                <w:sz w:val="20"/>
                <w:szCs w:val="20"/>
              </w:rPr>
            </w:pPr>
            <w:r>
              <w:rPr>
                <w:sz w:val="20"/>
                <w:szCs w:val="20"/>
              </w:rPr>
              <w:t>N</w:t>
            </w:r>
          </w:p>
        </w:tc>
        <w:tc>
          <w:tcPr>
            <w:tcW w:w="851"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 xml:space="preserve">návrh </w:t>
            </w:r>
          </w:p>
          <w:p w:rsidR="004662F9" w:rsidRPr="00347B31" w:rsidRDefault="004662F9" w:rsidP="00C3693F">
            <w:pPr>
              <w:snapToGrid w:val="0"/>
              <w:jc w:val="center"/>
              <w:rPr>
                <w:sz w:val="20"/>
                <w:szCs w:val="20"/>
              </w:rPr>
            </w:pPr>
            <w:r>
              <w:rPr>
                <w:sz w:val="20"/>
                <w:szCs w:val="20"/>
              </w:rPr>
              <w:t>zákona</w:t>
            </w:r>
          </w:p>
        </w:tc>
        <w:tc>
          <w:tcPr>
            <w:tcW w:w="708"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 4</w:t>
            </w:r>
          </w:p>
          <w:p w:rsidR="004662F9" w:rsidRPr="00347B31" w:rsidRDefault="004662F9" w:rsidP="00C3693F">
            <w:pPr>
              <w:snapToGrid w:val="0"/>
              <w:jc w:val="center"/>
              <w:rPr>
                <w:sz w:val="20"/>
                <w:szCs w:val="20"/>
              </w:rPr>
            </w:pPr>
            <w:r>
              <w:rPr>
                <w:sz w:val="20"/>
                <w:szCs w:val="20"/>
              </w:rPr>
              <w:t>O: 2</w:t>
            </w:r>
          </w:p>
        </w:tc>
        <w:tc>
          <w:tcPr>
            <w:tcW w:w="4962" w:type="dxa"/>
            <w:tcBorders>
              <w:top w:val="single" w:sz="4" w:space="0" w:color="000000"/>
              <w:left w:val="single" w:sz="4" w:space="0" w:color="000000"/>
              <w:bottom w:val="single" w:sz="4" w:space="0" w:color="000000"/>
            </w:tcBorders>
          </w:tcPr>
          <w:p w:rsidR="000C6D82" w:rsidRDefault="000C6D82" w:rsidP="00C3693F">
            <w:pPr>
              <w:pStyle w:val="Zarkazkladnhotextu"/>
              <w:snapToGrid w:val="0"/>
              <w:spacing w:after="0" w:line="240" w:lineRule="exact"/>
              <w:jc w:val="both"/>
              <w:rPr>
                <w:b/>
                <w:sz w:val="20"/>
                <w:szCs w:val="20"/>
              </w:rPr>
            </w:pPr>
            <w:r>
              <w:rPr>
                <w:b/>
                <w:sz w:val="20"/>
                <w:szCs w:val="20"/>
              </w:rPr>
              <w:t xml:space="preserve">(2) </w:t>
            </w:r>
            <w:bookmarkStart w:id="0" w:name="_GoBack"/>
            <w:bookmarkEnd w:id="0"/>
            <w:r w:rsidRPr="000C6D82">
              <w:rPr>
                <w:b/>
                <w:sz w:val="20"/>
                <w:szCs w:val="20"/>
              </w:rPr>
              <w:t xml:space="preserve">Poverený zamestnanec ministerstva pred vyplnením dotazníka, najneskôr však do 15 dní od začatia konania, poučí žiadateľa o konaní o udelenie azylu, najmä o jeho právach a povinnostiach, možných dôsledkoch neplnenia alebo porušenia jeho povinností alebo </w:t>
            </w:r>
            <w:proofErr w:type="spellStart"/>
            <w:r w:rsidRPr="000C6D82">
              <w:rPr>
                <w:b/>
                <w:sz w:val="20"/>
                <w:szCs w:val="20"/>
              </w:rPr>
              <w:t>nespolupráce</w:t>
            </w:r>
            <w:proofErr w:type="spellEnd"/>
            <w:r w:rsidRPr="000C6D82">
              <w:rPr>
                <w:b/>
                <w:sz w:val="20"/>
                <w:szCs w:val="20"/>
              </w:rPr>
              <w:t xml:space="preserve"> podľa tohto zákona, dôsledkoch výslovného alebo konkludentného </w:t>
            </w:r>
            <w:proofErr w:type="spellStart"/>
            <w:r w:rsidRPr="000C6D82">
              <w:rPr>
                <w:b/>
                <w:sz w:val="20"/>
                <w:szCs w:val="20"/>
              </w:rPr>
              <w:t>späťvzatia</w:t>
            </w:r>
            <w:proofErr w:type="spellEnd"/>
            <w:r w:rsidRPr="000C6D82">
              <w:rPr>
                <w:b/>
                <w:sz w:val="20"/>
                <w:szCs w:val="20"/>
              </w:rPr>
              <w:t xml:space="preserve"> žiadosti, lehotách podľa tohto zákona, možnosti zastupovania v konaní podľa tohto zákona a o prístupe k právnej pomoci. Ministerstvo poskytne žiadateľovi aj informáciu o mimovládnych organizáciách, ktoré sa zaoberajú starostlivosťou o žiadateľov, azylantov a cudzincov, ktorým sa poskytla doplnková ochrana. Poučenie a informácie podľa tohto odseku sa poskytujú podľa možností písomne a v jazyku, o ktorom sa odôvodnene predpokladá, že mu žiadateľ rozumie; ak ide o maloletého, poučenie a informácie sa poskytnú spôsobom zohľadňujúcim jeho vek a stupeň rozumovej a vôľovej vyspelosti.</w:t>
            </w:r>
          </w:p>
          <w:p w:rsidR="004662F9" w:rsidRPr="00065989" w:rsidRDefault="004662F9" w:rsidP="00C3693F">
            <w:pPr>
              <w:pStyle w:val="Zarkazkladnhotextu"/>
              <w:snapToGrid w:val="0"/>
              <w:spacing w:after="0" w:line="240" w:lineRule="exact"/>
              <w:jc w:val="both"/>
              <w:rPr>
                <w:b/>
                <w:sz w:val="20"/>
                <w:szCs w:val="20"/>
              </w:rPr>
            </w:pPr>
          </w:p>
        </w:tc>
        <w:tc>
          <w:tcPr>
            <w:tcW w:w="708" w:type="dxa"/>
            <w:tcBorders>
              <w:top w:val="single" w:sz="4" w:space="0" w:color="000000"/>
              <w:left w:val="single" w:sz="4" w:space="0" w:color="000000"/>
              <w:bottom w:val="single" w:sz="4" w:space="0" w:color="000000"/>
            </w:tcBorders>
          </w:tcPr>
          <w:p w:rsidR="004662F9" w:rsidRPr="00A13C6F" w:rsidRDefault="004662F9" w:rsidP="00C3693F">
            <w:pPr>
              <w:snapToGrid w:val="0"/>
              <w:jc w:val="center"/>
              <w:rPr>
                <w:sz w:val="20"/>
                <w:szCs w:val="20"/>
              </w:rPr>
            </w:pPr>
            <w:r>
              <w:rPr>
                <w:sz w:val="20"/>
                <w:szCs w:val="20"/>
              </w:rPr>
              <w:t>Ú</w:t>
            </w:r>
          </w:p>
        </w:tc>
        <w:tc>
          <w:tcPr>
            <w:tcW w:w="1134" w:type="dxa"/>
            <w:tcBorders>
              <w:top w:val="single" w:sz="4" w:space="0" w:color="000000"/>
              <w:left w:val="single" w:sz="4" w:space="0" w:color="000000"/>
              <w:bottom w:val="single" w:sz="4" w:space="0" w:color="000000"/>
              <w:right w:val="single" w:sz="4" w:space="0" w:color="000000"/>
            </w:tcBorders>
          </w:tcPr>
          <w:p w:rsidR="004662F9" w:rsidRPr="00347B31" w:rsidRDefault="004662F9" w:rsidP="00C3693F">
            <w:pPr>
              <w:pStyle w:val="Nadpis1"/>
              <w:snapToGrid w:val="0"/>
              <w:jc w:val="both"/>
              <w:rPr>
                <w:b w:val="0"/>
                <w:bCs w:val="0"/>
                <w:sz w:val="20"/>
                <w:szCs w:val="20"/>
              </w:rPr>
            </w:pPr>
          </w:p>
        </w:tc>
      </w:tr>
      <w:tr w:rsidR="004662F9" w:rsidRPr="00347B31" w:rsidTr="00C3693F">
        <w:tc>
          <w:tcPr>
            <w:tcW w:w="780" w:type="dxa"/>
            <w:tcBorders>
              <w:top w:val="single" w:sz="4" w:space="0" w:color="000000"/>
              <w:left w:val="single" w:sz="4" w:space="0" w:color="000000"/>
              <w:bottom w:val="single" w:sz="4" w:space="0" w:color="000000"/>
            </w:tcBorders>
          </w:tcPr>
          <w:p w:rsidR="004662F9" w:rsidRPr="00347B31" w:rsidRDefault="004662F9" w:rsidP="00C3693F">
            <w:pPr>
              <w:snapToGrid w:val="0"/>
              <w:rPr>
                <w:sz w:val="20"/>
                <w:szCs w:val="20"/>
              </w:rPr>
            </w:pPr>
            <w:r w:rsidRPr="00347B31">
              <w:rPr>
                <w:sz w:val="20"/>
                <w:szCs w:val="20"/>
              </w:rPr>
              <w:t xml:space="preserve">Č: </w:t>
            </w:r>
            <w:r>
              <w:rPr>
                <w:sz w:val="20"/>
                <w:szCs w:val="20"/>
              </w:rPr>
              <w:t>12</w:t>
            </w:r>
          </w:p>
          <w:p w:rsidR="004662F9" w:rsidRDefault="004662F9" w:rsidP="00C3693F">
            <w:pPr>
              <w:rPr>
                <w:sz w:val="20"/>
                <w:szCs w:val="20"/>
              </w:rPr>
            </w:pPr>
            <w:r>
              <w:rPr>
                <w:sz w:val="20"/>
                <w:szCs w:val="20"/>
              </w:rPr>
              <w:t>O: 1</w:t>
            </w:r>
          </w:p>
          <w:p w:rsidR="004662F9" w:rsidRDefault="004662F9" w:rsidP="00C3693F">
            <w:pPr>
              <w:rPr>
                <w:sz w:val="20"/>
                <w:szCs w:val="20"/>
              </w:rPr>
            </w:pPr>
            <w:r>
              <w:rPr>
                <w:sz w:val="20"/>
                <w:szCs w:val="20"/>
              </w:rPr>
              <w:t>P: e</w:t>
            </w:r>
          </w:p>
          <w:p w:rsidR="004662F9" w:rsidRPr="00347B31" w:rsidRDefault="004662F9" w:rsidP="00C3693F">
            <w:pPr>
              <w:snapToGrid w:val="0"/>
              <w:rPr>
                <w:sz w:val="20"/>
                <w:szCs w:val="20"/>
              </w:rPr>
            </w:pPr>
          </w:p>
        </w:tc>
        <w:tc>
          <w:tcPr>
            <w:tcW w:w="4820" w:type="dxa"/>
            <w:tcBorders>
              <w:top w:val="single" w:sz="4" w:space="0" w:color="000000"/>
              <w:left w:val="single" w:sz="4" w:space="0" w:color="000000"/>
              <w:bottom w:val="single" w:sz="4" w:space="0" w:color="000000"/>
            </w:tcBorders>
          </w:tcPr>
          <w:p w:rsidR="004662F9" w:rsidRPr="006A6E50" w:rsidRDefault="004662F9" w:rsidP="00C3693F">
            <w:pPr>
              <w:jc w:val="both"/>
              <w:rPr>
                <w:sz w:val="20"/>
                <w:szCs w:val="20"/>
              </w:rPr>
            </w:pPr>
            <w:r w:rsidRPr="006A6E50">
              <w:rPr>
                <w:sz w:val="20"/>
                <w:szCs w:val="20"/>
              </w:rPr>
              <w:t>Pokiaľ ide o konania stanovené v kapitole III, členské štáty zabezpečia, aby všetci žiadatelia mali tieto záruky:</w:t>
            </w:r>
          </w:p>
          <w:p w:rsidR="004662F9" w:rsidRPr="007A48D8" w:rsidRDefault="004662F9" w:rsidP="00C3693F">
            <w:pPr>
              <w:jc w:val="both"/>
              <w:rPr>
                <w:sz w:val="20"/>
                <w:szCs w:val="20"/>
              </w:rPr>
            </w:pPr>
            <w:r>
              <w:rPr>
                <w:sz w:val="20"/>
                <w:szCs w:val="20"/>
              </w:rPr>
              <w:t xml:space="preserve">e) </w:t>
            </w:r>
            <w:r w:rsidRPr="006A6E50">
              <w:rPr>
                <w:sz w:val="20"/>
                <w:szCs w:val="20"/>
              </w:rPr>
              <w:t xml:space="preserve">v primeranom čase je im oznámené rozhodnutie rozhodujúceho orgánu o ich žiadosti. Ak žiadateľa právne zastupuje právny zástupca alebo iný poradca, členský štát sa môže rozhodnúť, že oznámi rozhodnutie tomuto zástupcovi či </w:t>
            </w:r>
            <w:r>
              <w:rPr>
                <w:sz w:val="20"/>
                <w:szCs w:val="20"/>
              </w:rPr>
              <w:t>poradcovi namiesto žiadateľovi;</w:t>
            </w:r>
          </w:p>
        </w:tc>
        <w:tc>
          <w:tcPr>
            <w:tcW w:w="850"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N</w:t>
            </w:r>
          </w:p>
        </w:tc>
        <w:tc>
          <w:tcPr>
            <w:tcW w:w="851"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 xml:space="preserve">návrh </w:t>
            </w:r>
          </w:p>
          <w:p w:rsidR="004662F9" w:rsidRDefault="004662F9" w:rsidP="00C3693F">
            <w:pPr>
              <w:snapToGrid w:val="0"/>
              <w:jc w:val="center"/>
              <w:rPr>
                <w:sz w:val="20"/>
                <w:szCs w:val="20"/>
              </w:rPr>
            </w:pPr>
            <w:r>
              <w:rPr>
                <w:sz w:val="20"/>
                <w:szCs w:val="20"/>
              </w:rPr>
              <w:t>zákona</w:t>
            </w:r>
          </w:p>
        </w:tc>
        <w:tc>
          <w:tcPr>
            <w:tcW w:w="708"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 20a</w:t>
            </w:r>
          </w:p>
          <w:p w:rsidR="004662F9" w:rsidRDefault="004662F9" w:rsidP="00C3693F">
            <w:pPr>
              <w:snapToGrid w:val="0"/>
              <w:jc w:val="center"/>
              <w:rPr>
                <w:sz w:val="20"/>
                <w:szCs w:val="20"/>
              </w:rPr>
            </w:pPr>
            <w:r>
              <w:rPr>
                <w:sz w:val="20"/>
                <w:szCs w:val="20"/>
              </w:rPr>
              <w:t>O: 1</w:t>
            </w:r>
          </w:p>
        </w:tc>
        <w:tc>
          <w:tcPr>
            <w:tcW w:w="4962" w:type="dxa"/>
            <w:tcBorders>
              <w:top w:val="single" w:sz="4" w:space="0" w:color="000000"/>
              <w:left w:val="single" w:sz="4" w:space="0" w:color="000000"/>
              <w:bottom w:val="single" w:sz="4" w:space="0" w:color="000000"/>
            </w:tcBorders>
          </w:tcPr>
          <w:p w:rsidR="004662F9" w:rsidRPr="00161DE1" w:rsidRDefault="004662F9" w:rsidP="00C3693F">
            <w:pPr>
              <w:pStyle w:val="Zarkazkladnhotextu"/>
              <w:snapToGrid w:val="0"/>
              <w:spacing w:line="240" w:lineRule="exact"/>
              <w:jc w:val="both"/>
              <w:rPr>
                <w:b/>
                <w:sz w:val="20"/>
                <w:szCs w:val="20"/>
              </w:rPr>
            </w:pPr>
            <w:r w:rsidRPr="00161DE1">
              <w:rPr>
                <w:b/>
                <w:sz w:val="20"/>
                <w:szCs w:val="20"/>
              </w:rPr>
              <w:t xml:space="preserve">(1) Rozhodnutie v konaní o azyle sa doručuje účastníkovi konania v primeranom čase; miesto a čas doručenia určí ministerstvo. Ak má účastník konania zákonného zástupcu alebo opatrovníka, doručuje sa rozhodnutie len zákonnému zástupcovi alebo opatrovníkovi. Ak má účastník konania, jeho zákonný zástupca alebo opatrovník zástupcu na celé konanie na základe plnomocenstva, doručuje sa rozhodnutie len tomuto </w:t>
            </w:r>
            <w:r w:rsidRPr="00161DE1">
              <w:rPr>
                <w:b/>
                <w:sz w:val="20"/>
                <w:szCs w:val="20"/>
              </w:rPr>
              <w:lastRenderedPageBreak/>
              <w:t>zástupcovi. Ak má účastník konania právo na poskytnutie právnej pomoci podľa osobitného predpisu,</w:t>
            </w:r>
            <w:r w:rsidRPr="00161DE1">
              <w:rPr>
                <w:b/>
                <w:sz w:val="20"/>
                <w:szCs w:val="20"/>
                <w:vertAlign w:val="superscript"/>
              </w:rPr>
              <w:t>8d</w:t>
            </w:r>
            <w:r w:rsidRPr="00161DE1">
              <w:rPr>
                <w:b/>
                <w:sz w:val="20"/>
                <w:szCs w:val="20"/>
              </w:rPr>
              <w:t xml:space="preserve">) doručuje sa rozhodnutie len Centru právnej </w:t>
            </w:r>
            <w:r>
              <w:rPr>
                <w:b/>
                <w:sz w:val="20"/>
                <w:szCs w:val="20"/>
              </w:rPr>
              <w:t>pomoci.</w:t>
            </w:r>
          </w:p>
          <w:p w:rsidR="004662F9" w:rsidRPr="00065989" w:rsidRDefault="004662F9" w:rsidP="00C3693F">
            <w:pPr>
              <w:pStyle w:val="Zarkazkladnhotextu"/>
              <w:snapToGrid w:val="0"/>
              <w:spacing w:after="0" w:line="240" w:lineRule="exact"/>
              <w:jc w:val="both"/>
              <w:rPr>
                <w:b/>
                <w:sz w:val="20"/>
                <w:szCs w:val="20"/>
              </w:rPr>
            </w:pPr>
          </w:p>
        </w:tc>
        <w:tc>
          <w:tcPr>
            <w:tcW w:w="708" w:type="dxa"/>
            <w:tcBorders>
              <w:top w:val="single" w:sz="4" w:space="0" w:color="000000"/>
              <w:left w:val="single" w:sz="4" w:space="0" w:color="000000"/>
              <w:bottom w:val="single" w:sz="4" w:space="0" w:color="000000"/>
            </w:tcBorders>
          </w:tcPr>
          <w:p w:rsidR="004662F9" w:rsidRPr="006A6E50" w:rsidRDefault="004662F9" w:rsidP="00C3693F">
            <w:pPr>
              <w:jc w:val="center"/>
              <w:rPr>
                <w:sz w:val="20"/>
                <w:szCs w:val="20"/>
              </w:rPr>
            </w:pPr>
            <w:r>
              <w:rPr>
                <w:sz w:val="20"/>
                <w:szCs w:val="20"/>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4662F9" w:rsidRPr="00347B31" w:rsidRDefault="004662F9" w:rsidP="00C3693F">
            <w:pPr>
              <w:pStyle w:val="Nadpis1"/>
              <w:snapToGrid w:val="0"/>
              <w:jc w:val="both"/>
              <w:rPr>
                <w:b w:val="0"/>
                <w:bCs w:val="0"/>
                <w:sz w:val="20"/>
                <w:szCs w:val="20"/>
              </w:rPr>
            </w:pPr>
          </w:p>
        </w:tc>
      </w:tr>
      <w:tr w:rsidR="00C5287A" w:rsidRPr="00347B31" w:rsidTr="00C3693F">
        <w:tc>
          <w:tcPr>
            <w:tcW w:w="780" w:type="dxa"/>
            <w:tcBorders>
              <w:top w:val="single" w:sz="4" w:space="0" w:color="000000"/>
              <w:left w:val="single" w:sz="4" w:space="0" w:color="000000"/>
              <w:bottom w:val="single" w:sz="4" w:space="0" w:color="000000"/>
            </w:tcBorders>
          </w:tcPr>
          <w:p w:rsidR="00C5287A" w:rsidRPr="00347B31" w:rsidRDefault="00C5287A" w:rsidP="00C5287A">
            <w:pPr>
              <w:snapToGrid w:val="0"/>
              <w:rPr>
                <w:sz w:val="20"/>
                <w:szCs w:val="20"/>
              </w:rPr>
            </w:pPr>
            <w:r w:rsidRPr="00347B31">
              <w:rPr>
                <w:sz w:val="20"/>
                <w:szCs w:val="20"/>
              </w:rPr>
              <w:lastRenderedPageBreak/>
              <w:t xml:space="preserve">Č: </w:t>
            </w:r>
            <w:r>
              <w:rPr>
                <w:sz w:val="20"/>
                <w:szCs w:val="20"/>
              </w:rPr>
              <w:t>23</w:t>
            </w:r>
          </w:p>
          <w:p w:rsidR="00C5287A" w:rsidRPr="00347B31" w:rsidRDefault="00C5287A" w:rsidP="00C5287A">
            <w:pPr>
              <w:rPr>
                <w:sz w:val="20"/>
                <w:szCs w:val="20"/>
              </w:rPr>
            </w:pPr>
            <w:r>
              <w:rPr>
                <w:sz w:val="20"/>
                <w:szCs w:val="20"/>
              </w:rPr>
              <w:t>O</w:t>
            </w:r>
            <w:r w:rsidRPr="00347B31">
              <w:rPr>
                <w:sz w:val="20"/>
                <w:szCs w:val="20"/>
              </w:rPr>
              <w:t xml:space="preserve">: </w:t>
            </w:r>
            <w:r>
              <w:rPr>
                <w:sz w:val="20"/>
                <w:szCs w:val="20"/>
              </w:rPr>
              <w:t>3</w:t>
            </w:r>
          </w:p>
          <w:p w:rsidR="00C5287A" w:rsidRPr="00347B31" w:rsidRDefault="00C5287A" w:rsidP="00C3693F">
            <w:pPr>
              <w:snapToGrid w:val="0"/>
              <w:rPr>
                <w:sz w:val="20"/>
                <w:szCs w:val="20"/>
              </w:rPr>
            </w:pPr>
          </w:p>
        </w:tc>
        <w:tc>
          <w:tcPr>
            <w:tcW w:w="4820" w:type="dxa"/>
            <w:tcBorders>
              <w:top w:val="single" w:sz="4" w:space="0" w:color="000000"/>
              <w:left w:val="single" w:sz="4" w:space="0" w:color="000000"/>
              <w:bottom w:val="single" w:sz="4" w:space="0" w:color="000000"/>
            </w:tcBorders>
          </w:tcPr>
          <w:p w:rsidR="00C5287A" w:rsidRPr="00C5287A" w:rsidRDefault="00C5287A" w:rsidP="00C5287A">
            <w:pPr>
              <w:jc w:val="both"/>
              <w:rPr>
                <w:sz w:val="20"/>
                <w:szCs w:val="20"/>
              </w:rPr>
            </w:pPr>
            <w:r w:rsidRPr="00C5287A">
              <w:rPr>
                <w:sz w:val="20"/>
                <w:szCs w:val="20"/>
              </w:rPr>
              <w:t>Členské štáty umožnia žiadateľovi, aby si na osobný pohovor prizval právneho zástupcu alebo iného poradcu, ktorý je ako taký prípustný alebo povolený podľa vnútroštátneho práva.</w:t>
            </w:r>
          </w:p>
          <w:p w:rsidR="00C5287A" w:rsidRPr="00C5287A" w:rsidRDefault="00C5287A" w:rsidP="00C5287A">
            <w:pPr>
              <w:jc w:val="both"/>
              <w:rPr>
                <w:sz w:val="20"/>
                <w:szCs w:val="20"/>
              </w:rPr>
            </w:pPr>
          </w:p>
          <w:p w:rsidR="00C5287A" w:rsidRPr="006A6E50" w:rsidRDefault="00C5287A" w:rsidP="00C5287A">
            <w:pPr>
              <w:jc w:val="both"/>
              <w:rPr>
                <w:sz w:val="20"/>
                <w:szCs w:val="20"/>
              </w:rPr>
            </w:pPr>
            <w:r w:rsidRPr="00C5287A">
              <w:rPr>
                <w:sz w:val="20"/>
                <w:szCs w:val="20"/>
              </w:rPr>
              <w:t>Členské štáty môžu stanoviť, že účasť právneho zástupcu alebo iného poradcu je možná až na konci osobného pohovoru.</w:t>
            </w:r>
          </w:p>
        </w:tc>
        <w:tc>
          <w:tcPr>
            <w:tcW w:w="850" w:type="dxa"/>
            <w:tcBorders>
              <w:top w:val="single" w:sz="4" w:space="0" w:color="000000"/>
              <w:left w:val="single" w:sz="4" w:space="0" w:color="000000"/>
              <w:bottom w:val="single" w:sz="4" w:space="0" w:color="000000"/>
            </w:tcBorders>
          </w:tcPr>
          <w:p w:rsidR="00C5287A" w:rsidRDefault="00C5287A" w:rsidP="00C3693F">
            <w:pPr>
              <w:snapToGrid w:val="0"/>
              <w:jc w:val="center"/>
              <w:rPr>
                <w:sz w:val="20"/>
                <w:szCs w:val="20"/>
              </w:rPr>
            </w:pPr>
          </w:p>
        </w:tc>
        <w:tc>
          <w:tcPr>
            <w:tcW w:w="851" w:type="dxa"/>
            <w:tcBorders>
              <w:top w:val="single" w:sz="4" w:space="0" w:color="000000"/>
              <w:left w:val="single" w:sz="4" w:space="0" w:color="000000"/>
              <w:bottom w:val="single" w:sz="4" w:space="0" w:color="000000"/>
            </w:tcBorders>
          </w:tcPr>
          <w:p w:rsidR="007D5B8F" w:rsidRDefault="007D5B8F" w:rsidP="007D5B8F">
            <w:pPr>
              <w:snapToGrid w:val="0"/>
              <w:jc w:val="center"/>
              <w:rPr>
                <w:sz w:val="20"/>
                <w:szCs w:val="20"/>
              </w:rPr>
            </w:pPr>
            <w:r>
              <w:rPr>
                <w:sz w:val="20"/>
                <w:szCs w:val="20"/>
              </w:rPr>
              <w:t xml:space="preserve">návrh </w:t>
            </w:r>
          </w:p>
          <w:p w:rsidR="00C5287A" w:rsidRDefault="007D5B8F" w:rsidP="007D5B8F">
            <w:pPr>
              <w:snapToGrid w:val="0"/>
              <w:jc w:val="center"/>
              <w:rPr>
                <w:sz w:val="20"/>
                <w:szCs w:val="20"/>
              </w:rPr>
            </w:pPr>
            <w:r>
              <w:rPr>
                <w:sz w:val="20"/>
                <w:szCs w:val="20"/>
              </w:rPr>
              <w:t>zákona</w:t>
            </w:r>
          </w:p>
        </w:tc>
        <w:tc>
          <w:tcPr>
            <w:tcW w:w="708" w:type="dxa"/>
            <w:tcBorders>
              <w:top w:val="single" w:sz="4" w:space="0" w:color="000000"/>
              <w:left w:val="single" w:sz="4" w:space="0" w:color="000000"/>
              <w:bottom w:val="single" w:sz="4" w:space="0" w:color="000000"/>
            </w:tcBorders>
          </w:tcPr>
          <w:p w:rsidR="00C5287A" w:rsidRDefault="007D5B8F" w:rsidP="00C3693F">
            <w:pPr>
              <w:snapToGrid w:val="0"/>
              <w:jc w:val="center"/>
              <w:rPr>
                <w:sz w:val="20"/>
                <w:szCs w:val="20"/>
              </w:rPr>
            </w:pPr>
            <w:r>
              <w:rPr>
                <w:sz w:val="20"/>
                <w:szCs w:val="20"/>
              </w:rPr>
              <w:t>§ 6</w:t>
            </w:r>
          </w:p>
          <w:p w:rsidR="007D5B8F" w:rsidRDefault="007D5B8F" w:rsidP="00C3693F">
            <w:pPr>
              <w:snapToGrid w:val="0"/>
              <w:jc w:val="center"/>
              <w:rPr>
                <w:sz w:val="20"/>
                <w:szCs w:val="20"/>
              </w:rPr>
            </w:pPr>
            <w:r>
              <w:rPr>
                <w:sz w:val="20"/>
                <w:szCs w:val="20"/>
              </w:rPr>
              <w:t>O: 7</w:t>
            </w:r>
          </w:p>
        </w:tc>
        <w:tc>
          <w:tcPr>
            <w:tcW w:w="4962" w:type="dxa"/>
            <w:tcBorders>
              <w:top w:val="single" w:sz="4" w:space="0" w:color="000000"/>
              <w:left w:val="single" w:sz="4" w:space="0" w:color="000000"/>
              <w:bottom w:val="single" w:sz="4" w:space="0" w:color="000000"/>
            </w:tcBorders>
          </w:tcPr>
          <w:p w:rsidR="00C5287A" w:rsidRPr="00C5287A" w:rsidRDefault="00C5287A" w:rsidP="00C3693F">
            <w:pPr>
              <w:pStyle w:val="Zarkazkladnhotextu"/>
              <w:snapToGrid w:val="0"/>
              <w:spacing w:line="240" w:lineRule="exact"/>
              <w:jc w:val="both"/>
              <w:rPr>
                <w:sz w:val="20"/>
                <w:szCs w:val="20"/>
              </w:rPr>
            </w:pPr>
            <w:r w:rsidRPr="00C5287A">
              <w:rPr>
                <w:sz w:val="20"/>
                <w:szCs w:val="20"/>
              </w:rPr>
              <w:t>Poverený zamestnanec ministerstva, ktorý vykonáva pohovor, umožní pred jeho skončením zástupcovi žiadateľa vyjadriť sa k</w:t>
            </w:r>
            <w:r>
              <w:rPr>
                <w:sz w:val="20"/>
                <w:szCs w:val="20"/>
              </w:rPr>
              <w:t xml:space="preserve"> </w:t>
            </w:r>
            <w:r w:rsidRPr="00C5287A">
              <w:rPr>
                <w:b/>
                <w:sz w:val="20"/>
                <w:szCs w:val="20"/>
              </w:rPr>
              <w:t>priebehu a obsahu</w:t>
            </w:r>
            <w:r w:rsidRPr="00C5287A">
              <w:rPr>
                <w:sz w:val="20"/>
                <w:szCs w:val="20"/>
              </w:rPr>
              <w:t xml:space="preserve"> pohovoru; ak ide o maloletého bez sprievodu, umožní opatrovníkovi položiť otázky alebo uplatniť pripomienky už počas pohovoru.</w:t>
            </w:r>
          </w:p>
        </w:tc>
        <w:tc>
          <w:tcPr>
            <w:tcW w:w="708" w:type="dxa"/>
            <w:tcBorders>
              <w:top w:val="single" w:sz="4" w:space="0" w:color="000000"/>
              <w:left w:val="single" w:sz="4" w:space="0" w:color="000000"/>
              <w:bottom w:val="single" w:sz="4" w:space="0" w:color="000000"/>
            </w:tcBorders>
          </w:tcPr>
          <w:p w:rsidR="00C5287A" w:rsidRDefault="00C5287A" w:rsidP="00C3693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5287A" w:rsidRPr="00347B31" w:rsidRDefault="00C5287A" w:rsidP="00C3693F">
            <w:pPr>
              <w:pStyle w:val="Nadpis1"/>
              <w:snapToGrid w:val="0"/>
              <w:jc w:val="both"/>
              <w:rPr>
                <w:b w:val="0"/>
                <w:bCs w:val="0"/>
                <w:sz w:val="20"/>
                <w:szCs w:val="20"/>
              </w:rPr>
            </w:pPr>
          </w:p>
        </w:tc>
      </w:tr>
      <w:tr w:rsidR="0031642E" w:rsidRPr="00347B31" w:rsidTr="00C3693F">
        <w:tc>
          <w:tcPr>
            <w:tcW w:w="780" w:type="dxa"/>
            <w:tcBorders>
              <w:top w:val="single" w:sz="4" w:space="0" w:color="000000"/>
              <w:left w:val="single" w:sz="4" w:space="0" w:color="000000"/>
              <w:bottom w:val="single" w:sz="4" w:space="0" w:color="000000"/>
            </w:tcBorders>
          </w:tcPr>
          <w:p w:rsidR="0031642E" w:rsidRPr="00347B31" w:rsidRDefault="0031642E" w:rsidP="0031642E">
            <w:pPr>
              <w:snapToGrid w:val="0"/>
              <w:rPr>
                <w:sz w:val="20"/>
                <w:szCs w:val="20"/>
              </w:rPr>
            </w:pPr>
            <w:r w:rsidRPr="00347B31">
              <w:rPr>
                <w:sz w:val="20"/>
                <w:szCs w:val="20"/>
              </w:rPr>
              <w:t xml:space="preserve">Č: </w:t>
            </w:r>
            <w:r>
              <w:rPr>
                <w:sz w:val="20"/>
                <w:szCs w:val="20"/>
              </w:rPr>
              <w:t>25</w:t>
            </w:r>
          </w:p>
          <w:p w:rsidR="0031642E" w:rsidRPr="00347B31" w:rsidRDefault="0031642E" w:rsidP="0031642E">
            <w:pPr>
              <w:rPr>
                <w:sz w:val="20"/>
                <w:szCs w:val="20"/>
              </w:rPr>
            </w:pPr>
            <w:r>
              <w:rPr>
                <w:sz w:val="20"/>
                <w:szCs w:val="20"/>
              </w:rPr>
              <w:t>O</w:t>
            </w:r>
            <w:r w:rsidRPr="00347B31">
              <w:rPr>
                <w:sz w:val="20"/>
                <w:szCs w:val="20"/>
              </w:rPr>
              <w:t xml:space="preserve">: </w:t>
            </w:r>
            <w:r>
              <w:rPr>
                <w:sz w:val="20"/>
                <w:szCs w:val="20"/>
              </w:rPr>
              <w:t>6</w:t>
            </w:r>
          </w:p>
          <w:p w:rsidR="0031642E" w:rsidRPr="00347B31" w:rsidRDefault="0031642E" w:rsidP="00C3693F">
            <w:pPr>
              <w:snapToGrid w:val="0"/>
              <w:rPr>
                <w:sz w:val="20"/>
                <w:szCs w:val="20"/>
              </w:rPr>
            </w:pPr>
          </w:p>
        </w:tc>
        <w:tc>
          <w:tcPr>
            <w:tcW w:w="4820" w:type="dxa"/>
            <w:tcBorders>
              <w:top w:val="single" w:sz="4" w:space="0" w:color="000000"/>
              <w:left w:val="single" w:sz="4" w:space="0" w:color="000000"/>
              <w:bottom w:val="single" w:sz="4" w:space="0" w:color="000000"/>
            </w:tcBorders>
          </w:tcPr>
          <w:p w:rsidR="0031642E" w:rsidRPr="006A6E50" w:rsidRDefault="0031642E" w:rsidP="00C3693F">
            <w:pPr>
              <w:jc w:val="both"/>
              <w:rPr>
                <w:sz w:val="20"/>
                <w:szCs w:val="20"/>
              </w:rPr>
            </w:pPr>
            <w:r w:rsidRPr="0031642E">
              <w:rPr>
                <w:sz w:val="20"/>
                <w:szCs w:val="20"/>
              </w:rPr>
              <w:t>Pri vykonávaní tejto smernice budú mať členské štáty na zreteli v prvom rade najlepšie záujmy dieťaťa.</w:t>
            </w:r>
          </w:p>
        </w:tc>
        <w:tc>
          <w:tcPr>
            <w:tcW w:w="850" w:type="dxa"/>
            <w:tcBorders>
              <w:top w:val="single" w:sz="4" w:space="0" w:color="000000"/>
              <w:left w:val="single" w:sz="4" w:space="0" w:color="000000"/>
              <w:bottom w:val="single" w:sz="4" w:space="0" w:color="000000"/>
            </w:tcBorders>
          </w:tcPr>
          <w:p w:rsidR="0031642E" w:rsidRDefault="0031642E" w:rsidP="00C3693F">
            <w:pPr>
              <w:snapToGrid w:val="0"/>
              <w:jc w:val="center"/>
              <w:rPr>
                <w:sz w:val="20"/>
                <w:szCs w:val="20"/>
              </w:rPr>
            </w:pPr>
          </w:p>
        </w:tc>
        <w:tc>
          <w:tcPr>
            <w:tcW w:w="851" w:type="dxa"/>
            <w:tcBorders>
              <w:top w:val="single" w:sz="4" w:space="0" w:color="000000"/>
              <w:left w:val="single" w:sz="4" w:space="0" w:color="000000"/>
              <w:bottom w:val="single" w:sz="4" w:space="0" w:color="000000"/>
            </w:tcBorders>
          </w:tcPr>
          <w:p w:rsidR="007D5B8F" w:rsidRDefault="007D5B8F" w:rsidP="007D5B8F">
            <w:pPr>
              <w:snapToGrid w:val="0"/>
              <w:jc w:val="center"/>
              <w:rPr>
                <w:sz w:val="20"/>
                <w:szCs w:val="20"/>
              </w:rPr>
            </w:pPr>
            <w:r>
              <w:rPr>
                <w:sz w:val="20"/>
                <w:szCs w:val="20"/>
              </w:rPr>
              <w:t xml:space="preserve">návrh </w:t>
            </w:r>
          </w:p>
          <w:p w:rsidR="0031642E" w:rsidRDefault="007D5B8F" w:rsidP="007D5B8F">
            <w:pPr>
              <w:snapToGrid w:val="0"/>
              <w:jc w:val="center"/>
              <w:rPr>
                <w:sz w:val="20"/>
                <w:szCs w:val="20"/>
              </w:rPr>
            </w:pPr>
            <w:r>
              <w:rPr>
                <w:sz w:val="20"/>
                <w:szCs w:val="20"/>
              </w:rPr>
              <w:t>zákona</w:t>
            </w:r>
          </w:p>
        </w:tc>
        <w:tc>
          <w:tcPr>
            <w:tcW w:w="708" w:type="dxa"/>
            <w:tcBorders>
              <w:top w:val="single" w:sz="4" w:space="0" w:color="000000"/>
              <w:left w:val="single" w:sz="4" w:space="0" w:color="000000"/>
              <w:bottom w:val="single" w:sz="4" w:space="0" w:color="000000"/>
            </w:tcBorders>
          </w:tcPr>
          <w:p w:rsidR="0031642E" w:rsidRDefault="007D5B8F" w:rsidP="00C3693F">
            <w:pPr>
              <w:snapToGrid w:val="0"/>
              <w:jc w:val="center"/>
              <w:rPr>
                <w:sz w:val="20"/>
                <w:szCs w:val="20"/>
              </w:rPr>
            </w:pPr>
            <w:r>
              <w:rPr>
                <w:sz w:val="20"/>
                <w:szCs w:val="20"/>
              </w:rPr>
              <w:t>§ 2a</w:t>
            </w:r>
          </w:p>
        </w:tc>
        <w:tc>
          <w:tcPr>
            <w:tcW w:w="4962" w:type="dxa"/>
            <w:tcBorders>
              <w:top w:val="single" w:sz="4" w:space="0" w:color="000000"/>
              <w:left w:val="single" w:sz="4" w:space="0" w:color="000000"/>
              <w:bottom w:val="single" w:sz="4" w:space="0" w:color="000000"/>
            </w:tcBorders>
          </w:tcPr>
          <w:p w:rsidR="0031642E" w:rsidRPr="00161DE1" w:rsidRDefault="0031642E" w:rsidP="00C3693F">
            <w:pPr>
              <w:pStyle w:val="Zarkazkladnhotextu"/>
              <w:snapToGrid w:val="0"/>
              <w:spacing w:line="240" w:lineRule="exact"/>
              <w:jc w:val="both"/>
              <w:rPr>
                <w:b/>
                <w:sz w:val="20"/>
                <w:szCs w:val="20"/>
              </w:rPr>
            </w:pPr>
            <w:r w:rsidRPr="0031642E">
              <w:rPr>
                <w:b/>
                <w:sz w:val="20"/>
                <w:szCs w:val="20"/>
              </w:rPr>
              <w:t>Ministerstvo pri uplatňovaní tohto zákona zohľadňuje najlepší záujem maloletého</w:t>
            </w:r>
            <w:r>
              <w:rPr>
                <w:b/>
                <w:sz w:val="20"/>
                <w:szCs w:val="20"/>
              </w:rPr>
              <w:t>.</w:t>
            </w:r>
          </w:p>
        </w:tc>
        <w:tc>
          <w:tcPr>
            <w:tcW w:w="708" w:type="dxa"/>
            <w:tcBorders>
              <w:top w:val="single" w:sz="4" w:space="0" w:color="000000"/>
              <w:left w:val="single" w:sz="4" w:space="0" w:color="000000"/>
              <w:bottom w:val="single" w:sz="4" w:space="0" w:color="000000"/>
            </w:tcBorders>
          </w:tcPr>
          <w:p w:rsidR="0031642E" w:rsidRDefault="0031642E" w:rsidP="00C3693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1642E" w:rsidRPr="00347B31" w:rsidRDefault="0031642E" w:rsidP="00C3693F">
            <w:pPr>
              <w:pStyle w:val="Nadpis1"/>
              <w:snapToGrid w:val="0"/>
              <w:jc w:val="both"/>
              <w:rPr>
                <w:b w:val="0"/>
                <w:bCs w:val="0"/>
                <w:sz w:val="20"/>
                <w:szCs w:val="20"/>
              </w:rPr>
            </w:pPr>
          </w:p>
        </w:tc>
      </w:tr>
      <w:tr w:rsidR="004662F9" w:rsidRPr="00347B31" w:rsidTr="00C3693F">
        <w:tc>
          <w:tcPr>
            <w:tcW w:w="780" w:type="dxa"/>
            <w:tcBorders>
              <w:top w:val="single" w:sz="4" w:space="0" w:color="000000"/>
              <w:left w:val="single" w:sz="4" w:space="0" w:color="000000"/>
              <w:bottom w:val="single" w:sz="4" w:space="0" w:color="000000"/>
            </w:tcBorders>
          </w:tcPr>
          <w:p w:rsidR="004662F9" w:rsidRPr="00347B31" w:rsidRDefault="004662F9" w:rsidP="00C3693F">
            <w:pPr>
              <w:snapToGrid w:val="0"/>
              <w:rPr>
                <w:sz w:val="20"/>
                <w:szCs w:val="20"/>
              </w:rPr>
            </w:pPr>
            <w:r w:rsidRPr="00347B31">
              <w:rPr>
                <w:sz w:val="20"/>
                <w:szCs w:val="20"/>
              </w:rPr>
              <w:t xml:space="preserve">Č: </w:t>
            </w:r>
            <w:r>
              <w:rPr>
                <w:sz w:val="20"/>
                <w:szCs w:val="20"/>
              </w:rPr>
              <w:t>43</w:t>
            </w:r>
          </w:p>
          <w:p w:rsidR="004662F9" w:rsidRPr="00347B31" w:rsidRDefault="004662F9" w:rsidP="00C3693F">
            <w:pPr>
              <w:rPr>
                <w:sz w:val="20"/>
                <w:szCs w:val="20"/>
              </w:rPr>
            </w:pPr>
            <w:r>
              <w:rPr>
                <w:sz w:val="20"/>
                <w:szCs w:val="20"/>
              </w:rPr>
              <w:t>O</w:t>
            </w:r>
            <w:r w:rsidRPr="00347B31">
              <w:rPr>
                <w:sz w:val="20"/>
                <w:szCs w:val="20"/>
              </w:rPr>
              <w:t xml:space="preserve">: </w:t>
            </w:r>
            <w:r>
              <w:rPr>
                <w:sz w:val="20"/>
                <w:szCs w:val="20"/>
              </w:rPr>
              <w:t>2</w:t>
            </w:r>
          </w:p>
          <w:p w:rsidR="004662F9" w:rsidRPr="00347B31" w:rsidRDefault="004662F9" w:rsidP="00C3693F">
            <w:pPr>
              <w:rPr>
                <w:sz w:val="20"/>
                <w:szCs w:val="20"/>
              </w:rPr>
            </w:pPr>
          </w:p>
          <w:p w:rsidR="004662F9" w:rsidRDefault="004662F9" w:rsidP="00C3693F">
            <w:pPr>
              <w:rPr>
                <w:sz w:val="20"/>
                <w:szCs w:val="20"/>
              </w:rPr>
            </w:pPr>
          </w:p>
          <w:p w:rsidR="004662F9" w:rsidRDefault="004662F9" w:rsidP="00C3693F">
            <w:pPr>
              <w:rPr>
                <w:sz w:val="20"/>
                <w:szCs w:val="20"/>
              </w:rPr>
            </w:pPr>
          </w:p>
          <w:p w:rsidR="004662F9" w:rsidRDefault="004662F9" w:rsidP="00C3693F">
            <w:pPr>
              <w:rPr>
                <w:sz w:val="20"/>
                <w:szCs w:val="20"/>
              </w:rPr>
            </w:pPr>
          </w:p>
          <w:p w:rsidR="004662F9" w:rsidRPr="00347B31" w:rsidRDefault="004662F9" w:rsidP="00C3693F">
            <w:pPr>
              <w:rPr>
                <w:sz w:val="20"/>
                <w:szCs w:val="20"/>
              </w:rPr>
            </w:pPr>
          </w:p>
          <w:p w:rsidR="004662F9" w:rsidRPr="00347B31" w:rsidRDefault="004662F9" w:rsidP="00C3693F">
            <w:pPr>
              <w:rPr>
                <w:sz w:val="20"/>
                <w:szCs w:val="20"/>
              </w:rPr>
            </w:pPr>
          </w:p>
        </w:tc>
        <w:tc>
          <w:tcPr>
            <w:tcW w:w="4820" w:type="dxa"/>
            <w:tcBorders>
              <w:top w:val="single" w:sz="4" w:space="0" w:color="000000"/>
              <w:left w:val="single" w:sz="4" w:space="0" w:color="000000"/>
              <w:bottom w:val="single" w:sz="4" w:space="0" w:color="000000"/>
            </w:tcBorders>
          </w:tcPr>
          <w:p w:rsidR="004662F9" w:rsidRPr="00994281" w:rsidRDefault="004662F9" w:rsidP="00C3693F">
            <w:pPr>
              <w:snapToGrid w:val="0"/>
              <w:jc w:val="both"/>
              <w:rPr>
                <w:sz w:val="20"/>
                <w:szCs w:val="20"/>
              </w:rPr>
            </w:pPr>
            <w:r w:rsidRPr="007F616B">
              <w:rPr>
                <w:sz w:val="20"/>
                <w:szCs w:val="20"/>
              </w:rPr>
              <w:t>Členské štáty zabezpečia, aby sa rozhodnutie v rámci konaní uvedených v odseku 1 prijalo v primeranom čase. Ak sa neprijme rozhodnutie do štyroch týždňov, žiadateľovi sa povolí vstup na územie členského štátu s cieľom vybavenia jeho žiadosti podľa ostatných ustanovení tejto smernice.</w:t>
            </w:r>
          </w:p>
        </w:tc>
        <w:tc>
          <w:tcPr>
            <w:tcW w:w="850"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p>
          <w:p w:rsidR="004662F9" w:rsidRPr="00347B31" w:rsidRDefault="004662F9" w:rsidP="00C3693F">
            <w:pPr>
              <w:snapToGrid w:val="0"/>
              <w:jc w:val="center"/>
              <w:rPr>
                <w:sz w:val="20"/>
                <w:szCs w:val="20"/>
              </w:rPr>
            </w:pPr>
            <w:r>
              <w:rPr>
                <w:sz w:val="20"/>
                <w:szCs w:val="20"/>
              </w:rPr>
              <w:t>N</w:t>
            </w:r>
          </w:p>
        </w:tc>
        <w:tc>
          <w:tcPr>
            <w:tcW w:w="851" w:type="dxa"/>
            <w:tcBorders>
              <w:top w:val="single" w:sz="4" w:space="0" w:color="000000"/>
              <w:left w:val="single" w:sz="4" w:space="0" w:color="000000"/>
              <w:bottom w:val="single" w:sz="4" w:space="0" w:color="000000"/>
            </w:tcBorders>
          </w:tcPr>
          <w:p w:rsidR="004662F9" w:rsidRDefault="004662F9" w:rsidP="00C3693F">
            <w:pPr>
              <w:snapToGrid w:val="0"/>
              <w:jc w:val="center"/>
              <w:rPr>
                <w:sz w:val="20"/>
                <w:szCs w:val="20"/>
              </w:rPr>
            </w:pPr>
            <w:r>
              <w:rPr>
                <w:sz w:val="20"/>
                <w:szCs w:val="20"/>
              </w:rPr>
              <w:t>480/2002</w:t>
            </w:r>
          </w:p>
          <w:p w:rsidR="004662F9" w:rsidRDefault="004662F9" w:rsidP="00C3693F">
            <w:pPr>
              <w:snapToGrid w:val="0"/>
              <w:jc w:val="center"/>
              <w:rPr>
                <w:sz w:val="20"/>
                <w:szCs w:val="20"/>
              </w:rPr>
            </w:pPr>
            <w:r>
              <w:rPr>
                <w:sz w:val="20"/>
                <w:szCs w:val="20"/>
              </w:rPr>
              <w:t>Z. z. +</w:t>
            </w:r>
          </w:p>
          <w:p w:rsidR="004662F9" w:rsidRDefault="004662F9" w:rsidP="00C3693F">
            <w:pPr>
              <w:snapToGrid w:val="0"/>
              <w:jc w:val="center"/>
              <w:rPr>
                <w:sz w:val="20"/>
                <w:szCs w:val="20"/>
              </w:rPr>
            </w:pPr>
            <w:r>
              <w:rPr>
                <w:sz w:val="20"/>
                <w:szCs w:val="20"/>
              </w:rPr>
              <w:t xml:space="preserve">návrh </w:t>
            </w:r>
          </w:p>
          <w:p w:rsidR="004662F9" w:rsidRPr="00347B31" w:rsidRDefault="004662F9" w:rsidP="00C3693F">
            <w:pPr>
              <w:snapToGrid w:val="0"/>
              <w:jc w:val="center"/>
              <w:rPr>
                <w:sz w:val="20"/>
                <w:szCs w:val="20"/>
              </w:rPr>
            </w:pPr>
            <w:r>
              <w:rPr>
                <w:sz w:val="20"/>
                <w:szCs w:val="20"/>
              </w:rPr>
              <w:t>zákona</w:t>
            </w:r>
          </w:p>
        </w:tc>
        <w:tc>
          <w:tcPr>
            <w:tcW w:w="708" w:type="dxa"/>
            <w:tcBorders>
              <w:top w:val="single" w:sz="4" w:space="0" w:color="000000"/>
              <w:left w:val="single" w:sz="4" w:space="0" w:color="000000"/>
              <w:bottom w:val="single" w:sz="4" w:space="0" w:color="000000"/>
            </w:tcBorders>
          </w:tcPr>
          <w:p w:rsidR="004662F9" w:rsidRPr="00347B31" w:rsidRDefault="004662F9" w:rsidP="00C3693F">
            <w:pPr>
              <w:pStyle w:val="Normlny0"/>
              <w:jc w:val="center"/>
            </w:pPr>
            <w:r w:rsidRPr="00347B31">
              <w:t>§</w:t>
            </w:r>
            <w:r>
              <w:t xml:space="preserve"> 4</w:t>
            </w:r>
            <w:r w:rsidRPr="00347B31">
              <w:t xml:space="preserve"> </w:t>
            </w:r>
          </w:p>
          <w:p w:rsidR="004662F9" w:rsidRDefault="004662F9" w:rsidP="00C3693F">
            <w:pPr>
              <w:pStyle w:val="Normlny0"/>
              <w:snapToGrid w:val="0"/>
              <w:jc w:val="center"/>
            </w:pPr>
            <w:r>
              <w:t>O</w:t>
            </w:r>
            <w:r w:rsidRPr="00347B31">
              <w:t xml:space="preserve">: </w:t>
            </w:r>
            <w:r>
              <w:t>3</w:t>
            </w:r>
          </w:p>
          <w:p w:rsidR="004662F9" w:rsidRDefault="004662F9" w:rsidP="00C3693F">
            <w:pPr>
              <w:pStyle w:val="Normlny0"/>
              <w:snapToGrid w:val="0"/>
              <w:jc w:val="center"/>
            </w:pPr>
          </w:p>
          <w:p w:rsidR="004662F9" w:rsidRDefault="004662F9" w:rsidP="00C3693F">
            <w:pPr>
              <w:pStyle w:val="Normlny0"/>
              <w:snapToGrid w:val="0"/>
              <w:jc w:val="center"/>
            </w:pPr>
          </w:p>
          <w:p w:rsidR="004662F9" w:rsidRDefault="004662F9" w:rsidP="00C3693F">
            <w:pPr>
              <w:pStyle w:val="Normlny0"/>
              <w:snapToGrid w:val="0"/>
              <w:jc w:val="center"/>
            </w:pPr>
          </w:p>
          <w:p w:rsidR="004662F9" w:rsidRDefault="004662F9" w:rsidP="00C3693F">
            <w:pPr>
              <w:pStyle w:val="Normlny0"/>
              <w:snapToGrid w:val="0"/>
              <w:jc w:val="center"/>
            </w:pPr>
          </w:p>
          <w:p w:rsidR="004662F9" w:rsidRPr="00347B31" w:rsidRDefault="004662F9" w:rsidP="00C3693F">
            <w:pPr>
              <w:pStyle w:val="Normlny0"/>
              <w:snapToGrid w:val="0"/>
              <w:jc w:val="center"/>
            </w:pPr>
            <w:r>
              <w:t>P: a</w:t>
            </w:r>
          </w:p>
        </w:tc>
        <w:tc>
          <w:tcPr>
            <w:tcW w:w="4962" w:type="dxa"/>
            <w:tcBorders>
              <w:top w:val="single" w:sz="4" w:space="0" w:color="000000"/>
              <w:left w:val="single" w:sz="4" w:space="0" w:color="000000"/>
              <w:bottom w:val="single" w:sz="4" w:space="0" w:color="000000"/>
            </w:tcBorders>
          </w:tcPr>
          <w:p w:rsidR="004662F9" w:rsidRDefault="004662F9" w:rsidP="00C3693F">
            <w:pPr>
              <w:pStyle w:val="Textpoznmkypodiarou"/>
              <w:snapToGrid w:val="0"/>
              <w:jc w:val="both"/>
              <w:rPr>
                <w:bCs/>
              </w:rPr>
            </w:pPr>
            <w:r>
              <w:rPr>
                <w:bCs/>
              </w:rPr>
              <w:t xml:space="preserve">(3) </w:t>
            </w:r>
            <w:r w:rsidRPr="006A6E50">
              <w:rPr>
                <w:bCs/>
              </w:rPr>
              <w:t xml:space="preserve">Ministerstvo môže z humanitných dôvodov skončiť umiestnenie žiadateľa podľa </w:t>
            </w:r>
            <w:r w:rsidRPr="00AA2DCB">
              <w:rPr>
                <w:bCs/>
              </w:rPr>
              <w:t>§ 3 ods. 2 písm. c)</w:t>
            </w:r>
            <w:r w:rsidRPr="006A6E50">
              <w:rPr>
                <w:bCs/>
              </w:rPr>
              <w:t xml:space="preserve"> v prijímacom centre a umiestni žiadateľa do záchytného tábora. Ministerstvo skončí umiestnenie žiadateľa podľa </w:t>
            </w:r>
            <w:r w:rsidRPr="00AA2DCB">
              <w:rPr>
                <w:bCs/>
              </w:rPr>
              <w:t>§ 3 ods. 2 písm. c)</w:t>
            </w:r>
            <w:r w:rsidRPr="006A6E50">
              <w:rPr>
                <w:bCs/>
              </w:rPr>
              <w:t xml:space="preserve"> v prijímacom centre a umiestni ho do záchytného tábora, </w:t>
            </w:r>
            <w:r>
              <w:rPr>
                <w:bCs/>
              </w:rPr>
              <w:t>ak</w:t>
            </w:r>
          </w:p>
          <w:p w:rsidR="004662F9" w:rsidRPr="006A6E50" w:rsidRDefault="004662F9" w:rsidP="00C3693F">
            <w:pPr>
              <w:pStyle w:val="Textpoznmkypodiarou"/>
              <w:snapToGrid w:val="0"/>
              <w:jc w:val="both"/>
              <w:rPr>
                <w:bCs/>
              </w:rPr>
            </w:pPr>
            <w:r>
              <w:rPr>
                <w:bCs/>
              </w:rPr>
              <w:t xml:space="preserve">a) </w:t>
            </w:r>
            <w:r w:rsidRPr="006A6E50">
              <w:rPr>
                <w:bCs/>
              </w:rPr>
              <w:t xml:space="preserve">nerozhodne o jeho žiadosti o udelenie azylu </w:t>
            </w:r>
            <w:r w:rsidRPr="00065989">
              <w:rPr>
                <w:b/>
                <w:bCs/>
              </w:rPr>
              <w:t>do 28 dní od začatia konania</w:t>
            </w:r>
            <w:r w:rsidRPr="006A6E50">
              <w:rPr>
                <w:bCs/>
              </w:rPr>
              <w:t xml:space="preserve"> alebo</w:t>
            </w:r>
          </w:p>
        </w:tc>
        <w:tc>
          <w:tcPr>
            <w:tcW w:w="708" w:type="dxa"/>
            <w:tcBorders>
              <w:top w:val="single" w:sz="4" w:space="0" w:color="000000"/>
              <w:left w:val="single" w:sz="4" w:space="0" w:color="000000"/>
              <w:bottom w:val="single" w:sz="4" w:space="0" w:color="000000"/>
            </w:tcBorders>
          </w:tcPr>
          <w:p w:rsidR="004662F9" w:rsidRPr="00A13C6F" w:rsidRDefault="004662F9" w:rsidP="00C3693F">
            <w:pPr>
              <w:snapToGrid w:val="0"/>
              <w:jc w:val="center"/>
              <w:rPr>
                <w:sz w:val="20"/>
                <w:szCs w:val="20"/>
              </w:rPr>
            </w:pPr>
            <w:r w:rsidRPr="00A13C6F">
              <w:rPr>
                <w:sz w:val="20"/>
                <w:szCs w:val="20"/>
              </w:rPr>
              <w:t>Ú</w:t>
            </w:r>
          </w:p>
        </w:tc>
        <w:tc>
          <w:tcPr>
            <w:tcW w:w="1134" w:type="dxa"/>
            <w:tcBorders>
              <w:top w:val="single" w:sz="4" w:space="0" w:color="000000"/>
              <w:left w:val="single" w:sz="4" w:space="0" w:color="000000"/>
              <w:bottom w:val="single" w:sz="4" w:space="0" w:color="000000"/>
              <w:right w:val="single" w:sz="4" w:space="0" w:color="000000"/>
            </w:tcBorders>
          </w:tcPr>
          <w:p w:rsidR="004662F9" w:rsidRPr="00347B31" w:rsidRDefault="004662F9" w:rsidP="00C3693F">
            <w:pPr>
              <w:pStyle w:val="Nadpis1"/>
              <w:snapToGrid w:val="0"/>
              <w:jc w:val="both"/>
              <w:rPr>
                <w:b w:val="0"/>
                <w:bCs w:val="0"/>
                <w:sz w:val="20"/>
                <w:szCs w:val="20"/>
              </w:rPr>
            </w:pPr>
          </w:p>
        </w:tc>
      </w:tr>
    </w:tbl>
    <w:p w:rsidR="004662F9" w:rsidRPr="00347B31" w:rsidRDefault="004662F9" w:rsidP="004662F9">
      <w:pPr>
        <w:pStyle w:val="Pta"/>
        <w:tabs>
          <w:tab w:val="clear" w:pos="4536"/>
          <w:tab w:val="clear" w:pos="9072"/>
        </w:tabs>
        <w:jc w:val="right"/>
        <w:rPr>
          <w:rFonts w:ascii="Times New Roman" w:hAnsi="Times New Roman" w:cs="Times New Roman"/>
          <w:b/>
          <w:bCs/>
          <w:sz w:val="20"/>
          <w:szCs w:val="20"/>
        </w:rPr>
      </w:pPr>
    </w:p>
    <w:p w:rsidR="004662F9" w:rsidRPr="00347B31" w:rsidRDefault="004662F9" w:rsidP="004662F9">
      <w:pPr>
        <w:autoSpaceDE/>
        <w:jc w:val="both"/>
        <w:rPr>
          <w:sz w:val="20"/>
          <w:szCs w:val="20"/>
        </w:rPr>
      </w:pPr>
      <w:r w:rsidRPr="00347B31">
        <w:rPr>
          <w:sz w:val="20"/>
          <w:szCs w:val="20"/>
        </w:rPr>
        <w:t>LEGENDA:</w:t>
      </w:r>
    </w:p>
    <w:tbl>
      <w:tblPr>
        <w:tblW w:w="0" w:type="auto"/>
        <w:tblLayout w:type="fixed"/>
        <w:tblCellMar>
          <w:left w:w="70" w:type="dxa"/>
          <w:right w:w="70" w:type="dxa"/>
        </w:tblCellMar>
        <w:tblLook w:val="0000" w:firstRow="0" w:lastRow="0" w:firstColumn="0" w:lastColumn="0" w:noHBand="0" w:noVBand="0"/>
      </w:tblPr>
      <w:tblGrid>
        <w:gridCol w:w="2166"/>
        <w:gridCol w:w="3723"/>
        <w:gridCol w:w="2167"/>
        <w:gridCol w:w="6088"/>
      </w:tblGrid>
      <w:tr w:rsidR="004662F9" w:rsidRPr="00347B31" w:rsidTr="00C3693F">
        <w:tc>
          <w:tcPr>
            <w:tcW w:w="2166" w:type="dxa"/>
          </w:tcPr>
          <w:p w:rsidR="004662F9" w:rsidRDefault="004662F9" w:rsidP="00C3693F">
            <w:pPr>
              <w:pStyle w:val="Normlny0"/>
              <w:autoSpaceDE/>
              <w:snapToGrid w:val="0"/>
              <w:spacing w:after="60"/>
              <w:jc w:val="both"/>
            </w:pPr>
          </w:p>
          <w:p w:rsidR="004662F9" w:rsidRPr="00347B31" w:rsidRDefault="004662F9" w:rsidP="00C3693F">
            <w:pPr>
              <w:pStyle w:val="Normlny0"/>
              <w:autoSpaceDE/>
              <w:snapToGrid w:val="0"/>
              <w:spacing w:after="60"/>
              <w:jc w:val="both"/>
            </w:pPr>
            <w:r w:rsidRPr="00347B31">
              <w:t>V stĺpci (1):</w:t>
            </w:r>
          </w:p>
          <w:p w:rsidR="004662F9" w:rsidRPr="00347B31" w:rsidRDefault="004662F9" w:rsidP="00C3693F">
            <w:pPr>
              <w:autoSpaceDE/>
              <w:jc w:val="both"/>
              <w:rPr>
                <w:sz w:val="20"/>
                <w:szCs w:val="20"/>
              </w:rPr>
            </w:pPr>
            <w:r w:rsidRPr="00347B31">
              <w:rPr>
                <w:sz w:val="20"/>
                <w:szCs w:val="20"/>
              </w:rPr>
              <w:t>Č – článok</w:t>
            </w:r>
          </w:p>
          <w:p w:rsidR="004662F9" w:rsidRPr="00347B31" w:rsidRDefault="004662F9" w:rsidP="00C3693F">
            <w:pPr>
              <w:autoSpaceDE/>
              <w:jc w:val="both"/>
              <w:rPr>
                <w:sz w:val="20"/>
                <w:szCs w:val="20"/>
              </w:rPr>
            </w:pPr>
            <w:r w:rsidRPr="00347B31">
              <w:rPr>
                <w:sz w:val="20"/>
                <w:szCs w:val="20"/>
              </w:rPr>
              <w:t>O – odsek</w:t>
            </w:r>
          </w:p>
          <w:p w:rsidR="004662F9" w:rsidRPr="00347B31" w:rsidRDefault="004662F9" w:rsidP="00C3693F">
            <w:pPr>
              <w:autoSpaceDE/>
              <w:jc w:val="both"/>
              <w:rPr>
                <w:sz w:val="20"/>
                <w:szCs w:val="20"/>
              </w:rPr>
            </w:pPr>
            <w:r w:rsidRPr="00347B31">
              <w:rPr>
                <w:sz w:val="20"/>
                <w:szCs w:val="20"/>
              </w:rPr>
              <w:t>V – veta</w:t>
            </w:r>
          </w:p>
          <w:p w:rsidR="004662F9" w:rsidRPr="00347B31" w:rsidRDefault="004662F9" w:rsidP="00C3693F">
            <w:pPr>
              <w:autoSpaceDE/>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p w:rsidR="004662F9" w:rsidRPr="00347B31" w:rsidRDefault="004662F9" w:rsidP="00C3693F">
            <w:pPr>
              <w:autoSpaceDE/>
              <w:jc w:val="both"/>
              <w:rPr>
                <w:sz w:val="20"/>
                <w:szCs w:val="20"/>
              </w:rPr>
            </w:pPr>
          </w:p>
        </w:tc>
        <w:tc>
          <w:tcPr>
            <w:tcW w:w="3723" w:type="dxa"/>
          </w:tcPr>
          <w:p w:rsidR="004662F9" w:rsidRDefault="004662F9" w:rsidP="00C3693F">
            <w:pPr>
              <w:pStyle w:val="Normlny0"/>
              <w:autoSpaceDE/>
              <w:snapToGrid w:val="0"/>
              <w:spacing w:after="60"/>
              <w:jc w:val="both"/>
            </w:pPr>
          </w:p>
          <w:p w:rsidR="004662F9" w:rsidRPr="00347B31" w:rsidRDefault="004662F9" w:rsidP="00C3693F">
            <w:pPr>
              <w:pStyle w:val="Normlny0"/>
              <w:autoSpaceDE/>
              <w:snapToGrid w:val="0"/>
              <w:spacing w:after="60"/>
              <w:jc w:val="both"/>
            </w:pPr>
            <w:r w:rsidRPr="00347B31">
              <w:t>V stĺpci (3):</w:t>
            </w:r>
          </w:p>
          <w:p w:rsidR="004662F9" w:rsidRPr="00347B31" w:rsidRDefault="004662F9" w:rsidP="00C3693F">
            <w:pPr>
              <w:autoSpaceDE/>
              <w:jc w:val="both"/>
              <w:rPr>
                <w:sz w:val="20"/>
                <w:szCs w:val="20"/>
              </w:rPr>
            </w:pPr>
            <w:r w:rsidRPr="00347B31">
              <w:rPr>
                <w:sz w:val="20"/>
                <w:szCs w:val="20"/>
              </w:rPr>
              <w:t>N – bežná transpozícia</w:t>
            </w:r>
          </w:p>
          <w:p w:rsidR="004662F9" w:rsidRPr="00347B31" w:rsidRDefault="004662F9" w:rsidP="00C3693F">
            <w:pPr>
              <w:autoSpaceDE/>
              <w:jc w:val="both"/>
              <w:rPr>
                <w:sz w:val="20"/>
                <w:szCs w:val="20"/>
              </w:rPr>
            </w:pPr>
            <w:r w:rsidRPr="00347B31">
              <w:rPr>
                <w:sz w:val="20"/>
                <w:szCs w:val="20"/>
              </w:rPr>
              <w:t>O – transpozícia s možnosťou voľby</w:t>
            </w:r>
          </w:p>
          <w:p w:rsidR="004662F9" w:rsidRPr="00347B31" w:rsidRDefault="004662F9" w:rsidP="00C3693F">
            <w:pPr>
              <w:autoSpaceDE/>
              <w:jc w:val="both"/>
              <w:rPr>
                <w:sz w:val="20"/>
                <w:szCs w:val="20"/>
              </w:rPr>
            </w:pPr>
            <w:r w:rsidRPr="00347B31">
              <w:rPr>
                <w:sz w:val="20"/>
                <w:szCs w:val="20"/>
              </w:rPr>
              <w:t>D – transpozícia podľa úvahy (dobrovoľná)</w:t>
            </w:r>
          </w:p>
          <w:p w:rsidR="004662F9" w:rsidRPr="00347B31" w:rsidRDefault="004662F9" w:rsidP="00C3693F">
            <w:pPr>
              <w:autoSpaceDE/>
              <w:jc w:val="both"/>
              <w:rPr>
                <w:sz w:val="20"/>
                <w:szCs w:val="20"/>
              </w:rPr>
            </w:pPr>
            <w:proofErr w:type="spellStart"/>
            <w:r w:rsidRPr="00347B31">
              <w:rPr>
                <w:sz w:val="20"/>
                <w:szCs w:val="20"/>
              </w:rPr>
              <w:t>n.a</w:t>
            </w:r>
            <w:proofErr w:type="spellEnd"/>
            <w:r w:rsidRPr="00347B31">
              <w:rPr>
                <w:sz w:val="20"/>
                <w:szCs w:val="20"/>
              </w:rPr>
              <w:t>. – transpozícia sa neuskutočňuje</w:t>
            </w:r>
          </w:p>
        </w:tc>
        <w:tc>
          <w:tcPr>
            <w:tcW w:w="2167" w:type="dxa"/>
          </w:tcPr>
          <w:p w:rsidR="004662F9" w:rsidRDefault="004662F9" w:rsidP="00C3693F">
            <w:pPr>
              <w:pStyle w:val="Normlny0"/>
              <w:autoSpaceDE/>
              <w:snapToGrid w:val="0"/>
              <w:spacing w:after="60"/>
              <w:jc w:val="both"/>
            </w:pPr>
          </w:p>
          <w:p w:rsidR="004662F9" w:rsidRPr="00347B31" w:rsidRDefault="004662F9" w:rsidP="00C3693F">
            <w:pPr>
              <w:pStyle w:val="Normlny0"/>
              <w:autoSpaceDE/>
              <w:snapToGrid w:val="0"/>
              <w:spacing w:after="60"/>
              <w:ind w:left="207"/>
              <w:jc w:val="both"/>
            </w:pPr>
            <w:r w:rsidRPr="00347B31">
              <w:t>V stĺpci (5):</w:t>
            </w:r>
          </w:p>
          <w:p w:rsidR="004662F9" w:rsidRPr="00347B31" w:rsidRDefault="004662F9" w:rsidP="00C3693F">
            <w:pPr>
              <w:autoSpaceDE/>
              <w:ind w:left="207"/>
              <w:jc w:val="both"/>
              <w:rPr>
                <w:sz w:val="20"/>
                <w:szCs w:val="20"/>
              </w:rPr>
            </w:pPr>
            <w:r w:rsidRPr="00347B31">
              <w:rPr>
                <w:sz w:val="20"/>
                <w:szCs w:val="20"/>
              </w:rPr>
              <w:t>Č – článok</w:t>
            </w:r>
          </w:p>
          <w:p w:rsidR="004662F9" w:rsidRPr="00347B31" w:rsidRDefault="004662F9" w:rsidP="00C3693F">
            <w:pPr>
              <w:autoSpaceDE/>
              <w:ind w:left="207"/>
              <w:jc w:val="both"/>
              <w:rPr>
                <w:sz w:val="20"/>
                <w:szCs w:val="20"/>
              </w:rPr>
            </w:pPr>
            <w:r w:rsidRPr="00347B31">
              <w:rPr>
                <w:sz w:val="20"/>
                <w:szCs w:val="20"/>
              </w:rPr>
              <w:t>§ – paragraf</w:t>
            </w:r>
          </w:p>
          <w:p w:rsidR="004662F9" w:rsidRPr="00347B31" w:rsidRDefault="004662F9" w:rsidP="00C3693F">
            <w:pPr>
              <w:autoSpaceDE/>
              <w:ind w:left="207"/>
              <w:jc w:val="both"/>
              <w:rPr>
                <w:sz w:val="20"/>
                <w:szCs w:val="20"/>
              </w:rPr>
            </w:pPr>
            <w:r w:rsidRPr="00347B31">
              <w:rPr>
                <w:sz w:val="20"/>
                <w:szCs w:val="20"/>
              </w:rPr>
              <w:t>O – odsek</w:t>
            </w:r>
          </w:p>
          <w:p w:rsidR="004662F9" w:rsidRPr="00347B31" w:rsidRDefault="004662F9" w:rsidP="00C3693F">
            <w:pPr>
              <w:autoSpaceDE/>
              <w:ind w:left="207"/>
              <w:jc w:val="both"/>
              <w:rPr>
                <w:sz w:val="20"/>
                <w:szCs w:val="20"/>
              </w:rPr>
            </w:pPr>
            <w:r w:rsidRPr="00347B31">
              <w:rPr>
                <w:sz w:val="20"/>
                <w:szCs w:val="20"/>
              </w:rPr>
              <w:t>V – veta</w:t>
            </w:r>
          </w:p>
          <w:p w:rsidR="004662F9" w:rsidRPr="00347B31" w:rsidRDefault="004662F9" w:rsidP="00C3693F">
            <w:pPr>
              <w:autoSpaceDE/>
              <w:ind w:left="207"/>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tc>
        <w:tc>
          <w:tcPr>
            <w:tcW w:w="6088" w:type="dxa"/>
          </w:tcPr>
          <w:p w:rsidR="004662F9" w:rsidRDefault="004662F9" w:rsidP="00C3693F">
            <w:pPr>
              <w:pStyle w:val="Normlny0"/>
              <w:autoSpaceDE/>
              <w:snapToGrid w:val="0"/>
              <w:spacing w:after="60"/>
              <w:jc w:val="both"/>
            </w:pPr>
          </w:p>
          <w:p w:rsidR="004662F9" w:rsidRPr="00347B31" w:rsidRDefault="004662F9" w:rsidP="00C3693F">
            <w:pPr>
              <w:pStyle w:val="Normlny0"/>
              <w:autoSpaceDE/>
              <w:snapToGrid w:val="0"/>
              <w:spacing w:after="60"/>
              <w:ind w:left="166"/>
              <w:jc w:val="both"/>
            </w:pPr>
            <w:r w:rsidRPr="00347B31">
              <w:t>V stĺpci (7):</w:t>
            </w:r>
          </w:p>
          <w:p w:rsidR="004662F9" w:rsidRPr="00347B31" w:rsidRDefault="004662F9" w:rsidP="00C3693F">
            <w:pPr>
              <w:autoSpaceDE/>
              <w:ind w:left="166"/>
              <w:jc w:val="both"/>
              <w:rPr>
                <w:sz w:val="20"/>
                <w:szCs w:val="20"/>
              </w:rPr>
            </w:pPr>
            <w:r w:rsidRPr="00347B31">
              <w:rPr>
                <w:sz w:val="20"/>
                <w:szCs w:val="20"/>
              </w:rPr>
              <w:t>Ú – úplná zhoda</w:t>
            </w:r>
          </w:p>
          <w:p w:rsidR="004662F9" w:rsidRPr="00347B31" w:rsidRDefault="004662F9" w:rsidP="00C3693F">
            <w:pPr>
              <w:autoSpaceDE/>
              <w:ind w:left="166"/>
              <w:jc w:val="both"/>
              <w:rPr>
                <w:sz w:val="20"/>
                <w:szCs w:val="20"/>
              </w:rPr>
            </w:pPr>
            <w:r w:rsidRPr="00347B31">
              <w:rPr>
                <w:sz w:val="20"/>
                <w:szCs w:val="20"/>
              </w:rPr>
              <w:t>Č – čiastočná zhoda</w:t>
            </w:r>
          </w:p>
          <w:p w:rsidR="004662F9" w:rsidRPr="00347B31" w:rsidRDefault="004662F9" w:rsidP="00C3693F">
            <w:pPr>
              <w:autoSpaceDE/>
              <w:ind w:left="166"/>
              <w:jc w:val="both"/>
              <w:rPr>
                <w:sz w:val="20"/>
                <w:szCs w:val="20"/>
              </w:rPr>
            </w:pPr>
            <w:r>
              <w:rPr>
                <w:sz w:val="20"/>
                <w:szCs w:val="20"/>
              </w:rPr>
              <w:t xml:space="preserve">Ž </w:t>
            </w:r>
            <w:r w:rsidRPr="00347B31">
              <w:rPr>
                <w:sz w:val="20"/>
                <w:szCs w:val="20"/>
              </w:rPr>
              <w:t xml:space="preserve">– </w:t>
            </w:r>
            <w:r>
              <w:rPr>
                <w:sz w:val="20"/>
                <w:szCs w:val="20"/>
              </w:rPr>
              <w:t>žiadna zhoda</w:t>
            </w:r>
          </w:p>
          <w:p w:rsidR="004662F9" w:rsidRPr="00347B31" w:rsidRDefault="004662F9" w:rsidP="00C3693F">
            <w:pPr>
              <w:autoSpaceDE/>
              <w:ind w:left="166"/>
              <w:jc w:val="both"/>
              <w:rPr>
                <w:sz w:val="20"/>
                <w:szCs w:val="20"/>
              </w:rPr>
            </w:pPr>
            <w:proofErr w:type="spellStart"/>
            <w:r>
              <w:rPr>
                <w:sz w:val="20"/>
                <w:szCs w:val="20"/>
              </w:rPr>
              <w:t>n.a</w:t>
            </w:r>
            <w:proofErr w:type="spellEnd"/>
            <w:r>
              <w:rPr>
                <w:sz w:val="20"/>
                <w:szCs w:val="20"/>
              </w:rPr>
              <w:t>. – neaplikovateľnosť</w:t>
            </w:r>
          </w:p>
        </w:tc>
      </w:tr>
    </w:tbl>
    <w:p w:rsidR="004662F9" w:rsidRPr="00347B31" w:rsidRDefault="004662F9" w:rsidP="004662F9">
      <w:pPr>
        <w:jc w:val="both"/>
        <w:rPr>
          <w:sz w:val="20"/>
          <w:szCs w:val="20"/>
        </w:rPr>
      </w:pPr>
    </w:p>
    <w:p w:rsidR="009A70F9" w:rsidRDefault="009A70F9"/>
    <w:sectPr w:rsidR="009A70F9" w:rsidSect="008776B4">
      <w:footerReference w:type="default" r:id="rId7"/>
      <w:pgSz w:w="16838" w:h="11906" w:orient="landscape"/>
      <w:pgMar w:top="1135" w:right="1418" w:bottom="851" w:left="1418"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82" w:rsidRDefault="00B83D82">
      <w:r>
        <w:separator/>
      </w:r>
    </w:p>
  </w:endnote>
  <w:endnote w:type="continuationSeparator" w:id="0">
    <w:p w:rsidR="00B83D82" w:rsidRDefault="00B8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13" w:rsidRDefault="004662F9" w:rsidP="008776B4">
    <w:pPr>
      <w:pStyle w:val="Pta"/>
      <w:jc w:val="center"/>
    </w:pPr>
    <w:r>
      <w:fldChar w:fldCharType="begin"/>
    </w:r>
    <w:r>
      <w:instrText xml:space="preserve"> PAGE </w:instrText>
    </w:r>
    <w:r>
      <w:fldChar w:fldCharType="separate"/>
    </w:r>
    <w:r w:rsidR="000C6D82">
      <w:rPr>
        <w:noProof/>
      </w:rPr>
      <w:t>2</w:t>
    </w:r>
    <w:r>
      <w:fldChar w:fldCharType="end"/>
    </w:r>
  </w:p>
  <w:p w:rsidR="001F7C13" w:rsidRDefault="00B83D8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82" w:rsidRDefault="00B83D82">
      <w:r>
        <w:separator/>
      </w:r>
    </w:p>
  </w:footnote>
  <w:footnote w:type="continuationSeparator" w:id="0">
    <w:p w:rsidR="00B83D82" w:rsidRDefault="00B83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5E7C0BAF"/>
    <w:multiLevelType w:val="hybridMultilevel"/>
    <w:tmpl w:val="C3286D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F9"/>
    <w:rsid w:val="000C6D82"/>
    <w:rsid w:val="0031642E"/>
    <w:rsid w:val="0033159B"/>
    <w:rsid w:val="004662F9"/>
    <w:rsid w:val="00560D30"/>
    <w:rsid w:val="00592DD1"/>
    <w:rsid w:val="007D5B8F"/>
    <w:rsid w:val="009A70F9"/>
    <w:rsid w:val="00AA2DCB"/>
    <w:rsid w:val="00B83D82"/>
    <w:rsid w:val="00C528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FE04"/>
  <w15:chartTrackingRefBased/>
  <w15:docId w15:val="{57F8C78C-91C3-451C-A1F7-9C42FD78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2F9"/>
    <w:pPr>
      <w:suppressAutoHyphens/>
      <w:autoSpaceDE w:val="0"/>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4662F9"/>
    <w:pPr>
      <w:keepNext/>
      <w:numPr>
        <w:numId w:val="1"/>
      </w:numPr>
      <w:jc w:val="center"/>
      <w:outlineLvl w:val="0"/>
    </w:pPr>
    <w:rPr>
      <w:b/>
      <w:bCs/>
    </w:rPr>
  </w:style>
  <w:style w:type="paragraph" w:styleId="Nadpis4">
    <w:name w:val="heading 4"/>
    <w:basedOn w:val="Normlny"/>
    <w:next w:val="Normlny"/>
    <w:link w:val="Nadpis4Char"/>
    <w:uiPriority w:val="9"/>
    <w:qFormat/>
    <w:rsid w:val="004662F9"/>
    <w:pPr>
      <w:keepNext/>
      <w:numPr>
        <w:ilvl w:val="3"/>
        <w:numId w:val="1"/>
      </w:numPr>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62F9"/>
    <w:rPr>
      <w:rFonts w:ascii="Times New Roman" w:eastAsia="Times New Roman" w:hAnsi="Times New Roman" w:cs="Times New Roman"/>
      <w:b/>
      <w:bCs/>
      <w:sz w:val="24"/>
      <w:szCs w:val="24"/>
      <w:lang w:eastAsia="ar-SA"/>
    </w:rPr>
  </w:style>
  <w:style w:type="character" w:customStyle="1" w:styleId="Nadpis4Char">
    <w:name w:val="Nadpis 4 Char"/>
    <w:basedOn w:val="Predvolenpsmoodseku"/>
    <w:link w:val="Nadpis4"/>
    <w:uiPriority w:val="9"/>
    <w:rsid w:val="004662F9"/>
    <w:rPr>
      <w:rFonts w:ascii="Times New Roman" w:eastAsia="Times New Roman" w:hAnsi="Times New Roman" w:cs="Times New Roman"/>
      <w:b/>
      <w:bCs/>
      <w:lang w:eastAsia="ar-SA"/>
    </w:rPr>
  </w:style>
  <w:style w:type="character" w:styleId="Hypertextovprepojenie">
    <w:name w:val="Hyperlink"/>
    <w:basedOn w:val="Predvolenpsmoodseku"/>
    <w:uiPriority w:val="99"/>
    <w:rsid w:val="004662F9"/>
    <w:rPr>
      <w:rFonts w:cs="Times New Roman"/>
      <w:color w:val="000080"/>
      <w:u w:val="single"/>
    </w:rPr>
  </w:style>
  <w:style w:type="paragraph" w:styleId="Zarkazkladnhotextu">
    <w:name w:val="Body Text Indent"/>
    <w:basedOn w:val="Normlny"/>
    <w:link w:val="ZarkazkladnhotextuChar"/>
    <w:uiPriority w:val="99"/>
    <w:rsid w:val="004662F9"/>
    <w:pPr>
      <w:spacing w:after="120" w:line="480" w:lineRule="auto"/>
    </w:pPr>
  </w:style>
  <w:style w:type="character" w:customStyle="1" w:styleId="ZarkazkladnhotextuChar">
    <w:name w:val="Zarážka základného textu Char"/>
    <w:basedOn w:val="Predvolenpsmoodseku"/>
    <w:link w:val="Zarkazkladnhotextu"/>
    <w:uiPriority w:val="99"/>
    <w:rsid w:val="004662F9"/>
    <w:rPr>
      <w:rFonts w:ascii="Times New Roman" w:eastAsia="Times New Roman" w:hAnsi="Times New Roman" w:cs="Times New Roman"/>
      <w:sz w:val="24"/>
      <w:szCs w:val="24"/>
      <w:lang w:eastAsia="ar-SA"/>
    </w:rPr>
  </w:style>
  <w:style w:type="paragraph" w:customStyle="1" w:styleId="Normlny0">
    <w:name w:val="_Normálny"/>
    <w:basedOn w:val="Normlny"/>
    <w:uiPriority w:val="99"/>
    <w:rsid w:val="004662F9"/>
    <w:rPr>
      <w:sz w:val="20"/>
      <w:szCs w:val="20"/>
    </w:rPr>
  </w:style>
  <w:style w:type="paragraph" w:styleId="Textpoznmkypodiarou">
    <w:name w:val="footnote text"/>
    <w:basedOn w:val="Normlny"/>
    <w:link w:val="TextpoznmkypodiarouChar"/>
    <w:uiPriority w:val="99"/>
    <w:rsid w:val="004662F9"/>
    <w:rPr>
      <w:sz w:val="20"/>
      <w:szCs w:val="20"/>
    </w:rPr>
  </w:style>
  <w:style w:type="character" w:customStyle="1" w:styleId="TextpoznmkypodiarouChar">
    <w:name w:val="Text poznámky pod čiarou Char"/>
    <w:basedOn w:val="Predvolenpsmoodseku"/>
    <w:link w:val="Textpoznmkypodiarou"/>
    <w:uiPriority w:val="99"/>
    <w:rsid w:val="004662F9"/>
    <w:rPr>
      <w:rFonts w:ascii="Times New Roman" w:eastAsia="Times New Roman" w:hAnsi="Times New Roman" w:cs="Times New Roman"/>
      <w:sz w:val="20"/>
      <w:szCs w:val="20"/>
      <w:lang w:eastAsia="ar-SA"/>
    </w:rPr>
  </w:style>
  <w:style w:type="paragraph" w:styleId="Pta">
    <w:name w:val="footer"/>
    <w:basedOn w:val="Normlny"/>
    <w:link w:val="PtaChar1"/>
    <w:uiPriority w:val="99"/>
    <w:rsid w:val="004662F9"/>
    <w:pPr>
      <w:tabs>
        <w:tab w:val="center" w:pos="4536"/>
        <w:tab w:val="right" w:pos="9072"/>
      </w:tabs>
    </w:pPr>
    <w:rPr>
      <w:rFonts w:ascii="Arial" w:hAnsi="Arial" w:cs="Arial"/>
      <w:sz w:val="22"/>
      <w:szCs w:val="22"/>
    </w:rPr>
  </w:style>
  <w:style w:type="character" w:customStyle="1" w:styleId="PtaChar">
    <w:name w:val="Päta Char"/>
    <w:basedOn w:val="Predvolenpsmoodseku"/>
    <w:uiPriority w:val="99"/>
    <w:semiHidden/>
    <w:rsid w:val="004662F9"/>
    <w:rPr>
      <w:rFonts w:ascii="Times New Roman" w:eastAsia="Times New Roman" w:hAnsi="Times New Roman" w:cs="Times New Roman"/>
      <w:sz w:val="24"/>
      <w:szCs w:val="24"/>
      <w:lang w:eastAsia="ar-SA"/>
    </w:rPr>
  </w:style>
  <w:style w:type="character" w:customStyle="1" w:styleId="PtaChar1">
    <w:name w:val="Päta Char1"/>
    <w:basedOn w:val="Predvolenpsmoodseku"/>
    <w:link w:val="Pta"/>
    <w:uiPriority w:val="99"/>
    <w:locked/>
    <w:rsid w:val="004662F9"/>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791</Words>
  <Characters>4514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Nina Sečíková</cp:lastModifiedBy>
  <cp:revision>5</cp:revision>
  <dcterms:created xsi:type="dcterms:W3CDTF">2021-12-07T09:59:00Z</dcterms:created>
  <dcterms:modified xsi:type="dcterms:W3CDTF">2021-12-07T12:43:00Z</dcterms:modified>
</cp:coreProperties>
</file>