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9E" w:rsidRPr="004E0CE7" w:rsidRDefault="0099089E" w:rsidP="0099089E">
      <w:pPr>
        <w:pStyle w:val="Zkladntext"/>
        <w:ind w:firstLine="720"/>
        <w:jc w:val="center"/>
        <w:rPr>
          <w:b/>
          <w:sz w:val="28"/>
          <w:szCs w:val="28"/>
        </w:rPr>
      </w:pPr>
      <w:r w:rsidRPr="004E0CE7">
        <w:rPr>
          <w:b/>
          <w:sz w:val="28"/>
          <w:szCs w:val="28"/>
        </w:rPr>
        <w:t>Dôvodová správa</w:t>
      </w:r>
    </w:p>
    <w:p w:rsidR="0099089E" w:rsidRPr="001F1776" w:rsidRDefault="0099089E" w:rsidP="0099089E">
      <w:pPr>
        <w:pStyle w:val="Zkladntext"/>
        <w:ind w:firstLine="720"/>
      </w:pPr>
    </w:p>
    <w:p w:rsidR="0099089E" w:rsidRPr="001F1776" w:rsidRDefault="0099089E" w:rsidP="0099089E">
      <w:pPr>
        <w:pStyle w:val="Zkladntext"/>
        <w:rPr>
          <w:b/>
        </w:rPr>
      </w:pPr>
      <w:r w:rsidRPr="001F1776">
        <w:rPr>
          <w:b/>
        </w:rPr>
        <w:t>A. Všeobecná časť</w:t>
      </w:r>
    </w:p>
    <w:p w:rsidR="0099089E" w:rsidRPr="001F1776" w:rsidRDefault="0099089E" w:rsidP="0099089E">
      <w:pPr>
        <w:pStyle w:val="Zkladntext"/>
        <w:ind w:firstLine="720"/>
        <w:rPr>
          <w:b/>
        </w:rPr>
      </w:pPr>
    </w:p>
    <w:p w:rsidR="0099089E" w:rsidRPr="001F1776" w:rsidRDefault="0099089E" w:rsidP="0099089E">
      <w:pPr>
        <w:pStyle w:val="Zkladntext"/>
        <w:ind w:firstLine="720"/>
      </w:pPr>
      <w:r w:rsidRPr="001F1776">
        <w:t>Ministerstvo vnútra Slovenskej republiky predkladá návrh zákona, ktorým sa mení a</w:t>
      </w:r>
      <w:r w:rsidR="00C1456F" w:rsidRPr="001F1776">
        <w:t> </w:t>
      </w:r>
      <w:r w:rsidRPr="001F1776">
        <w:t>dopĺňa zákon č. 480/2002 Z. z. o azyle a o zmene a doplnení niektorých zákonov v znení neskorších predpisov (ďalej len „návrh zákona“). Návrh zákona bol vypracovaný na základe Plánu legislatívnych úloh vlády Slovenskej republiky na mesiace jún až december 2021.</w:t>
      </w:r>
    </w:p>
    <w:p w:rsidR="00F949C4" w:rsidRPr="001F1776" w:rsidRDefault="0099089E" w:rsidP="0099089E">
      <w:pPr>
        <w:ind w:firstLine="708"/>
        <w:jc w:val="both"/>
        <w:rPr>
          <w:lang w:val="sk-SK" w:eastAsia="sk-SK"/>
        </w:rPr>
      </w:pPr>
      <w:r w:rsidRPr="001F1776">
        <w:rPr>
          <w:lang w:val="sk-SK" w:eastAsia="sk-SK"/>
        </w:rPr>
        <w:t xml:space="preserve"> </w:t>
      </w:r>
    </w:p>
    <w:p w:rsidR="0099089E" w:rsidRPr="001F1776" w:rsidRDefault="0099089E" w:rsidP="0099089E">
      <w:pPr>
        <w:ind w:firstLine="708"/>
        <w:jc w:val="both"/>
        <w:rPr>
          <w:lang w:val="sk-SK" w:eastAsia="sk-SK"/>
        </w:rPr>
      </w:pPr>
      <w:r w:rsidRPr="001F1776">
        <w:rPr>
          <w:lang w:val="sk-SK" w:eastAsia="sk-SK"/>
        </w:rPr>
        <w:t>Návrh zákona systémovo upravuje prvotnú integráciu azylantov a cudzincov, ktorým sa poskytla doplnková ochrana. Ďalšie úpravy vychádzajú z poznatkov aplikačnej praxe a</w:t>
      </w:r>
      <w:r w:rsidR="00C1456F" w:rsidRPr="001F1776">
        <w:rPr>
          <w:lang w:val="sk-SK" w:eastAsia="sk-SK"/>
        </w:rPr>
        <w:t> </w:t>
      </w:r>
      <w:r w:rsidRPr="001F1776">
        <w:rPr>
          <w:lang w:val="sk-SK" w:eastAsia="sk-SK"/>
        </w:rPr>
        <w:t>potreby zosúladenia právneho poriadku Slovenskej republiky s právom Európskej únie.</w:t>
      </w:r>
    </w:p>
    <w:p w:rsidR="00F949C4" w:rsidRPr="001F1776" w:rsidRDefault="00F949C4" w:rsidP="0099089E">
      <w:pPr>
        <w:ind w:firstLine="708"/>
        <w:jc w:val="both"/>
        <w:rPr>
          <w:lang w:val="sk-SK" w:eastAsia="sk-SK"/>
        </w:rPr>
      </w:pPr>
    </w:p>
    <w:p w:rsidR="0099089E" w:rsidRPr="001F1776" w:rsidRDefault="0099089E" w:rsidP="0099089E">
      <w:pPr>
        <w:ind w:firstLine="708"/>
        <w:jc w:val="both"/>
        <w:rPr>
          <w:lang w:val="sk-SK" w:eastAsia="sk-SK"/>
        </w:rPr>
      </w:pPr>
      <w:r w:rsidRPr="001F1776">
        <w:rPr>
          <w:lang w:val="sk-SK" w:eastAsia="sk-SK"/>
        </w:rPr>
        <w:t>Od poslednej rozsiahlejšej novely zákona o azyle, ktorou bol zákon č. 198/2018 Z. z.,</w:t>
      </w:r>
      <w:r w:rsidRPr="001F1776">
        <w:rPr>
          <w:lang w:val="sk-SK"/>
        </w:rPr>
        <w:t xml:space="preserve"> </w:t>
      </w:r>
      <w:r w:rsidRPr="001F1776">
        <w:rPr>
          <w:lang w:val="sk-SK" w:eastAsia="sk-SK"/>
        </w:rPr>
        <w:t>ktorým sa mení a dopĺňa zákon č. 480/2002 Z. z. o azyle a o zmene a doplnení niektorých zákonov v znení neskorších predpisov,  a ktorou  bol do zákona transponovaný článok 31 ods. 3 až 5 smernice Európskeho parlamentu a Rady 2013/32/EÚ, si situácia vyžiadala úpravu viacerých skutočností. Zmeny z nich vyplývajúce sú premietnuté do predkladaného návrhu zákona.</w:t>
      </w:r>
    </w:p>
    <w:p w:rsidR="0099089E" w:rsidRPr="001F1776" w:rsidRDefault="0099089E" w:rsidP="0099089E">
      <w:pPr>
        <w:ind w:firstLine="708"/>
        <w:jc w:val="both"/>
        <w:rPr>
          <w:strike/>
          <w:lang w:val="sk-SK" w:eastAsia="sk-SK"/>
        </w:rPr>
      </w:pPr>
    </w:p>
    <w:p w:rsidR="0099089E" w:rsidRPr="001F1776" w:rsidRDefault="0099089E" w:rsidP="0099089E">
      <w:pPr>
        <w:jc w:val="both"/>
        <w:rPr>
          <w:lang w:val="sk-SK"/>
        </w:rPr>
      </w:pPr>
      <w:r w:rsidRPr="001F1776">
        <w:rPr>
          <w:lang w:val="sk-SK"/>
        </w:rPr>
        <w:t>Návrh zákona najmä:</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upravuje hierarchiu statusov ochrany udeľovaných/poskytovaných cudzincom v Slovenskej republike podľa tohto zákona; ide najmä o uprednostnenie posudzovania a poskytovania doplnkovej ochrany z dôvodu vážneho bezprávia pred udeľovaním azylu na účel zlúčenia rodiny, ale aj pred udeľovaním azylu z humanitných dôvodov;</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systémovo upravuje prvotnú integráciu azylantov a cudzincov, ktorým sa poskytla doplnková ochrana, pričom v rámci nej:</w:t>
      </w:r>
    </w:p>
    <w:p w:rsidR="0099089E" w:rsidRPr="001F1776" w:rsidRDefault="0099089E" w:rsidP="0099089E">
      <w:pPr>
        <w:pStyle w:val="Odsekzoznamu"/>
        <w:numPr>
          <w:ilvl w:val="0"/>
          <w:numId w:val="2"/>
        </w:numPr>
        <w:contextualSpacing w:val="0"/>
        <w:jc w:val="both"/>
        <w:rPr>
          <w:lang w:val="sk-SK"/>
        </w:rPr>
      </w:pPr>
      <w:r w:rsidRPr="001F1776">
        <w:rPr>
          <w:lang w:val="sk-SK"/>
        </w:rPr>
        <w:t>zavádza jednorazový príspevok v rovnakej výške aj pre cudzincov, ktorým sa poskytla doplnková ochrana;</w:t>
      </w:r>
    </w:p>
    <w:p w:rsidR="0099089E" w:rsidRPr="001F1776" w:rsidRDefault="0099089E" w:rsidP="0099089E">
      <w:pPr>
        <w:pStyle w:val="Odsekzoznamu"/>
        <w:numPr>
          <w:ilvl w:val="0"/>
          <w:numId w:val="2"/>
        </w:numPr>
        <w:contextualSpacing w:val="0"/>
        <w:jc w:val="both"/>
        <w:rPr>
          <w:lang w:val="sk-SK"/>
        </w:rPr>
      </w:pPr>
      <w:r w:rsidRPr="001F1776">
        <w:rPr>
          <w:lang w:val="sk-SK"/>
        </w:rPr>
        <w:t>zavádza integračný príspevok pre azylantov a cudzincov, ktorým sa poskytla doplnková ochrana, počas obdobia šiestich mesiacov;</w:t>
      </w:r>
    </w:p>
    <w:p w:rsidR="0099089E" w:rsidRPr="001F1776" w:rsidRDefault="0099089E" w:rsidP="0099089E">
      <w:pPr>
        <w:pStyle w:val="Odsekzoznamu"/>
        <w:numPr>
          <w:ilvl w:val="0"/>
          <w:numId w:val="2"/>
        </w:numPr>
        <w:contextualSpacing w:val="0"/>
        <w:jc w:val="both"/>
        <w:rPr>
          <w:lang w:val="sk-SK"/>
        </w:rPr>
      </w:pPr>
      <w:r w:rsidRPr="001F1776">
        <w:rPr>
          <w:lang w:val="sk-SK"/>
        </w:rPr>
        <w:t>umožňuje v integračnom stredisku ubytovať aj cudzincov, ktorým sa poskytla doplnková ochrana;</w:t>
      </w:r>
    </w:p>
    <w:p w:rsidR="0099089E" w:rsidRPr="001F1776" w:rsidRDefault="0099089E" w:rsidP="0099089E">
      <w:pPr>
        <w:pStyle w:val="Odsekzoznamu"/>
        <w:numPr>
          <w:ilvl w:val="0"/>
          <w:numId w:val="2"/>
        </w:numPr>
        <w:contextualSpacing w:val="0"/>
        <w:jc w:val="both"/>
        <w:rPr>
          <w:lang w:val="sk-SK"/>
        </w:rPr>
      </w:pPr>
      <w:r w:rsidRPr="001F1776">
        <w:rPr>
          <w:lang w:val="sk-SK"/>
        </w:rPr>
        <w:t>ustanovuje zabezpečenie sociálneho poradenstva, psychologického poradenstva a kurzu kultúrnej orientácie pre azylantov a cudzincov, ktorým sa poskytla doplnková ochrana, na základe ich individuálnych potrieb;</w:t>
      </w:r>
    </w:p>
    <w:p w:rsidR="0099089E" w:rsidRPr="001F1776" w:rsidRDefault="0099089E" w:rsidP="0099089E">
      <w:pPr>
        <w:pStyle w:val="Odsekzoznamu"/>
        <w:numPr>
          <w:ilvl w:val="0"/>
          <w:numId w:val="1"/>
        </w:numPr>
        <w:contextualSpacing w:val="0"/>
        <w:jc w:val="both"/>
        <w:rPr>
          <w:lang w:val="sk-SK"/>
        </w:rPr>
      </w:pPr>
      <w:r w:rsidRPr="001F1776">
        <w:rPr>
          <w:lang w:val="sk-SK"/>
        </w:rPr>
        <w:t xml:space="preserve">ustanovuje zabezpečenie sociálneho poradenstva, psychologického poradenstva </w:t>
      </w:r>
      <w:r w:rsidR="005C4D5F" w:rsidRPr="001F1776">
        <w:rPr>
          <w:lang w:val="sk-SK"/>
        </w:rPr>
        <w:t xml:space="preserve">alebo iného poradenstva </w:t>
      </w:r>
      <w:r w:rsidRPr="001F1776">
        <w:rPr>
          <w:lang w:val="sk-SK"/>
        </w:rPr>
        <w:t>a kurzu kultúrnej orientácie aj pre žiadateľov o udelenie azylu na základe ich individuálnych potrieb;</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skracuje lehotu pre prístup žiadateľov na trh práce na šesť mesiacov od začatia konania o udelenie azylu;</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ustanovuje nový dôvod prerušenia konania o odovzdaní do iného štátu;</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ustanovuje dobu, na ktorú sa žiadateľovi povolí pobyt mimo pobytového tábora (tzv. dlhodobá priepustka);</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bližšie určuje skutočnosti, ktoré obsahuje poučenie žiadateľa o udelenie azylu;</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ustanovuje nový dôvod zániku azylu;</w:t>
      </w:r>
    </w:p>
    <w:p w:rsidR="0099089E" w:rsidRPr="001F1776" w:rsidRDefault="0099089E" w:rsidP="0099089E">
      <w:pPr>
        <w:pStyle w:val="Odsekzoznamu"/>
        <w:numPr>
          <w:ilvl w:val="0"/>
          <w:numId w:val="1"/>
        </w:numPr>
        <w:ind w:left="714" w:hanging="357"/>
        <w:contextualSpacing w:val="0"/>
        <w:jc w:val="both"/>
        <w:rPr>
          <w:lang w:val="sk-SK"/>
        </w:rPr>
      </w:pPr>
      <w:r w:rsidRPr="001F1776">
        <w:rPr>
          <w:lang w:val="sk-SK"/>
        </w:rPr>
        <w:t>aktualizuje viaceré poznámky pod čiarou, atď.</w:t>
      </w:r>
    </w:p>
    <w:p w:rsidR="0099089E" w:rsidRPr="001F1776" w:rsidRDefault="0099089E" w:rsidP="0099089E">
      <w:pPr>
        <w:jc w:val="both"/>
        <w:rPr>
          <w:lang w:val="sk-SK"/>
        </w:rPr>
      </w:pPr>
    </w:p>
    <w:p w:rsidR="0099089E" w:rsidRPr="001F1776" w:rsidRDefault="0099089E" w:rsidP="0099089E">
      <w:pPr>
        <w:pStyle w:val="Normlnywebov"/>
        <w:spacing w:before="0" w:beforeAutospacing="0" w:after="0" w:afterAutospacing="0"/>
        <w:ind w:firstLine="708"/>
        <w:jc w:val="both"/>
      </w:pPr>
      <w:r w:rsidRPr="001F1776">
        <w:t xml:space="preserve">Predkladaný návrh zákona bude mať negatívny vplyv na rozpočet verejnej správy a pozitívny sociálny vplyv. Návrh zákona nebude mať vplyv na informatizáciu spoločnosti, </w:t>
      </w:r>
      <w:r w:rsidRPr="001F1776">
        <w:lastRenderedPageBreak/>
        <w:t xml:space="preserve">na </w:t>
      </w:r>
      <w:r w:rsidR="002C305A" w:rsidRPr="001F1776">
        <w:t> </w:t>
      </w:r>
      <w:r w:rsidRPr="001F1776">
        <w:t>podnikateľské prostredie, na životné prostredie, na služby verejnej správy pre občana, ani na manželstvo, rodičovstvo a rodinu.</w:t>
      </w:r>
    </w:p>
    <w:p w:rsidR="00F949C4" w:rsidRPr="001F1776" w:rsidRDefault="00F949C4" w:rsidP="0099089E">
      <w:pPr>
        <w:pStyle w:val="Normlnywebov"/>
        <w:spacing w:before="0" w:beforeAutospacing="0" w:after="0" w:afterAutospacing="0"/>
        <w:ind w:firstLine="708"/>
        <w:jc w:val="both"/>
      </w:pPr>
    </w:p>
    <w:p w:rsidR="0099089E" w:rsidRPr="001F1776" w:rsidRDefault="0099089E" w:rsidP="0099089E">
      <w:pPr>
        <w:pStyle w:val="Normlnywebov"/>
        <w:spacing w:before="0" w:beforeAutospacing="0" w:after="0" w:afterAutospacing="0"/>
        <w:ind w:firstLine="708"/>
        <w:jc w:val="both"/>
      </w:pPr>
      <w:r w:rsidRPr="001F1776">
        <w:t>Návrh zákona je v súlade s Ústavou Slovenskej republiky, ústavnými zákonmi a</w:t>
      </w:r>
      <w:r w:rsidR="002C305A" w:rsidRPr="001F1776">
        <w:t> </w:t>
      </w:r>
      <w:r w:rsidRPr="001F1776">
        <w:t>nálezmi Ústavného súdu Slovenskej republiky, inými zákonmi a medzinárodnými zmluvami a inými medzinárodnými dokumentmi, ktorými je Slovenská republika viazaná, ako aj s</w:t>
      </w:r>
      <w:r w:rsidR="002C305A" w:rsidRPr="001F1776">
        <w:t> </w:t>
      </w:r>
      <w:r w:rsidRPr="001F1776">
        <w:t>právom Európskej únie.</w:t>
      </w: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99089E" w:rsidRPr="001F1776" w:rsidRDefault="0099089E" w:rsidP="0099089E">
      <w:pPr>
        <w:jc w:val="both"/>
        <w:rPr>
          <w:b/>
          <w:lang w:val="sk-SK" w:eastAsia="sk-SK"/>
        </w:rPr>
      </w:pPr>
    </w:p>
    <w:p w:rsidR="00C1456F" w:rsidRPr="001F1776" w:rsidRDefault="00C1456F">
      <w:pPr>
        <w:spacing w:after="160" w:line="259" w:lineRule="auto"/>
        <w:rPr>
          <w:lang w:val="sk-SK"/>
        </w:rPr>
      </w:pPr>
      <w:r w:rsidRPr="001F1776">
        <w:rPr>
          <w:lang w:val="sk-SK"/>
        </w:rPr>
        <w:br w:type="page"/>
      </w:r>
    </w:p>
    <w:p w:rsidR="001F1776" w:rsidRPr="001F1776" w:rsidRDefault="001F1776" w:rsidP="001F1776">
      <w:pPr>
        <w:jc w:val="center"/>
        <w:rPr>
          <w:b/>
          <w:sz w:val="28"/>
          <w:szCs w:val="28"/>
          <w:lang w:val="sk-SK" w:eastAsia="sk-SK"/>
        </w:rPr>
      </w:pPr>
      <w:r w:rsidRPr="001F1776">
        <w:rPr>
          <w:b/>
          <w:sz w:val="28"/>
          <w:szCs w:val="28"/>
          <w:lang w:val="sk-SK" w:eastAsia="sk-SK"/>
        </w:rPr>
        <w:lastRenderedPageBreak/>
        <w:t>Doložka vybraných vplyvov</w:t>
      </w:r>
    </w:p>
    <w:p w:rsidR="001F1776" w:rsidRPr="001F1776" w:rsidRDefault="001F1776" w:rsidP="001F1776">
      <w:pPr>
        <w:spacing w:after="200" w:line="276" w:lineRule="auto"/>
        <w:ind w:left="426"/>
        <w:contextualSpacing/>
        <w:rPr>
          <w:rFonts w:ascii="Calibri" w:eastAsia="Calibri" w:hAnsi="Calibri"/>
          <w:b/>
          <w:lang w:val="sk-SK"/>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F1776" w:rsidRPr="001F1776" w:rsidTr="001F1776">
        <w:tc>
          <w:tcPr>
            <w:tcW w:w="9180" w:type="dxa"/>
            <w:gridSpan w:val="11"/>
            <w:tcBorders>
              <w:bottom w:val="single" w:sz="4" w:space="0" w:color="FFFFFF"/>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Základné údaje</w:t>
            </w:r>
          </w:p>
        </w:tc>
      </w:tr>
      <w:tr w:rsidR="001F1776" w:rsidRPr="001F1776" w:rsidTr="001F1776">
        <w:tc>
          <w:tcPr>
            <w:tcW w:w="9180" w:type="dxa"/>
            <w:gridSpan w:val="11"/>
            <w:tcBorders>
              <w:bottom w:val="single" w:sz="4" w:space="0" w:color="FFFFFF"/>
            </w:tcBorders>
            <w:shd w:val="clear" w:color="auto" w:fill="E2E2E2"/>
          </w:tcPr>
          <w:p w:rsidR="001F1776" w:rsidRPr="001F1776" w:rsidRDefault="001F1776" w:rsidP="001F1776">
            <w:pPr>
              <w:spacing w:after="200" w:line="276" w:lineRule="auto"/>
              <w:ind w:left="142"/>
              <w:contextualSpacing/>
              <w:rPr>
                <w:rFonts w:eastAsia="Calibri"/>
                <w:b/>
                <w:lang w:val="sk-SK"/>
              </w:rPr>
            </w:pPr>
            <w:r w:rsidRPr="001F1776">
              <w:rPr>
                <w:rFonts w:eastAsia="Calibri"/>
                <w:b/>
                <w:lang w:val="sk-SK"/>
              </w:rPr>
              <w:t>Názov materiálu</w:t>
            </w:r>
          </w:p>
        </w:tc>
      </w:tr>
      <w:tr w:rsidR="001F1776" w:rsidRPr="001F1776" w:rsidTr="001F1776">
        <w:tc>
          <w:tcPr>
            <w:tcW w:w="9180" w:type="dxa"/>
            <w:gridSpan w:val="11"/>
            <w:tcBorders>
              <w:top w:val="single" w:sz="4" w:space="0" w:color="FFFFFF"/>
              <w:bottom w:val="single" w:sz="4" w:space="0" w:color="auto"/>
            </w:tcBorders>
          </w:tcPr>
          <w:p w:rsidR="001F1776" w:rsidRPr="001F1776" w:rsidRDefault="001F1776" w:rsidP="001F1776">
            <w:pPr>
              <w:rPr>
                <w:sz w:val="20"/>
                <w:szCs w:val="20"/>
                <w:lang w:val="sk-SK" w:eastAsia="sk-SK"/>
              </w:rPr>
            </w:pPr>
            <w:r w:rsidRPr="001F1776">
              <w:rPr>
                <w:sz w:val="20"/>
                <w:szCs w:val="20"/>
                <w:lang w:val="sk-SK" w:eastAsia="sk-SK"/>
              </w:rPr>
              <w:t>Zákon, ktorým sa mení a dopĺňa zákon č. 480/2002 Z. z. o azyle a o zmene a doplnení niektorých zákonov v znení neskorších predpisov</w:t>
            </w:r>
          </w:p>
          <w:p w:rsidR="001F1776" w:rsidRPr="001F1776" w:rsidRDefault="001F1776" w:rsidP="001F1776">
            <w:pPr>
              <w:rPr>
                <w:sz w:val="20"/>
                <w:szCs w:val="20"/>
                <w:lang w:val="sk-SK" w:eastAsia="sk-SK"/>
              </w:rPr>
            </w:pPr>
          </w:p>
        </w:tc>
      </w:tr>
      <w:tr w:rsidR="001F1776" w:rsidRPr="001F1776" w:rsidTr="001F1776">
        <w:tc>
          <w:tcPr>
            <w:tcW w:w="9180" w:type="dxa"/>
            <w:gridSpan w:val="11"/>
            <w:tcBorders>
              <w:top w:val="single" w:sz="4" w:space="0" w:color="auto"/>
              <w:left w:val="single" w:sz="4" w:space="0" w:color="auto"/>
              <w:bottom w:val="single" w:sz="4" w:space="0" w:color="FFFFFF"/>
            </w:tcBorders>
            <w:shd w:val="clear" w:color="auto" w:fill="E2E2E2"/>
          </w:tcPr>
          <w:p w:rsidR="001F1776" w:rsidRPr="001F1776" w:rsidRDefault="001F1776" w:rsidP="001F1776">
            <w:pPr>
              <w:spacing w:after="200" w:line="276" w:lineRule="auto"/>
              <w:ind w:left="142"/>
              <w:contextualSpacing/>
              <w:rPr>
                <w:rFonts w:eastAsia="Calibri"/>
                <w:b/>
                <w:lang w:val="sk-SK"/>
              </w:rPr>
            </w:pPr>
            <w:r w:rsidRPr="001F1776">
              <w:rPr>
                <w:rFonts w:eastAsia="Calibri"/>
                <w:b/>
                <w:lang w:val="sk-SK"/>
              </w:rPr>
              <w:t>Predkladateľ (a spolupredkladateľ)</w:t>
            </w:r>
          </w:p>
        </w:tc>
      </w:tr>
      <w:tr w:rsidR="001F1776" w:rsidRPr="001F1776" w:rsidTr="001F1776">
        <w:tc>
          <w:tcPr>
            <w:tcW w:w="9180" w:type="dxa"/>
            <w:gridSpan w:val="11"/>
            <w:tcBorders>
              <w:top w:val="single" w:sz="4" w:space="0" w:color="FFFFFF"/>
              <w:left w:val="single" w:sz="4" w:space="0" w:color="auto"/>
              <w:bottom w:val="single" w:sz="4" w:space="0" w:color="auto"/>
            </w:tcBorders>
            <w:shd w:val="clear" w:color="auto" w:fill="FFFFFF"/>
          </w:tcPr>
          <w:p w:rsidR="001F1776" w:rsidRPr="001F1776" w:rsidRDefault="001F1776" w:rsidP="001F1776">
            <w:pPr>
              <w:rPr>
                <w:sz w:val="20"/>
                <w:szCs w:val="20"/>
                <w:lang w:val="sk-SK" w:eastAsia="sk-SK"/>
              </w:rPr>
            </w:pPr>
            <w:r w:rsidRPr="001F1776">
              <w:rPr>
                <w:sz w:val="20"/>
                <w:szCs w:val="20"/>
                <w:lang w:val="sk-SK" w:eastAsia="sk-SK"/>
              </w:rPr>
              <w:t>Ministerstvo vnútra Slovenskej republiky</w:t>
            </w:r>
          </w:p>
          <w:p w:rsidR="001F1776" w:rsidRPr="001F1776" w:rsidRDefault="001F1776" w:rsidP="001F1776">
            <w:pPr>
              <w:rPr>
                <w:sz w:val="20"/>
                <w:szCs w:val="20"/>
                <w:lang w:val="sk-SK" w:eastAsia="sk-SK"/>
              </w:rPr>
            </w:pPr>
          </w:p>
        </w:tc>
      </w:tr>
      <w:tr w:rsidR="001F1776" w:rsidRPr="001F1776" w:rsidTr="001F1776">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F1776" w:rsidRPr="001F1776" w:rsidRDefault="001F1776" w:rsidP="001F1776">
            <w:pPr>
              <w:spacing w:after="200" w:line="276" w:lineRule="auto"/>
              <w:ind w:left="142"/>
              <w:contextualSpacing/>
              <w:rPr>
                <w:rFonts w:eastAsia="Calibri"/>
                <w:b/>
                <w:lang w:val="sk-SK"/>
              </w:rPr>
            </w:pPr>
            <w:r w:rsidRPr="001F1776">
              <w:rPr>
                <w:rFonts w:eastAsia="Calibri"/>
                <w:b/>
                <w:lang w:val="sk-SK"/>
              </w:rPr>
              <w:t>Charakter predkladaného materiálu</w:t>
            </w:r>
          </w:p>
        </w:tc>
        <w:sdt>
          <w:sdtPr>
            <w:rPr>
              <w:sz w:val="20"/>
              <w:szCs w:val="20"/>
              <w:lang w:val="sk-SK"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F1776" w:rsidRPr="001F1776" w:rsidRDefault="001F1776" w:rsidP="001F1776">
            <w:pPr>
              <w:rPr>
                <w:sz w:val="20"/>
                <w:szCs w:val="20"/>
                <w:lang w:val="sk-SK" w:eastAsia="sk-SK"/>
              </w:rPr>
            </w:pPr>
            <w:r w:rsidRPr="001F1776">
              <w:rPr>
                <w:sz w:val="20"/>
                <w:szCs w:val="20"/>
                <w:lang w:val="sk-SK" w:eastAsia="sk-SK"/>
              </w:rPr>
              <w:t>Materiál nelegislatívnej povahy</w:t>
            </w:r>
          </w:p>
        </w:tc>
      </w:tr>
      <w:tr w:rsidR="001F1776" w:rsidRPr="001F1776" w:rsidTr="001F1776">
        <w:tc>
          <w:tcPr>
            <w:tcW w:w="4212" w:type="dxa"/>
            <w:gridSpan w:val="2"/>
            <w:vMerge/>
            <w:tcBorders>
              <w:top w:val="nil"/>
              <w:left w:val="single" w:sz="4" w:space="0" w:color="auto"/>
              <w:bottom w:val="single" w:sz="4" w:space="0" w:color="FFFFFF"/>
            </w:tcBorders>
            <w:shd w:val="clear" w:color="auto" w:fill="E2E2E2"/>
          </w:tcPr>
          <w:p w:rsidR="001F1776" w:rsidRPr="001F1776" w:rsidRDefault="001F1776" w:rsidP="001F1776">
            <w:pPr>
              <w:rPr>
                <w:sz w:val="20"/>
                <w:szCs w:val="20"/>
                <w:lang w:val="sk-SK" w:eastAsia="sk-SK"/>
              </w:rPr>
            </w:pPr>
          </w:p>
        </w:tc>
        <w:sdt>
          <w:sdtPr>
            <w:rPr>
              <w:sz w:val="20"/>
              <w:szCs w:val="20"/>
              <w:lang w:val="sk-SK"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4263" w:type="dxa"/>
            <w:gridSpan w:val="7"/>
            <w:tcBorders>
              <w:top w:val="single" w:sz="4" w:space="0" w:color="auto"/>
              <w:left w:val="nil"/>
              <w:bottom w:val="single" w:sz="4" w:space="0" w:color="auto"/>
            </w:tcBorders>
            <w:shd w:val="clear" w:color="auto" w:fill="FFFFFF"/>
          </w:tcPr>
          <w:p w:rsidR="001F1776" w:rsidRPr="001F1776" w:rsidRDefault="001F1776" w:rsidP="001F1776">
            <w:pPr>
              <w:ind w:left="175" w:hanging="175"/>
              <w:rPr>
                <w:sz w:val="20"/>
                <w:szCs w:val="20"/>
                <w:lang w:val="sk-SK" w:eastAsia="sk-SK"/>
              </w:rPr>
            </w:pPr>
            <w:r w:rsidRPr="001F1776">
              <w:rPr>
                <w:sz w:val="20"/>
                <w:szCs w:val="20"/>
                <w:lang w:val="sk-SK" w:eastAsia="sk-SK"/>
              </w:rPr>
              <w:t>Materiál legislatívnej povahy</w:t>
            </w:r>
          </w:p>
        </w:tc>
      </w:tr>
      <w:tr w:rsidR="001F1776" w:rsidRPr="001F1776" w:rsidTr="001F1776">
        <w:tc>
          <w:tcPr>
            <w:tcW w:w="4212" w:type="dxa"/>
            <w:gridSpan w:val="2"/>
            <w:vMerge/>
            <w:tcBorders>
              <w:top w:val="nil"/>
              <w:left w:val="single" w:sz="4" w:space="0" w:color="auto"/>
              <w:bottom w:val="single" w:sz="4" w:space="0" w:color="auto"/>
            </w:tcBorders>
            <w:shd w:val="clear" w:color="auto" w:fill="E2E2E2"/>
          </w:tcPr>
          <w:p w:rsidR="001F1776" w:rsidRPr="001F1776" w:rsidRDefault="001F1776" w:rsidP="001F1776">
            <w:pPr>
              <w:rPr>
                <w:sz w:val="20"/>
                <w:szCs w:val="20"/>
                <w:lang w:val="sk-SK" w:eastAsia="sk-SK"/>
              </w:rPr>
            </w:pPr>
          </w:p>
        </w:tc>
        <w:sdt>
          <w:sdtPr>
            <w:rPr>
              <w:sz w:val="20"/>
              <w:szCs w:val="20"/>
              <w:lang w:val="sk-SK"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4263" w:type="dxa"/>
            <w:gridSpan w:val="7"/>
            <w:tcBorders>
              <w:top w:val="single" w:sz="4" w:space="0" w:color="auto"/>
              <w:left w:val="nil"/>
              <w:bottom w:val="single" w:sz="4" w:space="0" w:color="auto"/>
            </w:tcBorders>
            <w:shd w:val="clear" w:color="auto" w:fill="FFFFFF"/>
          </w:tcPr>
          <w:p w:rsidR="001F1776" w:rsidRPr="001F1776" w:rsidRDefault="001F1776" w:rsidP="001F1776">
            <w:pPr>
              <w:rPr>
                <w:sz w:val="20"/>
                <w:szCs w:val="20"/>
                <w:lang w:val="sk-SK" w:eastAsia="sk-SK"/>
              </w:rPr>
            </w:pPr>
            <w:r w:rsidRPr="001F1776">
              <w:rPr>
                <w:sz w:val="20"/>
                <w:szCs w:val="20"/>
                <w:lang w:val="sk-SK" w:eastAsia="sk-SK"/>
              </w:rPr>
              <w:t>Transpozícia práva EÚ</w:t>
            </w:r>
          </w:p>
        </w:tc>
      </w:tr>
      <w:tr w:rsidR="001F1776" w:rsidRPr="001F1776" w:rsidTr="001F1776">
        <w:tc>
          <w:tcPr>
            <w:tcW w:w="9180" w:type="dxa"/>
            <w:gridSpan w:val="11"/>
            <w:tcBorders>
              <w:top w:val="single" w:sz="4" w:space="0" w:color="auto"/>
              <w:left w:val="single" w:sz="4" w:space="0" w:color="auto"/>
              <w:bottom w:val="single" w:sz="4" w:space="0" w:color="FFFFFF"/>
            </w:tcBorders>
            <w:shd w:val="clear" w:color="auto" w:fill="FFFFFF"/>
          </w:tcPr>
          <w:p w:rsidR="001F1776" w:rsidRPr="001F1776" w:rsidRDefault="001F1776" w:rsidP="001F1776">
            <w:pPr>
              <w:rPr>
                <w:i/>
                <w:sz w:val="20"/>
                <w:szCs w:val="20"/>
                <w:lang w:val="sk-SK" w:eastAsia="sk-SK"/>
              </w:rPr>
            </w:pPr>
            <w:r w:rsidRPr="001F1776">
              <w:rPr>
                <w:i/>
                <w:sz w:val="20"/>
                <w:szCs w:val="20"/>
                <w:lang w:val="sk-SK" w:eastAsia="sk-SK"/>
              </w:rPr>
              <w:t>V prípade transpozície uveďte zoznam transponovaných predpisov:</w:t>
            </w:r>
          </w:p>
          <w:p w:rsidR="001F1776" w:rsidRPr="001F1776" w:rsidRDefault="001F1776" w:rsidP="001F1776">
            <w:pPr>
              <w:rPr>
                <w:sz w:val="20"/>
                <w:szCs w:val="20"/>
                <w:lang w:val="sk-SK" w:eastAsia="sk-SK"/>
              </w:rPr>
            </w:pPr>
          </w:p>
        </w:tc>
      </w:tr>
      <w:tr w:rsidR="001F1776" w:rsidRPr="001F1776" w:rsidTr="001F1776">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F1776" w:rsidRPr="001F1776" w:rsidRDefault="001F1776" w:rsidP="001F1776">
            <w:pPr>
              <w:spacing w:after="200" w:line="276" w:lineRule="auto"/>
              <w:ind w:left="142"/>
              <w:contextualSpacing/>
              <w:rPr>
                <w:rFonts w:eastAsia="Calibri"/>
                <w:b/>
                <w:lang w:val="sk-SK"/>
              </w:rPr>
            </w:pPr>
            <w:r w:rsidRPr="001F1776">
              <w:rPr>
                <w:rFonts w:eastAsia="Calibri"/>
                <w:b/>
                <w:lang w:val="sk-SK"/>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F1776" w:rsidRPr="001F1776" w:rsidRDefault="001F1776" w:rsidP="001F1776">
            <w:pPr>
              <w:rPr>
                <w:i/>
                <w:sz w:val="20"/>
                <w:szCs w:val="20"/>
                <w:lang w:val="sk-SK" w:eastAsia="sk-SK"/>
              </w:rPr>
            </w:pPr>
            <w:r w:rsidRPr="001F1776">
              <w:rPr>
                <w:i/>
                <w:sz w:val="20"/>
                <w:szCs w:val="20"/>
                <w:lang w:val="sk-SK" w:eastAsia="sk-SK"/>
              </w:rPr>
              <w:t>27.9.2021 – 5.10.2021</w:t>
            </w:r>
          </w:p>
        </w:tc>
      </w:tr>
      <w:tr w:rsidR="001F1776" w:rsidRPr="001F1776" w:rsidTr="001F177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spacing w:after="200" w:line="276" w:lineRule="auto"/>
              <w:ind w:left="142"/>
              <w:contextualSpacing/>
              <w:rPr>
                <w:rFonts w:eastAsia="Calibri"/>
                <w:b/>
                <w:lang w:val="sk-SK"/>
              </w:rPr>
            </w:pPr>
            <w:r w:rsidRPr="001F1776">
              <w:rPr>
                <w:rFonts w:eastAsia="Calibri"/>
                <w:b/>
                <w:lang w:val="sk-SK"/>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F1776" w:rsidRPr="001F1776" w:rsidRDefault="001F1776" w:rsidP="001F1776">
            <w:pPr>
              <w:rPr>
                <w:i/>
                <w:sz w:val="20"/>
                <w:szCs w:val="20"/>
                <w:lang w:val="sk-SK" w:eastAsia="sk-SK"/>
              </w:rPr>
            </w:pPr>
            <w:r w:rsidRPr="001F1776">
              <w:rPr>
                <w:i/>
                <w:sz w:val="20"/>
                <w:szCs w:val="20"/>
                <w:lang w:val="sk-SK" w:eastAsia="sk-SK"/>
              </w:rPr>
              <w:t>18. 10. – 8.11.2021</w:t>
            </w:r>
          </w:p>
        </w:tc>
      </w:tr>
      <w:tr w:rsidR="001F1776" w:rsidRPr="001F1776" w:rsidTr="001F1776">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spacing w:line="276" w:lineRule="auto"/>
              <w:ind w:left="142"/>
              <w:contextualSpacing/>
              <w:rPr>
                <w:rFonts w:ascii="Calibri" w:eastAsia="Calibri" w:hAnsi="Calibri"/>
                <w:b/>
                <w:lang w:val="sk-SK"/>
              </w:rPr>
            </w:pPr>
            <w:r w:rsidRPr="001F1776">
              <w:rPr>
                <w:rFonts w:eastAsia="Calibri"/>
                <w:b/>
                <w:lang w:val="sk-SK"/>
              </w:rPr>
              <w:t>Predpokladaný termín začiatku a ukončenia ZP**</w:t>
            </w:r>
            <w:r w:rsidRPr="001F1776">
              <w:rPr>
                <w:rFonts w:ascii="Calibri" w:eastAsia="Calibri" w:hAnsi="Calibri"/>
                <w:b/>
                <w:lang w:val="sk-SK"/>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F1776" w:rsidRPr="001F1776" w:rsidRDefault="001F1776" w:rsidP="001F1776">
            <w:pPr>
              <w:rPr>
                <w:i/>
                <w:sz w:val="20"/>
                <w:szCs w:val="20"/>
                <w:lang w:val="sk-SK" w:eastAsia="sk-SK"/>
              </w:rPr>
            </w:pPr>
          </w:p>
        </w:tc>
      </w:tr>
      <w:tr w:rsidR="001F1776" w:rsidRPr="001F1776" w:rsidTr="001F1776">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spacing w:after="200" w:line="276" w:lineRule="auto"/>
              <w:ind w:left="142"/>
              <w:contextualSpacing/>
              <w:jc w:val="both"/>
              <w:rPr>
                <w:rFonts w:eastAsia="Calibri"/>
                <w:b/>
                <w:lang w:val="sk-SK"/>
              </w:rPr>
            </w:pPr>
            <w:r w:rsidRPr="001F1776">
              <w:rPr>
                <w:rFonts w:eastAsia="Calibri"/>
                <w:b/>
                <w:lang w:val="sk-SK"/>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F1776" w:rsidRPr="001F1776" w:rsidRDefault="001F1776" w:rsidP="001F1776">
            <w:pPr>
              <w:rPr>
                <w:i/>
                <w:sz w:val="20"/>
                <w:szCs w:val="20"/>
                <w:lang w:val="sk-SK" w:eastAsia="sk-SK"/>
              </w:rPr>
            </w:pPr>
            <w:r w:rsidRPr="001F1776">
              <w:rPr>
                <w:i/>
                <w:sz w:val="20"/>
                <w:szCs w:val="20"/>
                <w:lang w:val="sk-SK" w:eastAsia="sk-SK"/>
              </w:rPr>
              <w:t>december 2021</w:t>
            </w:r>
          </w:p>
        </w:tc>
      </w:tr>
      <w:tr w:rsidR="001F1776" w:rsidRPr="001F1776" w:rsidTr="001F1776">
        <w:tc>
          <w:tcPr>
            <w:tcW w:w="9180" w:type="dxa"/>
            <w:gridSpan w:val="11"/>
            <w:tcBorders>
              <w:top w:val="single" w:sz="4" w:space="0" w:color="auto"/>
              <w:left w:val="nil"/>
              <w:bottom w:val="single" w:sz="4" w:space="0" w:color="auto"/>
              <w:right w:val="nil"/>
            </w:tcBorders>
            <w:shd w:val="clear" w:color="auto" w:fill="FFFFFF"/>
          </w:tcPr>
          <w:p w:rsidR="001F1776" w:rsidRPr="001F1776" w:rsidRDefault="001F1776" w:rsidP="001F1776">
            <w:pPr>
              <w:rPr>
                <w:sz w:val="20"/>
                <w:szCs w:val="20"/>
                <w:lang w:val="sk-SK" w:eastAsia="sk-SK"/>
              </w:rPr>
            </w:pPr>
          </w:p>
        </w:tc>
      </w:tr>
      <w:tr w:rsidR="001F1776" w:rsidRPr="001F1776" w:rsidTr="001F17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Definovanie problému</w:t>
            </w:r>
          </w:p>
        </w:tc>
      </w:tr>
      <w:tr w:rsidR="001F1776" w:rsidRPr="001F1776" w:rsidTr="001F1776">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F1776" w:rsidRPr="001F1776" w:rsidRDefault="001F1776" w:rsidP="001F1776">
            <w:pPr>
              <w:jc w:val="both"/>
              <w:rPr>
                <w:i/>
                <w:sz w:val="20"/>
                <w:szCs w:val="20"/>
                <w:lang w:val="sk-SK" w:eastAsia="sk-SK"/>
              </w:rPr>
            </w:pPr>
            <w:r w:rsidRPr="001F1776">
              <w:rPr>
                <w:i/>
                <w:sz w:val="20"/>
                <w:szCs w:val="20"/>
                <w:lang w:val="sk-SK" w:eastAsia="sk-SK"/>
              </w:rPr>
              <w:t>Na základe poznatkov vyplývajúcich z aplikačnej praxe vyplynula potreba systematicky upraviť prvotnú integráciu osôb, ktorým bola poskytnutá ochrana. Súčasná právna úprava nepozná inštitút prvotnej integrácie, navyše postavenie azylantov a cudzincov, ktorým sa poskytla doplnková ochrana, pri integrácii je odlišné. Návrh tiež transponuje niektoré ustanovenia EU legislatívy, mení napr. hierarchiu statusov, skracuje lehotu na prístup žiadateľov na trh práce, zavádza maximálnu dĺžku povolenia na pobyt mimo pobytového tábora, upravuje poskytovanie poradenstva a kurzov pre žiadateľov a osoby s ochranou atď.</w:t>
            </w:r>
          </w:p>
          <w:p w:rsidR="001F1776" w:rsidRPr="001F1776" w:rsidRDefault="001F1776" w:rsidP="001F1776">
            <w:pPr>
              <w:jc w:val="both"/>
              <w:rPr>
                <w:i/>
                <w:sz w:val="20"/>
                <w:szCs w:val="20"/>
                <w:lang w:val="sk-SK" w:eastAsia="sk-SK"/>
              </w:rPr>
            </w:pPr>
          </w:p>
        </w:tc>
      </w:tr>
      <w:tr w:rsidR="001F1776" w:rsidRPr="001F1776" w:rsidTr="001F1776">
        <w:tc>
          <w:tcPr>
            <w:tcW w:w="9180" w:type="dxa"/>
            <w:gridSpan w:val="11"/>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Ciele a výsledný stav</w:t>
            </w:r>
          </w:p>
        </w:tc>
      </w:tr>
      <w:tr w:rsidR="001F1776" w:rsidRPr="001F1776" w:rsidTr="001F1776">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F1776" w:rsidRPr="001F1776" w:rsidRDefault="001F1776" w:rsidP="001F1776">
            <w:pPr>
              <w:jc w:val="both"/>
              <w:rPr>
                <w:sz w:val="20"/>
                <w:szCs w:val="20"/>
                <w:lang w:val="sk-SK" w:eastAsia="sk-SK"/>
              </w:rPr>
            </w:pPr>
            <w:r w:rsidRPr="001F1776">
              <w:rPr>
                <w:i/>
                <w:sz w:val="20"/>
                <w:szCs w:val="20"/>
                <w:lang w:val="sk-SK" w:eastAsia="sk-SK"/>
              </w:rPr>
              <w:t xml:space="preserve">Cieľom návrhu je systémovo upraviť prvotnú integráciu azylantov a cudzincov, ktorým sa poskytla doplnková ochrana a zároveň zjednotiť ich postavenie. Navrhovaná úprava zavedie jednorazový príspevok aj pre cudzincov, ktorým sa poskytla doplnková ochrana, zavedie integračný príspevok pre obe kategórie a tiež im poskytne sociálne a psychologické poradenstvo a kurz kultúrnej orientácie. Systematická úprava prvotnej integrácie v zákone o azyle zabezpečí okrem iného tiež udržateľnosť tohto systému v prípade nedostupnosti prostriedkov z fondov EU. V súlade s právom EÚ sa mení hierarchia statusov tak, že sa najskôr posúdi potreba medzinárodnej ochrany, a až v prípade nesplnenia podmienok na jej udelenie sa bude posudzovať možnosť poskytnutia národného statusu.  </w:t>
            </w:r>
            <w:r w:rsidRPr="001F1776">
              <w:rPr>
                <w:sz w:val="20"/>
                <w:szCs w:val="20"/>
                <w:lang w:val="sk-SK" w:eastAsia="sk-SK"/>
              </w:rPr>
              <w:t xml:space="preserve"> </w:t>
            </w:r>
          </w:p>
          <w:p w:rsidR="001F1776" w:rsidRPr="001F1776" w:rsidRDefault="001F1776" w:rsidP="001F1776">
            <w:pPr>
              <w:jc w:val="both"/>
              <w:rPr>
                <w:i/>
                <w:sz w:val="20"/>
                <w:szCs w:val="20"/>
                <w:lang w:val="sk-SK" w:eastAsia="sk-SK"/>
              </w:rPr>
            </w:pPr>
          </w:p>
        </w:tc>
      </w:tr>
      <w:tr w:rsidR="001F1776" w:rsidRPr="001F1776" w:rsidTr="001F1776">
        <w:tc>
          <w:tcPr>
            <w:tcW w:w="9180" w:type="dxa"/>
            <w:gridSpan w:val="11"/>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Dotknuté subjekty</w:t>
            </w:r>
          </w:p>
        </w:tc>
      </w:tr>
      <w:tr w:rsidR="001F1776" w:rsidRPr="001F1776" w:rsidTr="001F1776">
        <w:tc>
          <w:tcPr>
            <w:tcW w:w="9180" w:type="dxa"/>
            <w:gridSpan w:val="11"/>
            <w:tcBorders>
              <w:top w:val="nil"/>
              <w:left w:val="single" w:sz="4" w:space="0" w:color="auto"/>
              <w:bottom w:val="single" w:sz="4" w:space="0" w:color="auto"/>
              <w:right w:val="single" w:sz="4" w:space="0" w:color="auto"/>
            </w:tcBorders>
            <w:shd w:val="clear" w:color="auto" w:fill="FFFFFF"/>
          </w:tcPr>
          <w:p w:rsidR="001F1776" w:rsidRPr="001F1776" w:rsidRDefault="001F1776" w:rsidP="001F1776">
            <w:pPr>
              <w:rPr>
                <w:b/>
                <w:sz w:val="20"/>
                <w:szCs w:val="20"/>
                <w:lang w:val="sk-SK" w:eastAsia="sk-SK"/>
              </w:rPr>
            </w:pPr>
            <w:r w:rsidRPr="001F1776">
              <w:rPr>
                <w:i/>
                <w:sz w:val="20"/>
                <w:szCs w:val="20"/>
                <w:lang w:val="sk-SK" w:eastAsia="sk-SK"/>
              </w:rPr>
              <w:t>Žiadatelia o udelenie azylu, azylanti a cudzinci, ktorým sa poskytla doplnková ochrana</w:t>
            </w:r>
          </w:p>
          <w:p w:rsidR="001F1776" w:rsidRPr="001F1776" w:rsidRDefault="001F1776" w:rsidP="001F1776">
            <w:pPr>
              <w:rPr>
                <w:i/>
                <w:sz w:val="20"/>
                <w:szCs w:val="20"/>
                <w:lang w:val="sk-SK" w:eastAsia="sk-SK"/>
              </w:rPr>
            </w:pPr>
          </w:p>
        </w:tc>
      </w:tr>
      <w:tr w:rsidR="001F1776" w:rsidRPr="001F1776" w:rsidTr="001F1776">
        <w:tc>
          <w:tcPr>
            <w:tcW w:w="9180" w:type="dxa"/>
            <w:gridSpan w:val="11"/>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Alternatívne riešenia</w:t>
            </w:r>
          </w:p>
        </w:tc>
      </w:tr>
      <w:tr w:rsidR="001F1776" w:rsidRPr="001F1776" w:rsidTr="001F1776">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F1776" w:rsidRPr="001F1776" w:rsidRDefault="001F1776" w:rsidP="001F1776">
            <w:pPr>
              <w:jc w:val="both"/>
              <w:rPr>
                <w:i/>
                <w:sz w:val="20"/>
                <w:szCs w:val="20"/>
                <w:lang w:val="sk-SK" w:eastAsia="sk-SK"/>
              </w:rPr>
            </w:pPr>
            <w:r w:rsidRPr="001F1776">
              <w:rPr>
                <w:i/>
                <w:sz w:val="20"/>
                <w:szCs w:val="20"/>
                <w:lang w:val="sk-SK" w:eastAsia="sk-SK"/>
              </w:rPr>
              <w:t>V prípade nulového variantu vzhľadom na reálny predpoklad, že nebudú na seba nadväzovať súčasný a budúci Fond pre azyl, migráciu a integráciu nebude možné garantovať poskytovanie príspevku pre azylantov a cudzincov, ktorým sa poskytla doplnková ochrana. Taktiež nebude zabezpečené zrovnoprávnenie azylantov a cudzincov s poskytnutou doplnkovou ochranou v rámci prvotnej integrácie (poskytovanie jednorazového príspevku, možnosť poskytovania ubytovania v integračnom stredisku). Rovnako by v prípade ponechania súčasnej právnej úpravy vo vzťahu k hierarchii statusov nedošlo k uprednostneniu doplnkovej ochrany z dôvodu vážneho bezprávia (forma medzinárodnej ochrany) pred národnými statusmi (azyl na účel zlúčenia rodiny, humanitný azyl), tak ako to vyžaduje príslušná smernica.</w:t>
            </w:r>
          </w:p>
        </w:tc>
      </w:tr>
      <w:tr w:rsidR="001F1776" w:rsidRPr="001F1776" w:rsidTr="001F17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Vykonávacie predpisy</w:t>
            </w:r>
          </w:p>
        </w:tc>
      </w:tr>
      <w:tr w:rsidR="001F1776" w:rsidRPr="001F1776" w:rsidTr="001F1776">
        <w:tc>
          <w:tcPr>
            <w:tcW w:w="6203" w:type="dxa"/>
            <w:gridSpan w:val="7"/>
            <w:tcBorders>
              <w:top w:val="single" w:sz="4" w:space="0" w:color="FFFFFF"/>
              <w:left w:val="single" w:sz="4" w:space="0" w:color="auto"/>
              <w:bottom w:val="nil"/>
              <w:right w:val="nil"/>
            </w:tcBorders>
            <w:shd w:val="clear" w:color="auto" w:fill="FFFFFF"/>
          </w:tcPr>
          <w:p w:rsidR="001F1776" w:rsidRPr="001F1776" w:rsidRDefault="001F1776" w:rsidP="001F1776">
            <w:pPr>
              <w:rPr>
                <w:i/>
                <w:sz w:val="20"/>
                <w:szCs w:val="20"/>
                <w:lang w:val="sk-SK" w:eastAsia="sk-SK"/>
              </w:rPr>
            </w:pPr>
            <w:r w:rsidRPr="001F1776">
              <w:rPr>
                <w:i/>
                <w:sz w:val="20"/>
                <w:szCs w:val="20"/>
                <w:lang w:val="sk-SK"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F1776" w:rsidRPr="001F1776" w:rsidRDefault="00886C7C" w:rsidP="001F1776">
            <w:pPr>
              <w:jc w:val="center"/>
              <w:rPr>
                <w:b/>
                <w:sz w:val="20"/>
                <w:szCs w:val="20"/>
                <w:lang w:val="sk-SK" w:eastAsia="sk-SK"/>
              </w:rPr>
            </w:pPr>
            <w:sdt>
              <w:sdtPr>
                <w:rPr>
                  <w:b/>
                  <w:sz w:val="20"/>
                  <w:szCs w:val="20"/>
                  <w:lang w:val="sk-SK" w:eastAsia="sk-SK"/>
                </w:rPr>
                <w:id w:val="1929613764"/>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F1776" w:rsidRPr="001F1776" w:rsidRDefault="00886C7C" w:rsidP="001F1776">
            <w:pPr>
              <w:jc w:val="center"/>
              <w:rPr>
                <w:b/>
                <w:sz w:val="20"/>
                <w:szCs w:val="20"/>
                <w:lang w:val="sk-SK" w:eastAsia="sk-SK"/>
              </w:rPr>
            </w:pPr>
            <w:sdt>
              <w:sdtPr>
                <w:rPr>
                  <w:b/>
                  <w:sz w:val="20"/>
                  <w:szCs w:val="20"/>
                  <w:lang w:val="sk-SK" w:eastAsia="sk-SK"/>
                </w:rPr>
                <w:id w:val="-1594626508"/>
                <w14:checkbox>
                  <w14:checked w14:val="1"/>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Nie</w:t>
            </w:r>
          </w:p>
        </w:tc>
      </w:tr>
      <w:tr w:rsidR="001F1776" w:rsidRPr="001F1776" w:rsidTr="001F1776">
        <w:tc>
          <w:tcPr>
            <w:tcW w:w="9180" w:type="dxa"/>
            <w:gridSpan w:val="11"/>
            <w:tcBorders>
              <w:top w:val="nil"/>
              <w:left w:val="single" w:sz="4" w:space="0" w:color="auto"/>
              <w:bottom w:val="single" w:sz="4" w:space="0" w:color="auto"/>
              <w:right w:val="single" w:sz="4" w:space="0" w:color="auto"/>
            </w:tcBorders>
            <w:shd w:val="clear" w:color="auto" w:fill="FFFFFF"/>
          </w:tcPr>
          <w:p w:rsidR="001F1776" w:rsidRPr="001F1776" w:rsidRDefault="001F1776" w:rsidP="001F1776">
            <w:pPr>
              <w:rPr>
                <w:i/>
                <w:sz w:val="20"/>
                <w:szCs w:val="20"/>
                <w:lang w:val="sk-SK" w:eastAsia="sk-SK"/>
              </w:rPr>
            </w:pPr>
            <w:r w:rsidRPr="001F1776">
              <w:rPr>
                <w:i/>
                <w:sz w:val="20"/>
                <w:szCs w:val="20"/>
                <w:lang w:val="sk-SK" w:eastAsia="sk-SK"/>
              </w:rPr>
              <w:t>Ak áno, uveďte ktoré oblasti budú nimi upravené, resp. ktorých vykonávacích predpisov sa zmena dotkne:</w:t>
            </w:r>
          </w:p>
        </w:tc>
      </w:tr>
      <w:tr w:rsidR="001F1776" w:rsidRPr="001F1776" w:rsidTr="001F17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lastRenderedPageBreak/>
              <w:t xml:space="preserve">Transpozícia práva EÚ </w:t>
            </w:r>
          </w:p>
        </w:tc>
      </w:tr>
      <w:tr w:rsidR="001F1776" w:rsidRPr="001F1776" w:rsidTr="001F1776">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F1776" w:rsidRPr="001F1776" w:rsidRDefault="001F1776" w:rsidP="001F1776">
            <w:pPr>
              <w:rPr>
                <w:sz w:val="20"/>
                <w:szCs w:val="20"/>
                <w:lang w:val="sk-SK" w:eastAsia="sk-SK"/>
              </w:rPr>
            </w:pPr>
          </w:p>
        </w:tc>
      </w:tr>
      <w:tr w:rsidR="001F1776" w:rsidRPr="001F1776" w:rsidTr="001F1776">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Preskúmanie účelnosti</w:t>
            </w:r>
          </w:p>
        </w:tc>
      </w:tr>
      <w:tr w:rsidR="001F1776" w:rsidRPr="001F1776" w:rsidTr="001F1776">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F1776" w:rsidRPr="001F1776" w:rsidRDefault="001F1776" w:rsidP="001F1776">
            <w:pPr>
              <w:jc w:val="both"/>
              <w:rPr>
                <w:i/>
                <w:sz w:val="20"/>
                <w:szCs w:val="20"/>
                <w:lang w:val="sk-SK" w:eastAsia="sk-SK"/>
              </w:rPr>
            </w:pPr>
            <w:r w:rsidRPr="001F1776">
              <w:rPr>
                <w:i/>
                <w:sz w:val="20"/>
                <w:szCs w:val="20"/>
                <w:lang w:val="sk-SK" w:eastAsia="sk-SK"/>
              </w:rPr>
              <w:t>K preskúmaniu účinnosti a účelnosti predkladaného materiálu by malo dôjsť 3 roky od účinnosti predkladaného návrhu. Vzhľadom na to, že účinnosť predkladaného návrhu sa navrhuje k 1. júnu 2022, k preskúmaniu účinnosti a účelnosti by malo dôjsť v treťom kvartáli 2025 na základe získaných poznatkov z aplikačnej praxe. Prijaté zmeny budú vyhodnocované prostredníctvom indikátora, ktorým bude stabilita pri zabezpečovaní prvotnej integrácie azylanta alebo cudzinca s poskytnutou doplnkovou ochranou.</w:t>
            </w:r>
          </w:p>
        </w:tc>
      </w:tr>
      <w:tr w:rsidR="001F1776" w:rsidRPr="001F1776" w:rsidTr="001F1776">
        <w:tc>
          <w:tcPr>
            <w:tcW w:w="9180" w:type="dxa"/>
            <w:gridSpan w:val="11"/>
            <w:tcBorders>
              <w:top w:val="nil"/>
              <w:left w:val="nil"/>
              <w:bottom w:val="single" w:sz="4" w:space="0" w:color="auto"/>
              <w:right w:val="nil"/>
            </w:tcBorders>
            <w:shd w:val="clear" w:color="auto" w:fill="FFFFFF"/>
          </w:tcPr>
          <w:p w:rsidR="001F1776" w:rsidRPr="001F1776" w:rsidRDefault="001F1776" w:rsidP="001F1776">
            <w:pPr>
              <w:ind w:left="142" w:hanging="142"/>
              <w:rPr>
                <w:sz w:val="20"/>
                <w:szCs w:val="20"/>
                <w:lang w:val="sk-SK" w:eastAsia="sk-SK"/>
              </w:rPr>
            </w:pPr>
            <w:r w:rsidRPr="001F1776">
              <w:rPr>
                <w:sz w:val="20"/>
                <w:szCs w:val="20"/>
                <w:lang w:val="sk-SK" w:eastAsia="sk-SK"/>
              </w:rPr>
              <w:t xml:space="preserve">* vyplniť iba v prípade, ak materiál nie je zahrnutý do Plánu práce vlády Slovenskej republiky alebo Plánu        legislatívnych úloh vlády Slovenskej republiky. </w:t>
            </w:r>
          </w:p>
          <w:p w:rsidR="001F1776" w:rsidRPr="001F1776" w:rsidRDefault="001F1776" w:rsidP="001F1776">
            <w:pPr>
              <w:rPr>
                <w:sz w:val="20"/>
                <w:szCs w:val="20"/>
                <w:lang w:val="sk-SK" w:eastAsia="sk-SK"/>
              </w:rPr>
            </w:pPr>
            <w:r w:rsidRPr="001F1776">
              <w:rPr>
                <w:sz w:val="20"/>
                <w:szCs w:val="20"/>
                <w:lang w:val="sk-SK" w:eastAsia="sk-SK"/>
              </w:rPr>
              <w:t>** vyplniť iba v prípade, ak sa záverečné posúdenie vybraných vplyvov uskutočnilo v zmysle bodu 9.1. jednotnej metodiky.</w:t>
            </w:r>
          </w:p>
          <w:p w:rsidR="001F1776" w:rsidRPr="001F1776" w:rsidRDefault="001F1776" w:rsidP="001F1776">
            <w:pPr>
              <w:rPr>
                <w:b/>
                <w:sz w:val="20"/>
                <w:szCs w:val="20"/>
                <w:lang w:val="sk-SK" w:eastAsia="sk-SK"/>
              </w:rPr>
            </w:pPr>
          </w:p>
        </w:tc>
      </w:tr>
      <w:tr w:rsidR="001F1776" w:rsidRPr="001F1776" w:rsidTr="001F1776">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Vybrané vplyvy  materiálu</w:t>
            </w:r>
          </w:p>
        </w:tc>
      </w:tr>
      <w:tr w:rsidR="001F1776" w:rsidRPr="001F1776" w:rsidTr="001F1776">
        <w:tc>
          <w:tcPr>
            <w:tcW w:w="3812" w:type="dxa"/>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eastAsia="sk-SK"/>
              </w:rPr>
              <w:t>Vplyvy na rozpočet verejnej správy</w:t>
            </w:r>
          </w:p>
        </w:tc>
        <w:sdt>
          <w:sdtPr>
            <w:rPr>
              <w:b/>
              <w:sz w:val="20"/>
              <w:szCs w:val="20"/>
              <w:lang w:val="sk-SK"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single" w:sz="4" w:space="0" w:color="auto"/>
              <w:left w:val="nil"/>
              <w:bottom w:val="dotted" w:sz="4" w:space="0" w:color="auto"/>
              <w:right w:val="nil"/>
            </w:tcBorders>
          </w:tcPr>
          <w:p w:rsidR="001F1776" w:rsidRPr="001F1776" w:rsidRDefault="001F1776" w:rsidP="001F1776">
            <w:pPr>
              <w:rPr>
                <w:b/>
                <w:sz w:val="20"/>
                <w:szCs w:val="20"/>
                <w:lang w:val="sk-SK" w:eastAsia="sk-SK"/>
              </w:rPr>
            </w:pPr>
            <w:r w:rsidRPr="001F1776">
              <w:rPr>
                <w:b/>
                <w:sz w:val="20"/>
                <w:szCs w:val="20"/>
                <w:lang w:val="sk-SK" w:eastAsia="sk-SK"/>
              </w:rPr>
              <w:t>Pozitívne</w:t>
            </w:r>
          </w:p>
        </w:tc>
        <w:sdt>
          <w:sdtPr>
            <w:rPr>
              <w:b/>
              <w:sz w:val="20"/>
              <w:szCs w:val="20"/>
              <w:lang w:val="sk-SK"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dotted" w:sz="4" w:space="0" w:color="auto"/>
              <w:right w:val="nil"/>
            </w:tcBorders>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F1776" w:rsidRPr="001F1776" w:rsidRDefault="001F1776" w:rsidP="001F1776">
                <w:pPr>
                  <w:ind w:left="-107" w:right="-108"/>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dotted" w:sz="4" w:space="0" w:color="auto"/>
              <w:right w:val="single" w:sz="4" w:space="0" w:color="auto"/>
            </w:tcBorders>
          </w:tcPr>
          <w:p w:rsidR="001F1776" w:rsidRPr="001F1776" w:rsidRDefault="001F1776" w:rsidP="001F1776">
            <w:pPr>
              <w:ind w:left="34"/>
              <w:rPr>
                <w:b/>
                <w:sz w:val="20"/>
                <w:szCs w:val="20"/>
                <w:lang w:val="sk-SK" w:eastAsia="sk-SK"/>
              </w:rPr>
            </w:pPr>
            <w:r w:rsidRPr="001F1776">
              <w:rPr>
                <w:b/>
                <w:sz w:val="20"/>
                <w:szCs w:val="20"/>
                <w:lang w:val="sk-SK" w:eastAsia="sk-SK"/>
              </w:rPr>
              <w:t>Negatívne</w:t>
            </w:r>
          </w:p>
        </w:tc>
      </w:tr>
      <w:tr w:rsidR="001F1776" w:rsidRPr="001F1776" w:rsidTr="001F1776">
        <w:tc>
          <w:tcPr>
            <w:tcW w:w="3812" w:type="dxa"/>
            <w:tcBorders>
              <w:top w:val="nil"/>
              <w:left w:val="single" w:sz="4" w:space="0" w:color="auto"/>
              <w:bottom w:val="single" w:sz="4" w:space="0" w:color="000000"/>
              <w:right w:val="single" w:sz="4" w:space="0" w:color="auto"/>
            </w:tcBorders>
            <w:shd w:val="clear" w:color="auto" w:fill="E2E2E2"/>
          </w:tcPr>
          <w:p w:rsidR="001F1776" w:rsidRPr="001F1776" w:rsidRDefault="001F1776" w:rsidP="001F1776">
            <w:pPr>
              <w:rPr>
                <w:sz w:val="20"/>
                <w:szCs w:val="20"/>
                <w:lang w:val="sk-SK" w:eastAsia="sk-SK"/>
              </w:rPr>
            </w:pPr>
            <w:r w:rsidRPr="001F1776">
              <w:rPr>
                <w:sz w:val="20"/>
                <w:szCs w:val="20"/>
                <w:lang w:val="sk-SK" w:eastAsia="sk-SK"/>
              </w:rPr>
              <w:t xml:space="preserve">    z toho rozpočtovo zabezpečené vplyvy,         </w:t>
            </w:r>
          </w:p>
          <w:p w:rsidR="001F1776" w:rsidRPr="001F1776" w:rsidRDefault="001F1776" w:rsidP="001F1776">
            <w:pPr>
              <w:rPr>
                <w:sz w:val="20"/>
                <w:szCs w:val="20"/>
                <w:lang w:val="sk-SK" w:eastAsia="sk-SK"/>
              </w:rPr>
            </w:pPr>
            <w:r w:rsidRPr="001F1776">
              <w:rPr>
                <w:sz w:val="20"/>
                <w:szCs w:val="20"/>
                <w:lang w:val="sk-SK" w:eastAsia="sk-SK"/>
              </w:rPr>
              <w:t xml:space="preserve">    v prípade identifikovaného negatívneho </w:t>
            </w:r>
          </w:p>
          <w:p w:rsidR="001F1776" w:rsidRPr="001F1776" w:rsidRDefault="001F1776" w:rsidP="001F1776">
            <w:pPr>
              <w:rPr>
                <w:sz w:val="20"/>
                <w:szCs w:val="20"/>
                <w:lang w:val="sk-SK" w:eastAsia="sk-SK"/>
              </w:rPr>
            </w:pPr>
            <w:r w:rsidRPr="001F1776">
              <w:rPr>
                <w:sz w:val="20"/>
                <w:szCs w:val="20"/>
                <w:lang w:val="sk-SK" w:eastAsia="sk-SK"/>
              </w:rPr>
              <w:t xml:space="preserve">    vplyvu</w:t>
            </w:r>
          </w:p>
        </w:tc>
        <w:sdt>
          <w:sdtPr>
            <w:rPr>
              <w:sz w:val="20"/>
              <w:szCs w:val="20"/>
              <w:lang w:val="sk-SK"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1312" w:type="dxa"/>
            <w:gridSpan w:val="2"/>
            <w:tcBorders>
              <w:top w:val="dotted" w:sz="4" w:space="0" w:color="auto"/>
              <w:left w:val="nil"/>
              <w:bottom w:val="single" w:sz="4" w:space="0" w:color="auto"/>
              <w:right w:val="nil"/>
            </w:tcBorders>
            <w:vAlign w:val="center"/>
          </w:tcPr>
          <w:p w:rsidR="001F1776" w:rsidRPr="001F1776" w:rsidRDefault="001F1776" w:rsidP="001F1776">
            <w:pPr>
              <w:rPr>
                <w:sz w:val="20"/>
                <w:szCs w:val="20"/>
                <w:lang w:val="sk-SK" w:eastAsia="sk-SK"/>
              </w:rPr>
            </w:pPr>
            <w:r w:rsidRPr="001F1776">
              <w:rPr>
                <w:sz w:val="20"/>
                <w:szCs w:val="20"/>
                <w:lang w:val="sk-SK" w:eastAsia="sk-SK"/>
              </w:rPr>
              <w:t>Áno</w:t>
            </w:r>
          </w:p>
        </w:tc>
        <w:sdt>
          <w:sdtPr>
            <w:rPr>
              <w:sz w:val="20"/>
              <w:szCs w:val="20"/>
              <w:lang w:val="sk-SK"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1133" w:type="dxa"/>
            <w:tcBorders>
              <w:top w:val="dotted" w:sz="4" w:space="0" w:color="auto"/>
              <w:left w:val="nil"/>
              <w:bottom w:val="single" w:sz="4" w:space="0" w:color="auto"/>
              <w:right w:val="nil"/>
            </w:tcBorders>
            <w:vAlign w:val="center"/>
          </w:tcPr>
          <w:p w:rsidR="001F1776" w:rsidRPr="001F1776" w:rsidRDefault="001F1776" w:rsidP="001F1776">
            <w:pPr>
              <w:rPr>
                <w:sz w:val="20"/>
                <w:szCs w:val="20"/>
                <w:lang w:val="sk-SK" w:eastAsia="sk-SK"/>
              </w:rPr>
            </w:pPr>
            <w:r w:rsidRPr="001F1776">
              <w:rPr>
                <w:sz w:val="20"/>
                <w:szCs w:val="20"/>
                <w:lang w:val="sk-SK" w:eastAsia="sk-SK"/>
              </w:rPr>
              <w:t>Nie</w:t>
            </w:r>
          </w:p>
        </w:tc>
        <w:sdt>
          <w:sdtPr>
            <w:rPr>
              <w:sz w:val="20"/>
              <w:szCs w:val="20"/>
              <w:lang w:val="sk-SK"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F1776" w:rsidRPr="001F1776" w:rsidRDefault="001F1776" w:rsidP="001F1776">
                <w:pPr>
                  <w:ind w:left="-107" w:right="-108"/>
                  <w:jc w:val="center"/>
                  <w:rPr>
                    <w:sz w:val="20"/>
                    <w:szCs w:val="20"/>
                    <w:lang w:val="sk-SK" w:eastAsia="sk-SK"/>
                  </w:rPr>
                </w:pPr>
                <w:r w:rsidRPr="001F1776">
                  <w:rPr>
                    <w:rFonts w:ascii="MS Gothic" w:eastAsia="MS Gothic" w:hAnsi="MS Gothic"/>
                    <w:sz w:val="20"/>
                    <w:szCs w:val="20"/>
                    <w:lang w:val="sk-SK"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F1776" w:rsidRPr="001F1776" w:rsidRDefault="001F1776" w:rsidP="001F1776">
            <w:pPr>
              <w:ind w:left="34"/>
              <w:rPr>
                <w:sz w:val="20"/>
                <w:szCs w:val="20"/>
                <w:lang w:val="sk-SK" w:eastAsia="sk-SK"/>
              </w:rPr>
            </w:pPr>
            <w:r w:rsidRPr="001F1776">
              <w:rPr>
                <w:sz w:val="20"/>
                <w:szCs w:val="20"/>
                <w:lang w:val="sk-SK" w:eastAsia="sk-SK"/>
              </w:rPr>
              <w:t>Čiastočne</w:t>
            </w:r>
          </w:p>
        </w:tc>
      </w:tr>
      <w:tr w:rsidR="001F1776" w:rsidRPr="001F1776" w:rsidTr="001F1776">
        <w:tc>
          <w:tcPr>
            <w:tcW w:w="3812" w:type="dxa"/>
            <w:tcBorders>
              <w:top w:val="single" w:sz="4" w:space="0" w:color="000000"/>
              <w:left w:val="single" w:sz="4" w:space="0" w:color="auto"/>
              <w:bottom w:val="nil"/>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eastAsia="sk-SK"/>
              </w:rPr>
              <w:t>Vplyvy na podnikateľské prostredie</w:t>
            </w:r>
          </w:p>
        </w:tc>
        <w:sdt>
          <w:sdtPr>
            <w:rPr>
              <w:b/>
              <w:sz w:val="20"/>
              <w:szCs w:val="20"/>
              <w:lang w:val="sk-SK"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single" w:sz="4" w:space="0" w:color="auto"/>
              <w:left w:val="nil"/>
              <w:bottom w:val="dotted" w:sz="4" w:space="0" w:color="auto"/>
              <w:right w:val="nil"/>
            </w:tcBorders>
            <w:vAlign w:val="center"/>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dotted" w:sz="4" w:space="0" w:color="auto"/>
              <w:right w:val="nil"/>
            </w:tcBorders>
            <w:vAlign w:val="center"/>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r w:rsidR="001F1776" w:rsidRPr="001F1776" w:rsidTr="001F1776">
        <w:tc>
          <w:tcPr>
            <w:tcW w:w="3812" w:type="dxa"/>
            <w:tcBorders>
              <w:top w:val="nil"/>
              <w:left w:val="single" w:sz="4" w:space="0" w:color="000000"/>
              <w:bottom w:val="nil"/>
              <w:right w:val="single" w:sz="4" w:space="0" w:color="000000"/>
            </w:tcBorders>
            <w:shd w:val="clear" w:color="auto" w:fill="E2E2E2"/>
          </w:tcPr>
          <w:p w:rsidR="001F1776" w:rsidRPr="001F1776" w:rsidRDefault="001F1776" w:rsidP="001F1776">
            <w:pPr>
              <w:rPr>
                <w:sz w:val="20"/>
                <w:szCs w:val="20"/>
                <w:lang w:val="sk-SK" w:eastAsia="sk-SK"/>
              </w:rPr>
            </w:pPr>
            <w:r w:rsidRPr="001F1776">
              <w:rPr>
                <w:sz w:val="20"/>
                <w:szCs w:val="20"/>
                <w:lang w:val="sk-SK" w:eastAsia="sk-SK"/>
              </w:rPr>
              <w:t xml:space="preserve">    z toho vplyvy na MSP</w:t>
            </w:r>
          </w:p>
          <w:p w:rsidR="001F1776" w:rsidRPr="001F1776" w:rsidRDefault="001F1776" w:rsidP="001F1776">
            <w:pPr>
              <w:rPr>
                <w:sz w:val="20"/>
                <w:szCs w:val="20"/>
                <w:lang w:val="sk-SK" w:eastAsia="sk-SK"/>
              </w:rPr>
            </w:pPr>
          </w:p>
        </w:tc>
        <w:sdt>
          <w:sdtPr>
            <w:rPr>
              <w:sz w:val="20"/>
              <w:szCs w:val="20"/>
              <w:lang w:val="sk-SK"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1312" w:type="dxa"/>
            <w:gridSpan w:val="2"/>
            <w:tcBorders>
              <w:top w:val="dotted" w:sz="4" w:space="0" w:color="auto"/>
              <w:left w:val="nil"/>
              <w:bottom w:val="dotted" w:sz="4" w:space="0" w:color="auto"/>
              <w:right w:val="nil"/>
            </w:tcBorders>
            <w:vAlign w:val="center"/>
          </w:tcPr>
          <w:p w:rsidR="001F1776" w:rsidRPr="001F1776" w:rsidRDefault="001F1776" w:rsidP="001F1776">
            <w:pPr>
              <w:ind w:right="-108"/>
              <w:rPr>
                <w:sz w:val="20"/>
                <w:szCs w:val="20"/>
                <w:lang w:val="sk-SK" w:eastAsia="sk-SK"/>
              </w:rPr>
            </w:pPr>
            <w:r w:rsidRPr="001F1776">
              <w:rPr>
                <w:sz w:val="20"/>
                <w:szCs w:val="20"/>
                <w:lang w:val="sk-SK" w:eastAsia="sk-SK"/>
              </w:rPr>
              <w:t>Pozitívne</w:t>
            </w:r>
          </w:p>
        </w:tc>
        <w:sdt>
          <w:sdtPr>
            <w:rPr>
              <w:sz w:val="20"/>
              <w:szCs w:val="20"/>
              <w:lang w:val="sk-SK"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1133" w:type="dxa"/>
            <w:tcBorders>
              <w:top w:val="dotted" w:sz="4" w:space="0" w:color="auto"/>
              <w:left w:val="nil"/>
              <w:bottom w:val="dotted" w:sz="4" w:space="0" w:color="auto"/>
              <w:right w:val="nil"/>
            </w:tcBorders>
            <w:vAlign w:val="center"/>
          </w:tcPr>
          <w:p w:rsidR="001F1776" w:rsidRPr="001F1776" w:rsidRDefault="001F1776" w:rsidP="001F1776">
            <w:pPr>
              <w:rPr>
                <w:sz w:val="20"/>
                <w:szCs w:val="20"/>
                <w:lang w:val="sk-SK" w:eastAsia="sk-SK"/>
              </w:rPr>
            </w:pPr>
            <w:r w:rsidRPr="001F1776">
              <w:rPr>
                <w:sz w:val="20"/>
                <w:szCs w:val="20"/>
                <w:lang w:val="sk-SK" w:eastAsia="sk-SK"/>
              </w:rPr>
              <w:t>Žiadne</w:t>
            </w:r>
          </w:p>
        </w:tc>
        <w:sdt>
          <w:sdtPr>
            <w:rPr>
              <w:sz w:val="20"/>
              <w:szCs w:val="20"/>
              <w:lang w:val="sk-SK"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F1776" w:rsidRPr="001F1776" w:rsidRDefault="001F1776" w:rsidP="001F1776">
                <w:pPr>
                  <w:jc w:val="center"/>
                  <w:rPr>
                    <w:sz w:val="20"/>
                    <w:szCs w:val="20"/>
                    <w:lang w:val="sk-SK" w:eastAsia="sk-SK"/>
                  </w:rPr>
                </w:pPr>
                <w:r w:rsidRPr="001F1776">
                  <w:rPr>
                    <w:rFonts w:ascii="MS Gothic" w:eastAsia="MS Gothic" w:hAnsi="MS Gothic"/>
                    <w:sz w:val="20"/>
                    <w:szCs w:val="20"/>
                    <w:lang w:val="sk-SK"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F1776" w:rsidRPr="001F1776" w:rsidRDefault="001F1776" w:rsidP="001F1776">
            <w:pPr>
              <w:ind w:left="54"/>
              <w:rPr>
                <w:sz w:val="20"/>
                <w:szCs w:val="20"/>
                <w:lang w:val="sk-SK" w:eastAsia="sk-SK"/>
              </w:rPr>
            </w:pPr>
            <w:r w:rsidRPr="001F1776">
              <w:rPr>
                <w:sz w:val="20"/>
                <w:szCs w:val="20"/>
                <w:lang w:val="sk-SK" w:eastAsia="sk-SK"/>
              </w:rPr>
              <w:t>Negatívne</w:t>
            </w:r>
          </w:p>
        </w:tc>
      </w:tr>
      <w:tr w:rsidR="001F1776" w:rsidRPr="001F1776" w:rsidTr="001F1776">
        <w:tc>
          <w:tcPr>
            <w:tcW w:w="3812" w:type="dxa"/>
            <w:tcBorders>
              <w:top w:val="nil"/>
              <w:left w:val="single" w:sz="4" w:space="0" w:color="auto"/>
              <w:bottom w:val="single" w:sz="4" w:space="0" w:color="auto"/>
              <w:right w:val="single" w:sz="4" w:space="0" w:color="auto"/>
            </w:tcBorders>
            <w:shd w:val="clear" w:color="auto" w:fill="E2E2E2"/>
          </w:tcPr>
          <w:p w:rsidR="001F1776" w:rsidRPr="001F1776" w:rsidRDefault="001F1776" w:rsidP="001F1776">
            <w:pPr>
              <w:rPr>
                <w:sz w:val="20"/>
                <w:szCs w:val="20"/>
                <w:lang w:val="sk-SK" w:eastAsia="sk-SK"/>
              </w:rPr>
            </w:pPr>
            <w:r w:rsidRPr="001F1776">
              <w:rPr>
                <w:sz w:val="20"/>
                <w:szCs w:val="20"/>
                <w:lang w:val="sk-SK" w:eastAsia="sk-SK"/>
              </w:rPr>
              <w:t xml:space="preserve">    Mechanizmus znižovania byrokracie    </w:t>
            </w:r>
          </w:p>
          <w:p w:rsidR="001F1776" w:rsidRPr="001F1776" w:rsidRDefault="001F1776" w:rsidP="001F1776">
            <w:pPr>
              <w:rPr>
                <w:b/>
                <w:sz w:val="20"/>
                <w:szCs w:val="20"/>
                <w:lang w:val="sk-SK" w:eastAsia="sk-SK"/>
              </w:rPr>
            </w:pPr>
            <w:r w:rsidRPr="001F1776">
              <w:rPr>
                <w:sz w:val="20"/>
                <w:szCs w:val="20"/>
                <w:lang w:val="sk-SK" w:eastAsia="sk-SK"/>
              </w:rPr>
              <w:t xml:space="preserve">    a nákladov sa uplatňuje:</w:t>
            </w:r>
          </w:p>
        </w:tc>
        <w:sdt>
          <w:sdtPr>
            <w:rPr>
              <w:b/>
              <w:sz w:val="20"/>
              <w:szCs w:val="20"/>
              <w:lang w:val="sk-SK"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596" w:type="dxa"/>
            <w:gridSpan w:val="3"/>
            <w:tcBorders>
              <w:top w:val="dotted" w:sz="4" w:space="0" w:color="auto"/>
              <w:left w:val="nil"/>
              <w:bottom w:val="single" w:sz="4" w:space="0" w:color="auto"/>
              <w:right w:val="nil"/>
            </w:tcBorders>
            <w:vAlign w:val="center"/>
          </w:tcPr>
          <w:p w:rsidR="001F1776" w:rsidRPr="001F1776" w:rsidRDefault="001F1776" w:rsidP="001F1776">
            <w:pPr>
              <w:ind w:right="-108"/>
              <w:rPr>
                <w:b/>
                <w:sz w:val="20"/>
                <w:szCs w:val="20"/>
                <w:lang w:val="sk-SK" w:eastAsia="sk-SK"/>
              </w:rPr>
            </w:pPr>
            <w:r w:rsidRPr="001F1776">
              <w:rPr>
                <w:sz w:val="20"/>
                <w:szCs w:val="20"/>
                <w:lang w:val="sk-SK" w:eastAsia="sk-SK"/>
              </w:rPr>
              <w:t>Áno</w:t>
            </w:r>
          </w:p>
        </w:tc>
        <w:tc>
          <w:tcPr>
            <w:tcW w:w="254" w:type="dxa"/>
            <w:tcBorders>
              <w:top w:val="dotted" w:sz="4" w:space="0" w:color="auto"/>
              <w:left w:val="nil"/>
              <w:bottom w:val="single" w:sz="4" w:space="0" w:color="auto"/>
              <w:right w:val="nil"/>
            </w:tcBorders>
            <w:vAlign w:val="center"/>
          </w:tcPr>
          <w:p w:rsidR="001F1776" w:rsidRPr="001F1776" w:rsidRDefault="001F1776" w:rsidP="001F1776">
            <w:pPr>
              <w:jc w:val="center"/>
              <w:rPr>
                <w:b/>
                <w:sz w:val="20"/>
                <w:szCs w:val="20"/>
                <w:lang w:val="sk-SK" w:eastAsia="sk-SK"/>
              </w:rPr>
            </w:pPr>
          </w:p>
        </w:tc>
        <w:tc>
          <w:tcPr>
            <w:tcW w:w="1133" w:type="dxa"/>
            <w:tcBorders>
              <w:top w:val="dotted" w:sz="4" w:space="0" w:color="auto"/>
              <w:left w:val="nil"/>
              <w:bottom w:val="single" w:sz="4" w:space="0" w:color="auto"/>
              <w:right w:val="nil"/>
            </w:tcBorders>
            <w:vAlign w:val="center"/>
          </w:tcPr>
          <w:p w:rsidR="001F1776" w:rsidRPr="001F1776" w:rsidRDefault="001F1776" w:rsidP="001F1776">
            <w:pPr>
              <w:jc w:val="center"/>
              <w:rPr>
                <w:b/>
                <w:sz w:val="20"/>
                <w:szCs w:val="20"/>
                <w:lang w:val="sk-SK" w:eastAsia="sk-SK"/>
              </w:rPr>
            </w:pPr>
          </w:p>
        </w:tc>
        <w:sdt>
          <w:sdtPr>
            <w:rPr>
              <w:b/>
              <w:sz w:val="20"/>
              <w:szCs w:val="20"/>
              <w:lang w:val="sk-SK"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F1776" w:rsidRPr="001F1776" w:rsidRDefault="001F1776" w:rsidP="001F1776">
            <w:pPr>
              <w:ind w:left="54"/>
              <w:rPr>
                <w:b/>
                <w:sz w:val="20"/>
                <w:szCs w:val="20"/>
                <w:lang w:val="sk-SK" w:eastAsia="sk-SK"/>
              </w:rPr>
            </w:pPr>
            <w:r w:rsidRPr="001F1776">
              <w:rPr>
                <w:sz w:val="20"/>
                <w:szCs w:val="20"/>
                <w:lang w:val="sk-SK" w:eastAsia="sk-SK"/>
              </w:rPr>
              <w:t>Nie</w:t>
            </w:r>
          </w:p>
        </w:tc>
      </w:tr>
      <w:tr w:rsidR="001F1776" w:rsidRPr="001F1776" w:rsidTr="001F1776">
        <w:tc>
          <w:tcPr>
            <w:tcW w:w="3812" w:type="dxa"/>
            <w:tcBorders>
              <w:top w:val="single" w:sz="4" w:space="0" w:color="000000"/>
              <w:left w:val="single" w:sz="4" w:space="0" w:color="auto"/>
              <w:bottom w:val="single" w:sz="4" w:space="0" w:color="auto"/>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eastAsia="sk-SK"/>
              </w:rPr>
              <w:t>Sociálne vplyvy</w:t>
            </w:r>
          </w:p>
        </w:tc>
        <w:sdt>
          <w:sdtPr>
            <w:rPr>
              <w:b/>
              <w:sz w:val="20"/>
              <w:szCs w:val="20"/>
              <w:lang w:val="sk-SK"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single" w:sz="4" w:space="0" w:color="auto"/>
              <w:left w:val="nil"/>
              <w:bottom w:val="single" w:sz="4" w:space="0" w:color="auto"/>
              <w:right w:val="nil"/>
            </w:tcBorders>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single" w:sz="4" w:space="0" w:color="auto"/>
              <w:right w:val="nil"/>
            </w:tcBorders>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single" w:sz="4" w:space="0" w:color="auto"/>
              <w:right w:val="single" w:sz="4" w:space="0" w:color="auto"/>
            </w:tcBorders>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r w:rsidR="001F1776" w:rsidRPr="001F1776" w:rsidTr="001F1776">
        <w:tc>
          <w:tcPr>
            <w:tcW w:w="3812" w:type="dxa"/>
            <w:tcBorders>
              <w:top w:val="single" w:sz="4" w:space="0" w:color="auto"/>
              <w:left w:val="single" w:sz="4" w:space="0" w:color="auto"/>
              <w:bottom w:val="single" w:sz="4" w:space="0" w:color="auto"/>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eastAsia="sk-SK"/>
              </w:rPr>
              <w:t>Vplyvy na životné prostredie</w:t>
            </w:r>
          </w:p>
        </w:tc>
        <w:sdt>
          <w:sdtPr>
            <w:rPr>
              <w:b/>
              <w:sz w:val="20"/>
              <w:szCs w:val="20"/>
              <w:lang w:val="sk-SK"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single" w:sz="4" w:space="0" w:color="auto"/>
              <w:left w:val="nil"/>
              <w:bottom w:val="single" w:sz="4" w:space="0" w:color="auto"/>
              <w:right w:val="nil"/>
            </w:tcBorders>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single" w:sz="4" w:space="0" w:color="auto"/>
              <w:right w:val="nil"/>
            </w:tcBorders>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single" w:sz="4" w:space="0" w:color="auto"/>
              <w:right w:val="single" w:sz="4" w:space="0" w:color="auto"/>
            </w:tcBorders>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r w:rsidR="001F1776" w:rsidRPr="001F1776" w:rsidTr="001F1776">
        <w:tc>
          <w:tcPr>
            <w:tcW w:w="3812" w:type="dxa"/>
            <w:tcBorders>
              <w:top w:val="single" w:sz="4" w:space="0" w:color="auto"/>
              <w:left w:val="single" w:sz="4" w:space="0" w:color="auto"/>
              <w:bottom w:val="single" w:sz="4" w:space="0" w:color="auto"/>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eastAsia="sk-SK"/>
              </w:rPr>
              <w:t>Vplyvy na informatizáciu spoločnosti</w:t>
            </w:r>
          </w:p>
        </w:tc>
        <w:sdt>
          <w:sdtPr>
            <w:rPr>
              <w:b/>
              <w:sz w:val="20"/>
              <w:szCs w:val="20"/>
              <w:lang w:val="sk-SK"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single" w:sz="4" w:space="0" w:color="auto"/>
              <w:left w:val="nil"/>
              <w:bottom w:val="single" w:sz="4" w:space="0" w:color="auto"/>
              <w:right w:val="nil"/>
            </w:tcBorders>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single" w:sz="4" w:space="0" w:color="auto"/>
              <w:right w:val="nil"/>
            </w:tcBorders>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single" w:sz="4" w:space="0" w:color="auto"/>
              <w:right w:val="single" w:sz="4" w:space="0" w:color="auto"/>
            </w:tcBorders>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1F1776" w:rsidRPr="001F1776" w:rsidTr="001F1776">
        <w:tc>
          <w:tcPr>
            <w:tcW w:w="3812" w:type="dxa"/>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rPr>
                <w:b/>
                <w:sz w:val="20"/>
                <w:szCs w:val="20"/>
                <w:lang w:val="sk-SK" w:eastAsia="sk-SK"/>
              </w:rPr>
            </w:pPr>
            <w:r w:rsidRPr="001F1776">
              <w:rPr>
                <w:rFonts w:eastAsia="Calibri"/>
                <w:b/>
                <w:sz w:val="20"/>
                <w:szCs w:val="20"/>
                <w:lang w:val="sk-SK"/>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1F1776" w:rsidRPr="001F1776" w:rsidRDefault="001F1776" w:rsidP="001F1776">
            <w:pPr>
              <w:jc w:val="center"/>
              <w:rPr>
                <w:rFonts w:eastAsia="MS Mincho"/>
                <w:b/>
                <w:sz w:val="20"/>
                <w:szCs w:val="20"/>
                <w:lang w:val="sk-SK" w:eastAsia="sk-SK"/>
              </w:rPr>
            </w:pPr>
          </w:p>
        </w:tc>
        <w:tc>
          <w:tcPr>
            <w:tcW w:w="1281" w:type="dxa"/>
            <w:tcBorders>
              <w:top w:val="single" w:sz="4" w:space="0" w:color="auto"/>
              <w:left w:val="nil"/>
              <w:bottom w:val="nil"/>
              <w:right w:val="nil"/>
            </w:tcBorders>
            <w:shd w:val="clear" w:color="auto" w:fill="auto"/>
          </w:tcPr>
          <w:p w:rsidR="001F1776" w:rsidRPr="001F1776" w:rsidRDefault="001F1776" w:rsidP="001F1776">
            <w:pPr>
              <w:ind w:right="-108"/>
              <w:rPr>
                <w:b/>
                <w:sz w:val="20"/>
                <w:szCs w:val="20"/>
                <w:lang w:val="sk-SK" w:eastAsia="sk-SK"/>
              </w:rPr>
            </w:pPr>
          </w:p>
        </w:tc>
        <w:tc>
          <w:tcPr>
            <w:tcW w:w="569" w:type="dxa"/>
            <w:gridSpan w:val="2"/>
            <w:tcBorders>
              <w:top w:val="single" w:sz="4" w:space="0" w:color="auto"/>
              <w:left w:val="nil"/>
              <w:bottom w:val="nil"/>
              <w:right w:val="nil"/>
            </w:tcBorders>
            <w:shd w:val="clear" w:color="auto" w:fill="auto"/>
          </w:tcPr>
          <w:p w:rsidR="001F1776" w:rsidRPr="001F1776" w:rsidRDefault="001F1776" w:rsidP="001F1776">
            <w:pPr>
              <w:jc w:val="center"/>
              <w:rPr>
                <w:rFonts w:eastAsia="MS Mincho"/>
                <w:b/>
                <w:sz w:val="20"/>
                <w:szCs w:val="20"/>
                <w:lang w:val="sk-SK" w:eastAsia="sk-SK"/>
              </w:rPr>
            </w:pPr>
          </w:p>
        </w:tc>
        <w:tc>
          <w:tcPr>
            <w:tcW w:w="1133" w:type="dxa"/>
            <w:tcBorders>
              <w:top w:val="single" w:sz="4" w:space="0" w:color="auto"/>
              <w:left w:val="nil"/>
              <w:bottom w:val="nil"/>
              <w:right w:val="nil"/>
            </w:tcBorders>
            <w:shd w:val="clear" w:color="auto" w:fill="auto"/>
          </w:tcPr>
          <w:p w:rsidR="001F1776" w:rsidRPr="001F1776" w:rsidRDefault="001F1776" w:rsidP="001F1776">
            <w:pPr>
              <w:rPr>
                <w:b/>
                <w:sz w:val="20"/>
                <w:szCs w:val="20"/>
                <w:lang w:val="sk-SK" w:eastAsia="sk-SK"/>
              </w:rPr>
            </w:pPr>
          </w:p>
        </w:tc>
        <w:tc>
          <w:tcPr>
            <w:tcW w:w="547" w:type="dxa"/>
            <w:tcBorders>
              <w:top w:val="single" w:sz="4" w:space="0" w:color="auto"/>
              <w:left w:val="nil"/>
              <w:bottom w:val="nil"/>
              <w:right w:val="nil"/>
            </w:tcBorders>
            <w:shd w:val="clear" w:color="auto" w:fill="auto"/>
          </w:tcPr>
          <w:p w:rsidR="001F1776" w:rsidRPr="001F1776" w:rsidRDefault="001F1776" w:rsidP="001F1776">
            <w:pPr>
              <w:jc w:val="center"/>
              <w:rPr>
                <w:rFonts w:eastAsia="MS Mincho"/>
                <w:b/>
                <w:sz w:val="20"/>
                <w:szCs w:val="20"/>
                <w:lang w:val="sk-SK" w:eastAsia="sk-SK"/>
              </w:rPr>
            </w:pPr>
          </w:p>
        </w:tc>
        <w:tc>
          <w:tcPr>
            <w:tcW w:w="1297" w:type="dxa"/>
            <w:tcBorders>
              <w:top w:val="single" w:sz="4" w:space="0" w:color="auto"/>
              <w:left w:val="nil"/>
              <w:bottom w:val="nil"/>
              <w:right w:val="single" w:sz="4" w:space="0" w:color="auto"/>
            </w:tcBorders>
            <w:shd w:val="clear" w:color="auto" w:fill="auto"/>
          </w:tcPr>
          <w:p w:rsidR="001F1776" w:rsidRPr="001F1776" w:rsidRDefault="001F1776" w:rsidP="001F1776">
            <w:pPr>
              <w:ind w:left="54"/>
              <w:rPr>
                <w:b/>
                <w:sz w:val="20"/>
                <w:szCs w:val="20"/>
                <w:lang w:val="sk-SK" w:eastAsia="sk-SK"/>
              </w:rPr>
            </w:pPr>
          </w:p>
        </w:tc>
      </w:tr>
      <w:tr w:rsidR="001F1776" w:rsidRPr="001F1776" w:rsidTr="001F1776">
        <w:tc>
          <w:tcPr>
            <w:tcW w:w="3812" w:type="dxa"/>
            <w:tcBorders>
              <w:top w:val="nil"/>
              <w:left w:val="single" w:sz="4" w:space="0" w:color="auto"/>
              <w:bottom w:val="nil"/>
              <w:right w:val="single" w:sz="4" w:space="0" w:color="auto"/>
            </w:tcBorders>
            <w:shd w:val="clear" w:color="auto" w:fill="E2E2E2"/>
          </w:tcPr>
          <w:p w:rsidR="001F1776" w:rsidRPr="001F1776" w:rsidRDefault="001F1776" w:rsidP="001F1776">
            <w:pPr>
              <w:ind w:left="196" w:hanging="196"/>
              <w:rPr>
                <w:rFonts w:eastAsia="Calibri"/>
                <w:b/>
                <w:sz w:val="20"/>
                <w:szCs w:val="20"/>
                <w:lang w:val="sk-SK"/>
              </w:rPr>
            </w:pPr>
            <w:r w:rsidRPr="001F1776">
              <w:rPr>
                <w:rFonts w:eastAsia="Calibri"/>
                <w:b/>
                <w:sz w:val="20"/>
                <w:szCs w:val="20"/>
                <w:lang w:val="sk-SK"/>
              </w:rPr>
              <w:t xml:space="preserve">    vplyvy služieb verejnej správy na občana</w:t>
            </w:r>
          </w:p>
        </w:tc>
        <w:sdt>
          <w:sdtPr>
            <w:rPr>
              <w:b/>
              <w:sz w:val="20"/>
              <w:szCs w:val="20"/>
              <w:lang w:val="sk-SK"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nil"/>
              <w:left w:val="nil"/>
              <w:bottom w:val="dotted" w:sz="4" w:space="0" w:color="auto"/>
              <w:right w:val="nil"/>
            </w:tcBorders>
            <w:shd w:val="clear" w:color="auto" w:fill="auto"/>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nil"/>
              <w:left w:val="nil"/>
              <w:bottom w:val="dotted" w:sz="4" w:space="0" w:color="auto"/>
              <w:right w:val="nil"/>
            </w:tcBorders>
            <w:shd w:val="clear" w:color="auto" w:fill="auto"/>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nil"/>
              <w:left w:val="nil"/>
              <w:bottom w:val="dotted" w:sz="4" w:space="0" w:color="auto"/>
              <w:right w:val="single" w:sz="4" w:space="0" w:color="auto"/>
            </w:tcBorders>
            <w:shd w:val="clear" w:color="auto" w:fill="auto"/>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r w:rsidR="001F1776" w:rsidRPr="001F1776" w:rsidTr="001F1776">
        <w:tc>
          <w:tcPr>
            <w:tcW w:w="3812" w:type="dxa"/>
            <w:tcBorders>
              <w:top w:val="nil"/>
              <w:left w:val="single" w:sz="4" w:space="0" w:color="auto"/>
              <w:bottom w:val="nil"/>
              <w:right w:val="single" w:sz="4" w:space="0" w:color="auto"/>
            </w:tcBorders>
            <w:shd w:val="clear" w:color="auto" w:fill="E2E2E2"/>
          </w:tcPr>
          <w:p w:rsidR="001F1776" w:rsidRPr="001F1776" w:rsidRDefault="001F1776" w:rsidP="001F1776">
            <w:pPr>
              <w:ind w:left="168" w:hanging="168"/>
              <w:rPr>
                <w:rFonts w:eastAsia="Calibri"/>
                <w:b/>
                <w:sz w:val="20"/>
                <w:szCs w:val="20"/>
                <w:lang w:val="sk-SK"/>
              </w:rPr>
            </w:pPr>
            <w:r w:rsidRPr="001F1776">
              <w:rPr>
                <w:rFonts w:eastAsia="Calibri"/>
                <w:b/>
                <w:sz w:val="20"/>
                <w:szCs w:val="20"/>
                <w:lang w:val="sk-SK"/>
              </w:rPr>
              <w:t xml:space="preserve">    vplyvy na procesy služieb vo verejnej správe</w:t>
            </w:r>
          </w:p>
        </w:tc>
        <w:sdt>
          <w:sdtPr>
            <w:rPr>
              <w:b/>
              <w:sz w:val="20"/>
              <w:szCs w:val="20"/>
              <w:lang w:val="sk-SK"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1F1776" w:rsidRPr="001F1776" w:rsidTr="001F1776">
        <w:tc>
          <w:tcPr>
            <w:tcW w:w="3812" w:type="dxa"/>
            <w:tcBorders>
              <w:top w:val="single" w:sz="4" w:space="0" w:color="000000"/>
              <w:left w:val="single" w:sz="4" w:space="0" w:color="auto"/>
              <w:bottom w:val="single" w:sz="4" w:space="0" w:color="auto"/>
              <w:right w:val="single" w:sz="4" w:space="0" w:color="auto"/>
            </w:tcBorders>
            <w:shd w:val="clear" w:color="auto" w:fill="E2E2E2"/>
          </w:tcPr>
          <w:p w:rsidR="001F1776" w:rsidRPr="001F1776" w:rsidRDefault="001F1776" w:rsidP="001F1776">
            <w:pPr>
              <w:rPr>
                <w:b/>
                <w:sz w:val="20"/>
                <w:szCs w:val="20"/>
                <w:lang w:val="sk-SK" w:eastAsia="sk-SK"/>
              </w:rPr>
            </w:pPr>
            <w:r w:rsidRPr="001F1776">
              <w:rPr>
                <w:b/>
                <w:sz w:val="20"/>
                <w:szCs w:val="20"/>
                <w:lang w:val="sk-SK"/>
              </w:rPr>
              <w:t>Vplyvy na manželstvo, rodičovstvo a rodinu</w:t>
            </w:r>
          </w:p>
        </w:tc>
        <w:sdt>
          <w:sdtPr>
            <w:rPr>
              <w:b/>
              <w:sz w:val="20"/>
              <w:szCs w:val="20"/>
              <w:lang w:val="sk-SK"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312" w:type="dxa"/>
            <w:tcBorders>
              <w:top w:val="single" w:sz="4" w:space="0" w:color="auto"/>
              <w:left w:val="nil"/>
              <w:bottom w:val="single" w:sz="4" w:space="0" w:color="auto"/>
              <w:right w:val="nil"/>
            </w:tcBorders>
            <w:vAlign w:val="center"/>
          </w:tcPr>
          <w:p w:rsidR="001F1776" w:rsidRPr="001F1776" w:rsidRDefault="001F1776" w:rsidP="001F1776">
            <w:pPr>
              <w:ind w:right="-108"/>
              <w:rPr>
                <w:b/>
                <w:sz w:val="20"/>
                <w:szCs w:val="20"/>
                <w:lang w:val="sk-SK" w:eastAsia="sk-SK"/>
              </w:rPr>
            </w:pPr>
            <w:r w:rsidRPr="001F1776">
              <w:rPr>
                <w:b/>
                <w:sz w:val="20"/>
                <w:szCs w:val="20"/>
                <w:lang w:val="sk-SK" w:eastAsia="sk-SK"/>
              </w:rPr>
              <w:t>Pozitívne</w:t>
            </w:r>
          </w:p>
        </w:tc>
        <w:sdt>
          <w:sdtPr>
            <w:rPr>
              <w:b/>
              <w:sz w:val="20"/>
              <w:szCs w:val="20"/>
              <w:lang w:val="sk-SK"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133" w:type="dxa"/>
            <w:tcBorders>
              <w:top w:val="single" w:sz="4" w:space="0" w:color="auto"/>
              <w:left w:val="nil"/>
              <w:bottom w:val="single" w:sz="4" w:space="0" w:color="auto"/>
              <w:right w:val="nil"/>
            </w:tcBorders>
            <w:vAlign w:val="center"/>
          </w:tcPr>
          <w:p w:rsidR="001F1776" w:rsidRPr="001F1776" w:rsidRDefault="001F1776" w:rsidP="001F1776">
            <w:pPr>
              <w:rPr>
                <w:b/>
                <w:sz w:val="20"/>
                <w:szCs w:val="20"/>
                <w:lang w:val="sk-SK" w:eastAsia="sk-SK"/>
              </w:rPr>
            </w:pPr>
            <w:r w:rsidRPr="001F1776">
              <w:rPr>
                <w:b/>
                <w:sz w:val="20"/>
                <w:szCs w:val="20"/>
                <w:lang w:val="sk-SK" w:eastAsia="sk-SK"/>
              </w:rPr>
              <w:t>Žiadne</w:t>
            </w:r>
          </w:p>
        </w:tc>
        <w:sdt>
          <w:sdtPr>
            <w:rPr>
              <w:b/>
              <w:sz w:val="20"/>
              <w:szCs w:val="20"/>
              <w:lang w:val="sk-SK"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1F1776" w:rsidRPr="001F1776" w:rsidRDefault="001F1776" w:rsidP="001F1776">
                <w:pPr>
                  <w:jc w:val="center"/>
                  <w:rPr>
                    <w:b/>
                    <w:sz w:val="20"/>
                    <w:szCs w:val="20"/>
                    <w:lang w:val="sk-SK" w:eastAsia="sk-SK"/>
                  </w:rPr>
                </w:pPr>
                <w:r w:rsidRPr="001F1776">
                  <w:rPr>
                    <w:rFonts w:ascii="MS Gothic" w:eastAsia="MS Gothic" w:hAnsi="MS Gothic"/>
                    <w:b/>
                    <w:sz w:val="20"/>
                    <w:szCs w:val="20"/>
                    <w:lang w:val="sk-SK"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1F1776" w:rsidRPr="001F1776" w:rsidRDefault="001F1776" w:rsidP="001F1776">
            <w:pPr>
              <w:ind w:left="54"/>
              <w:rPr>
                <w:b/>
                <w:sz w:val="20"/>
                <w:szCs w:val="20"/>
                <w:lang w:val="sk-SK" w:eastAsia="sk-SK"/>
              </w:rPr>
            </w:pPr>
            <w:r w:rsidRPr="001F1776">
              <w:rPr>
                <w:b/>
                <w:sz w:val="20"/>
                <w:szCs w:val="20"/>
                <w:lang w:val="sk-SK" w:eastAsia="sk-SK"/>
              </w:rPr>
              <w:t>Negatívne</w:t>
            </w:r>
          </w:p>
        </w:tc>
      </w:tr>
    </w:tbl>
    <w:p w:rsidR="001F1776" w:rsidRPr="001F1776" w:rsidRDefault="001F1776" w:rsidP="001F1776">
      <w:pPr>
        <w:ind w:right="141"/>
        <w:rPr>
          <w:b/>
          <w:sz w:val="20"/>
          <w:szCs w:val="20"/>
          <w:lang w:val="sk-SK" w:eastAsia="sk-SK"/>
        </w:rPr>
      </w:pPr>
    </w:p>
    <w:tbl>
      <w:tblPr>
        <w:tblStyle w:val="Mriekatabuky1"/>
        <w:tblW w:w="9176" w:type="dxa"/>
        <w:tblLayout w:type="fixed"/>
        <w:tblLook w:val="04A0" w:firstRow="1" w:lastRow="0" w:firstColumn="1" w:lastColumn="0" w:noHBand="0" w:noVBand="1"/>
      </w:tblPr>
      <w:tblGrid>
        <w:gridCol w:w="9176"/>
      </w:tblGrid>
      <w:tr w:rsidR="001F1776" w:rsidRPr="001F1776" w:rsidTr="001F1776">
        <w:tc>
          <w:tcPr>
            <w:tcW w:w="9176" w:type="dxa"/>
            <w:tcBorders>
              <w:top w:val="single" w:sz="4" w:space="0" w:color="auto"/>
              <w:left w:val="single" w:sz="4" w:space="0" w:color="auto"/>
              <w:bottom w:val="nil"/>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Poznámky</w:t>
            </w:r>
          </w:p>
        </w:tc>
      </w:tr>
      <w:tr w:rsidR="001F1776" w:rsidRPr="001F1776" w:rsidTr="001F1776">
        <w:trPr>
          <w:trHeight w:val="713"/>
        </w:trPr>
        <w:tc>
          <w:tcPr>
            <w:tcW w:w="9176" w:type="dxa"/>
            <w:tcBorders>
              <w:top w:val="nil"/>
              <w:left w:val="single" w:sz="4" w:space="0" w:color="auto"/>
              <w:bottom w:val="single" w:sz="4" w:space="0" w:color="FFFFFF"/>
              <w:right w:val="single" w:sz="4" w:space="0" w:color="auto"/>
            </w:tcBorders>
            <w:shd w:val="clear" w:color="auto" w:fill="auto"/>
          </w:tcPr>
          <w:p w:rsidR="001F1776" w:rsidRPr="001F1776" w:rsidRDefault="001F1776" w:rsidP="001F1776">
            <w:pPr>
              <w:jc w:val="both"/>
              <w:rPr>
                <w:i/>
                <w:sz w:val="20"/>
                <w:szCs w:val="20"/>
                <w:lang w:val="sk-SK" w:eastAsia="sk-SK"/>
              </w:rPr>
            </w:pPr>
            <w:r w:rsidRPr="001F1776">
              <w:rPr>
                <w:i/>
                <w:sz w:val="20"/>
                <w:szCs w:val="20"/>
                <w:lang w:val="sk-SK"/>
              </w:rPr>
              <w:t xml:space="preserve">Berúc do úvahy dlhodobú potrebu zahraničných zamestnancov, možno skorší prístup žiadateľov o udelenie azylu na trh práce považovať za prínosný pre trh zamestnanosti na Slovensku. Uvedené by mohlo prípadne priniesť potencionálne vplyvy na </w:t>
            </w:r>
            <w:r w:rsidRPr="001F1776">
              <w:rPr>
                <w:i/>
                <w:sz w:val="20"/>
                <w:szCs w:val="20"/>
                <w:lang w:val="sk-SK" w:eastAsia="sk-SK"/>
              </w:rPr>
              <w:t>podnikateľské prostredie, a to  pozitívne vplyvy na zamestnávateľov.  Vzhľadom na súčasné počty žiadostí o udelenie azylu podaných na území Slovenskej republiky ide však skôr o zanedbateľný vplyv.</w:t>
            </w:r>
          </w:p>
          <w:p w:rsidR="001F1776" w:rsidRPr="001F1776" w:rsidRDefault="001F1776" w:rsidP="001F1776">
            <w:pPr>
              <w:jc w:val="both"/>
              <w:rPr>
                <w:rFonts w:eastAsia="Calibri"/>
                <w:b/>
                <w:lang w:val="sk-SK"/>
              </w:rPr>
            </w:pPr>
          </w:p>
        </w:tc>
      </w:tr>
      <w:tr w:rsidR="001F1776" w:rsidRPr="001F1776" w:rsidTr="001F1776">
        <w:tc>
          <w:tcPr>
            <w:tcW w:w="9176" w:type="dxa"/>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Kontakt na spracovateľa</w:t>
            </w:r>
          </w:p>
        </w:tc>
      </w:tr>
      <w:tr w:rsidR="001F1776" w:rsidRPr="001F1776" w:rsidTr="001F1776">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F1776" w:rsidRPr="001F1776" w:rsidRDefault="001F1776" w:rsidP="001F1776">
            <w:pPr>
              <w:rPr>
                <w:i/>
                <w:sz w:val="20"/>
                <w:szCs w:val="20"/>
                <w:lang w:val="sk-SK" w:eastAsia="sk-SK"/>
              </w:rPr>
            </w:pPr>
            <w:r w:rsidRPr="001F1776">
              <w:rPr>
                <w:i/>
                <w:sz w:val="20"/>
                <w:szCs w:val="20"/>
                <w:lang w:val="sk-SK" w:eastAsia="sk-SK"/>
              </w:rPr>
              <w:t xml:space="preserve">Nina Sečíková, organizačný a právny odbor, migračný úrad Ministerstva vnútra SR, </w:t>
            </w:r>
          </w:p>
          <w:p w:rsidR="001F1776" w:rsidRPr="001F1776" w:rsidRDefault="00886C7C" w:rsidP="001F1776">
            <w:pPr>
              <w:rPr>
                <w:i/>
                <w:sz w:val="20"/>
                <w:szCs w:val="20"/>
                <w:lang w:val="sk-SK" w:eastAsia="sk-SK"/>
              </w:rPr>
            </w:pPr>
            <w:hyperlink r:id="rId8" w:history="1">
              <w:r w:rsidR="001F1776" w:rsidRPr="001F1776">
                <w:rPr>
                  <w:rStyle w:val="Hypertextovprepojenie"/>
                  <w:i/>
                  <w:sz w:val="20"/>
                  <w:szCs w:val="20"/>
                  <w:lang w:val="sk-SK" w:eastAsia="sk-SK"/>
                </w:rPr>
                <w:t>nina.secikova@minv.sk</w:t>
              </w:r>
            </w:hyperlink>
          </w:p>
          <w:p w:rsidR="001F1776" w:rsidRPr="001F1776" w:rsidRDefault="001F1776" w:rsidP="001F1776">
            <w:pPr>
              <w:rPr>
                <w:i/>
                <w:sz w:val="20"/>
                <w:szCs w:val="20"/>
                <w:lang w:val="sk-SK" w:eastAsia="sk-SK"/>
              </w:rPr>
            </w:pPr>
            <w:r w:rsidRPr="001F1776">
              <w:rPr>
                <w:i/>
                <w:sz w:val="20"/>
                <w:szCs w:val="20"/>
                <w:lang w:val="sk-SK" w:eastAsia="sk-SK"/>
              </w:rPr>
              <w:t xml:space="preserve">Lenka Bradáčová, organizačný a právny odbor, migračný úrad Ministerstva vnútra SR, </w:t>
            </w:r>
          </w:p>
          <w:p w:rsidR="001F1776" w:rsidRPr="001F1776" w:rsidRDefault="00886C7C" w:rsidP="001F1776">
            <w:pPr>
              <w:rPr>
                <w:i/>
                <w:sz w:val="20"/>
                <w:szCs w:val="20"/>
                <w:lang w:val="sk-SK" w:eastAsia="sk-SK"/>
              </w:rPr>
            </w:pPr>
            <w:hyperlink r:id="rId9" w:history="1">
              <w:r w:rsidR="001F1776" w:rsidRPr="001F1776">
                <w:rPr>
                  <w:rStyle w:val="Hypertextovprepojenie"/>
                  <w:i/>
                  <w:sz w:val="20"/>
                  <w:szCs w:val="20"/>
                  <w:lang w:val="sk-SK" w:eastAsia="sk-SK"/>
                </w:rPr>
                <w:t>lenka.bradacova@minv.sk</w:t>
              </w:r>
            </w:hyperlink>
          </w:p>
          <w:p w:rsidR="001F1776" w:rsidRPr="001F1776" w:rsidRDefault="001F1776" w:rsidP="001F1776">
            <w:pPr>
              <w:rPr>
                <w:i/>
                <w:sz w:val="20"/>
                <w:szCs w:val="20"/>
                <w:lang w:val="sk-SK" w:eastAsia="sk-SK"/>
              </w:rPr>
            </w:pPr>
          </w:p>
        </w:tc>
      </w:tr>
      <w:tr w:rsidR="001F1776" w:rsidRPr="001F1776" w:rsidTr="001F1776">
        <w:tc>
          <w:tcPr>
            <w:tcW w:w="9176" w:type="dxa"/>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26"/>
              <w:contextualSpacing/>
              <w:rPr>
                <w:rFonts w:eastAsia="Calibri"/>
                <w:b/>
                <w:lang w:val="sk-SK"/>
              </w:rPr>
            </w:pPr>
            <w:r w:rsidRPr="001F1776">
              <w:rPr>
                <w:rFonts w:eastAsia="Calibri"/>
                <w:b/>
                <w:lang w:val="sk-SK"/>
              </w:rPr>
              <w:t>Zdroje</w:t>
            </w:r>
          </w:p>
        </w:tc>
      </w:tr>
      <w:tr w:rsidR="001F1776" w:rsidRPr="001F1776" w:rsidTr="001F1776">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F1776" w:rsidRPr="001F1776" w:rsidRDefault="001F1776" w:rsidP="001F1776">
            <w:pPr>
              <w:jc w:val="both"/>
              <w:rPr>
                <w:i/>
                <w:sz w:val="20"/>
                <w:szCs w:val="20"/>
                <w:lang w:val="sk-SK" w:eastAsia="sk-SK"/>
              </w:rPr>
            </w:pPr>
            <w:r w:rsidRPr="001F1776">
              <w:rPr>
                <w:i/>
                <w:sz w:val="20"/>
                <w:szCs w:val="20"/>
                <w:lang w:val="sk-SK" w:eastAsia="sk-SK"/>
              </w:rPr>
              <w:t>Štatistické údaje migračného úradu Ministerstva vnútra SR</w:t>
            </w:r>
          </w:p>
          <w:p w:rsidR="001F1776" w:rsidRPr="001F1776" w:rsidRDefault="00886C7C" w:rsidP="001F1776">
            <w:pPr>
              <w:rPr>
                <w:i/>
                <w:sz w:val="20"/>
                <w:szCs w:val="20"/>
                <w:lang w:val="sk-SK" w:eastAsia="sk-SK"/>
              </w:rPr>
            </w:pPr>
            <w:hyperlink r:id="rId10" w:history="1">
              <w:r w:rsidR="001F1776" w:rsidRPr="001F1776">
                <w:rPr>
                  <w:rStyle w:val="Hypertextovprepojenie"/>
                  <w:i/>
                  <w:sz w:val="20"/>
                  <w:szCs w:val="20"/>
                  <w:lang w:val="sk-SK" w:eastAsia="sk-SK"/>
                </w:rPr>
                <w:t>https://www.minv.sk/?statistiky-20</w:t>
              </w:r>
            </w:hyperlink>
            <w:r w:rsidR="001F1776" w:rsidRPr="001F1776">
              <w:rPr>
                <w:i/>
                <w:sz w:val="20"/>
                <w:szCs w:val="20"/>
                <w:lang w:val="sk-SK" w:eastAsia="sk-SK"/>
              </w:rPr>
              <w:t xml:space="preserve"> </w:t>
            </w:r>
          </w:p>
          <w:p w:rsidR="001F1776" w:rsidRPr="001F1776" w:rsidRDefault="001F1776" w:rsidP="001F1776">
            <w:pPr>
              <w:rPr>
                <w:b/>
                <w:sz w:val="20"/>
                <w:szCs w:val="20"/>
                <w:lang w:val="sk-SK" w:eastAsia="sk-SK"/>
              </w:rPr>
            </w:pPr>
          </w:p>
        </w:tc>
      </w:tr>
      <w:tr w:rsidR="001F1776" w:rsidRPr="001F1776" w:rsidTr="001F1776">
        <w:tc>
          <w:tcPr>
            <w:tcW w:w="9176" w:type="dxa"/>
            <w:tcBorders>
              <w:top w:val="single" w:sz="4" w:space="0" w:color="auto"/>
              <w:left w:val="single" w:sz="4" w:space="0" w:color="auto"/>
              <w:bottom w:val="single" w:sz="4" w:space="0" w:color="FFFFFF"/>
              <w:right w:val="single" w:sz="4" w:space="0" w:color="auto"/>
            </w:tcBorders>
            <w:shd w:val="clear" w:color="auto" w:fill="E2E2E2"/>
          </w:tcPr>
          <w:p w:rsidR="001F1776" w:rsidRPr="001F1776" w:rsidRDefault="001F1776" w:rsidP="001F1776">
            <w:pPr>
              <w:numPr>
                <w:ilvl w:val="0"/>
                <w:numId w:val="3"/>
              </w:numPr>
              <w:ind w:left="447" w:hanging="425"/>
              <w:contextualSpacing/>
              <w:rPr>
                <w:rFonts w:eastAsia="Calibri"/>
                <w:b/>
                <w:lang w:val="sk-SK"/>
              </w:rPr>
            </w:pPr>
            <w:r w:rsidRPr="001F1776">
              <w:rPr>
                <w:rFonts w:eastAsia="Calibri"/>
                <w:b/>
                <w:lang w:val="sk-SK"/>
              </w:rPr>
              <w:t>Stanovisko Komisie na posudzovanie vybraných vplyvov z PPK č. 187/2021</w:t>
            </w:r>
            <w:r w:rsidRPr="001F1776">
              <w:rPr>
                <w:rFonts w:ascii="Calibri" w:eastAsia="Calibri" w:hAnsi="Calibri"/>
                <w:lang w:val="sk-SK"/>
              </w:rPr>
              <w:t xml:space="preserve"> </w:t>
            </w:r>
          </w:p>
          <w:p w:rsidR="001F1776" w:rsidRPr="001F1776" w:rsidRDefault="001F1776" w:rsidP="001F1776">
            <w:pPr>
              <w:ind w:left="502"/>
              <w:rPr>
                <w:b/>
                <w:sz w:val="20"/>
                <w:szCs w:val="20"/>
                <w:lang w:val="sk-SK" w:eastAsia="sk-SK"/>
              </w:rPr>
            </w:pPr>
            <w:r w:rsidRPr="001F1776">
              <w:rPr>
                <w:rFonts w:eastAsia="Calibri"/>
                <w:lang w:val="sk-SK"/>
              </w:rPr>
              <w:t>(v prípade, ak sa uskutočnilo v zmysle bodu 8.1 Jednotnej metodiky)</w:t>
            </w:r>
          </w:p>
        </w:tc>
      </w:tr>
      <w:tr w:rsidR="001F1776" w:rsidRPr="001F1776" w:rsidTr="001F1776">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F1776" w:rsidRPr="001F1776" w:rsidRDefault="001F1776" w:rsidP="001F1776">
            <w:pPr>
              <w:rPr>
                <w:b/>
                <w:sz w:val="20"/>
                <w:szCs w:val="20"/>
                <w:lang w:val="sk-SK"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F1776" w:rsidRPr="001F1776" w:rsidTr="001F1776">
              <w:trPr>
                <w:trHeight w:val="396"/>
              </w:trPr>
              <w:tc>
                <w:tcPr>
                  <w:tcW w:w="2552" w:type="dxa"/>
                </w:tcPr>
                <w:p w:rsidR="001F1776" w:rsidRPr="001F1776" w:rsidRDefault="00886C7C" w:rsidP="001F1776">
                  <w:pPr>
                    <w:rPr>
                      <w:b/>
                      <w:sz w:val="20"/>
                      <w:szCs w:val="20"/>
                      <w:lang w:val="sk-SK" w:eastAsia="sk-SK"/>
                    </w:rPr>
                  </w:pPr>
                  <w:sdt>
                    <w:sdtPr>
                      <w:rPr>
                        <w:b/>
                        <w:sz w:val="20"/>
                        <w:szCs w:val="20"/>
                        <w:lang w:val="sk-SK" w:eastAsia="sk-SK"/>
                      </w:rPr>
                      <w:id w:val="-1874910888"/>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Súhlasné </w:t>
                  </w:r>
                </w:p>
              </w:tc>
              <w:tc>
                <w:tcPr>
                  <w:tcW w:w="3827" w:type="dxa"/>
                </w:tcPr>
                <w:p w:rsidR="001F1776" w:rsidRPr="001F1776" w:rsidRDefault="00886C7C" w:rsidP="001F1776">
                  <w:pPr>
                    <w:rPr>
                      <w:b/>
                      <w:sz w:val="20"/>
                      <w:szCs w:val="20"/>
                      <w:lang w:val="sk-SK" w:eastAsia="sk-SK"/>
                    </w:rPr>
                  </w:pPr>
                  <w:sdt>
                    <w:sdtPr>
                      <w:rPr>
                        <w:b/>
                        <w:sz w:val="20"/>
                        <w:szCs w:val="20"/>
                        <w:lang w:val="sk-SK" w:eastAsia="sk-SK"/>
                      </w:rPr>
                      <w:id w:val="1697888127"/>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Súhlasné s návrhom na dopracovanie</w:t>
                  </w:r>
                </w:p>
              </w:tc>
              <w:tc>
                <w:tcPr>
                  <w:tcW w:w="2534" w:type="dxa"/>
                </w:tcPr>
                <w:p w:rsidR="001F1776" w:rsidRPr="001F1776" w:rsidRDefault="00886C7C" w:rsidP="001F1776">
                  <w:pPr>
                    <w:ind w:right="459"/>
                    <w:rPr>
                      <w:b/>
                      <w:sz w:val="20"/>
                      <w:szCs w:val="20"/>
                      <w:lang w:val="sk-SK" w:eastAsia="sk-SK"/>
                    </w:rPr>
                  </w:pPr>
                  <w:sdt>
                    <w:sdtPr>
                      <w:rPr>
                        <w:b/>
                        <w:sz w:val="20"/>
                        <w:szCs w:val="20"/>
                        <w:lang w:val="sk-SK" w:eastAsia="sk-SK"/>
                      </w:rPr>
                      <w:id w:val="-647822913"/>
                      <w14:checkbox>
                        <w14:checked w14:val="1"/>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Nesúhlasné</w:t>
                  </w:r>
                </w:p>
              </w:tc>
            </w:tr>
          </w:tbl>
          <w:p w:rsidR="001F1776" w:rsidRPr="001F1776" w:rsidRDefault="001F1776" w:rsidP="001F1776">
            <w:pPr>
              <w:jc w:val="both"/>
              <w:rPr>
                <w:b/>
                <w:sz w:val="20"/>
                <w:szCs w:val="20"/>
                <w:lang w:val="sk-SK" w:eastAsia="sk-SK"/>
              </w:rPr>
            </w:pPr>
            <w:r w:rsidRPr="001F1776">
              <w:rPr>
                <w:b/>
                <w:sz w:val="20"/>
                <w:szCs w:val="20"/>
                <w:lang w:val="sk-SK" w:eastAsia="sk-SK"/>
              </w:rPr>
              <w:t>Uveďte pripomienky zo stanoviska Komisie z časti II. spolu s Vaším vyhodnotením:</w:t>
            </w:r>
          </w:p>
          <w:p w:rsidR="001F1776" w:rsidRPr="001F1776" w:rsidRDefault="001F1776" w:rsidP="001F1776">
            <w:pPr>
              <w:jc w:val="both"/>
              <w:rPr>
                <w:b/>
                <w:sz w:val="20"/>
                <w:szCs w:val="20"/>
                <w:lang w:val="sk-SK" w:eastAsia="sk-SK"/>
              </w:rPr>
            </w:pPr>
          </w:p>
          <w:p w:rsidR="001F1776" w:rsidRPr="001F1776" w:rsidRDefault="001F1776" w:rsidP="001F1776">
            <w:pPr>
              <w:jc w:val="both"/>
              <w:rPr>
                <w:i/>
                <w:sz w:val="20"/>
                <w:szCs w:val="20"/>
                <w:lang w:val="sk-SK" w:eastAsia="sk-SK"/>
              </w:rPr>
            </w:pPr>
            <w:r w:rsidRPr="001F1776">
              <w:rPr>
                <w:i/>
                <w:sz w:val="20"/>
                <w:szCs w:val="20"/>
                <w:lang w:val="sk-SK" w:eastAsia="sk-SK"/>
              </w:rPr>
              <w:t>Stála pracovná komisia na posudzovanie vybraných vplyvov vyjadruje nesúhlasné stanovisko s materiálom predloženým na predbežné pripomienkové konanie s odporúčaním na jeho dopracovanie podľa pripomienok v bode II.</w:t>
            </w:r>
          </w:p>
          <w:p w:rsidR="001F1776" w:rsidRPr="001F1776" w:rsidRDefault="001F1776" w:rsidP="001F1776">
            <w:pPr>
              <w:jc w:val="both"/>
              <w:rPr>
                <w:b/>
                <w:sz w:val="20"/>
                <w:szCs w:val="20"/>
                <w:lang w:val="sk-SK" w:eastAsia="sk-SK"/>
              </w:rPr>
            </w:pPr>
          </w:p>
          <w:p w:rsidR="001F1776" w:rsidRPr="001F1776" w:rsidRDefault="001F1776" w:rsidP="001F1776">
            <w:pPr>
              <w:jc w:val="both"/>
              <w:rPr>
                <w:b/>
                <w:sz w:val="20"/>
                <w:szCs w:val="20"/>
                <w:lang w:val="sk-SK" w:eastAsia="sk-SK"/>
              </w:rPr>
            </w:pPr>
            <w:r w:rsidRPr="001F1776">
              <w:rPr>
                <w:b/>
                <w:sz w:val="20"/>
                <w:szCs w:val="20"/>
                <w:lang w:val="sk-SK" w:eastAsia="sk-SK"/>
              </w:rPr>
              <w:t xml:space="preserve">II. Pripomienky a návrhy zmien: </w:t>
            </w:r>
            <w:r w:rsidRPr="001F1776">
              <w:rPr>
                <w:i/>
                <w:sz w:val="20"/>
                <w:szCs w:val="20"/>
                <w:lang w:val="sk-SK" w:eastAsia="sk-SK"/>
              </w:rPr>
              <w:t>Komisia uplatňuje k materiálu nasledovné pripomienky a odporúčania:</w:t>
            </w:r>
            <w:r w:rsidRPr="001F1776">
              <w:rPr>
                <w:b/>
                <w:sz w:val="20"/>
                <w:szCs w:val="20"/>
                <w:lang w:val="sk-SK" w:eastAsia="sk-SK"/>
              </w:rPr>
              <w:t xml:space="preserve">   </w:t>
            </w:r>
          </w:p>
          <w:p w:rsidR="001F1776" w:rsidRPr="001F1776" w:rsidRDefault="001F1776" w:rsidP="001F1776">
            <w:pPr>
              <w:jc w:val="both"/>
              <w:rPr>
                <w:b/>
                <w:sz w:val="20"/>
                <w:szCs w:val="20"/>
                <w:lang w:val="sk-SK" w:eastAsia="sk-SK"/>
              </w:rPr>
            </w:pPr>
          </w:p>
          <w:p w:rsidR="001F1776" w:rsidRPr="001F1776" w:rsidRDefault="001F1776" w:rsidP="001F1776">
            <w:pPr>
              <w:pStyle w:val="norm00e1lny"/>
              <w:spacing w:line="240" w:lineRule="atLeast"/>
              <w:jc w:val="both"/>
              <w:rPr>
                <w:b/>
                <w:bCs/>
                <w:i/>
                <w:lang w:eastAsia="ar-SA"/>
              </w:rPr>
            </w:pPr>
            <w:r w:rsidRPr="001F1776">
              <w:rPr>
                <w:b/>
                <w:bCs/>
                <w:i/>
                <w:lang w:eastAsia="ar-SA"/>
              </w:rPr>
              <w:t>K doložke vybraných vplyvov</w:t>
            </w:r>
          </w:p>
          <w:p w:rsidR="001F1776" w:rsidRPr="001F1776" w:rsidRDefault="001F1776" w:rsidP="001F1776">
            <w:pPr>
              <w:jc w:val="both"/>
              <w:rPr>
                <w:i/>
                <w:color w:val="000000"/>
                <w:sz w:val="20"/>
                <w:szCs w:val="20"/>
                <w:lang w:val="sk-SK" w:eastAsia="sk-SK"/>
              </w:rPr>
            </w:pPr>
            <w:r w:rsidRPr="001F1776">
              <w:rPr>
                <w:i/>
                <w:color w:val="000000"/>
                <w:sz w:val="20"/>
                <w:szCs w:val="20"/>
                <w:lang w:val="sk-SK"/>
              </w:rPr>
              <w:t>Komisia odporúča do časti </w:t>
            </w:r>
            <w:r w:rsidRPr="001F1776">
              <w:rPr>
                <w:i/>
                <w:color w:val="000000"/>
                <w:sz w:val="20"/>
                <w:szCs w:val="20"/>
                <w:shd w:val="clear" w:color="auto" w:fill="FFFFFF"/>
                <w:lang w:val="sk-SK"/>
              </w:rPr>
              <w:t>10. Poznámky popísať </w:t>
            </w:r>
            <w:r w:rsidRPr="001F1776">
              <w:rPr>
                <w:i/>
                <w:color w:val="000000"/>
                <w:sz w:val="20"/>
                <w:szCs w:val="20"/>
                <w:lang w:val="sk-SK"/>
              </w:rPr>
              <w:t>potencionálne vplyvy  na podnikateľské prostredie, a to  pozitívne vplyvy na zamestnávateľov.  </w:t>
            </w:r>
          </w:p>
          <w:p w:rsidR="001F1776" w:rsidRPr="001F1776" w:rsidRDefault="001F1776" w:rsidP="001F1776">
            <w:pPr>
              <w:jc w:val="both"/>
              <w:rPr>
                <w:i/>
                <w:color w:val="000000"/>
                <w:sz w:val="20"/>
                <w:szCs w:val="20"/>
                <w:lang w:val="sk-SK" w:eastAsia="ar-SA"/>
              </w:rPr>
            </w:pPr>
            <w:r w:rsidRPr="001F1776">
              <w:rPr>
                <w:i/>
                <w:color w:val="000000"/>
                <w:sz w:val="20"/>
                <w:szCs w:val="20"/>
                <w:u w:val="single"/>
                <w:lang w:val="sk-SK"/>
              </w:rPr>
              <w:t xml:space="preserve">Odôvodnenie: </w:t>
            </w:r>
            <w:r w:rsidRPr="001F1776">
              <w:rPr>
                <w:i/>
                <w:color w:val="000000"/>
                <w:sz w:val="20"/>
                <w:szCs w:val="20"/>
                <w:shd w:val="clear" w:color="auto" w:fill="FFFFFF"/>
                <w:lang w:val="sk-SK"/>
              </w:rPr>
              <w:t>Skorší  prístup na trh pre azylantov a cudzincov, ktorý sa  mení z 9 na 6 mesiacov, prinesie do budúceho obdobia pre zamestnávateľov a aj zamestnancov  prínos (</w:t>
            </w:r>
            <w:r w:rsidRPr="001F1776">
              <w:rPr>
                <w:i/>
                <w:color w:val="000000"/>
                <w:sz w:val="20"/>
                <w:szCs w:val="20"/>
                <w:lang w:val="sk-SK"/>
              </w:rPr>
              <w:t>bod 34, § 23, odst.6.).</w:t>
            </w:r>
          </w:p>
          <w:p w:rsidR="001F1776" w:rsidRPr="001F1776" w:rsidRDefault="001F1776" w:rsidP="001F1776">
            <w:pPr>
              <w:pStyle w:val="norm00e1lny"/>
              <w:spacing w:line="240" w:lineRule="atLeast"/>
              <w:jc w:val="both"/>
              <w:rPr>
                <w:b/>
                <w:bCs/>
                <w:i/>
                <w:lang w:eastAsia="ar-SA"/>
              </w:rPr>
            </w:pPr>
          </w:p>
          <w:p w:rsidR="001F1776" w:rsidRPr="001F1776" w:rsidRDefault="001F1776" w:rsidP="001F1776">
            <w:pPr>
              <w:jc w:val="both"/>
              <w:rPr>
                <w:b/>
                <w:sz w:val="20"/>
                <w:szCs w:val="20"/>
                <w:u w:val="single"/>
                <w:lang w:val="sk-SK" w:eastAsia="sk-SK"/>
              </w:rPr>
            </w:pPr>
            <w:r w:rsidRPr="001F1776">
              <w:rPr>
                <w:b/>
                <w:sz w:val="20"/>
                <w:szCs w:val="20"/>
                <w:u w:val="single"/>
                <w:lang w:val="sk-SK" w:eastAsia="sk-SK"/>
              </w:rPr>
              <w:t>Vyhodnotenie:</w:t>
            </w:r>
          </w:p>
          <w:p w:rsidR="001F1776" w:rsidRPr="001F1776" w:rsidRDefault="001F1776" w:rsidP="001F1776">
            <w:pPr>
              <w:pStyle w:val="norm00e1lny"/>
              <w:spacing w:line="240" w:lineRule="atLeast"/>
              <w:jc w:val="both"/>
              <w:rPr>
                <w:bCs/>
                <w:i/>
                <w:lang w:eastAsia="ar-SA"/>
              </w:rPr>
            </w:pPr>
            <w:r w:rsidRPr="001F1776">
              <w:rPr>
                <w:bCs/>
                <w:i/>
                <w:lang w:eastAsia="ar-SA"/>
              </w:rPr>
              <w:t>Pripomienka bola akceptovaná. V doložke vybraných vplyvov bol doplnený text v časti 10. Poznámky.</w:t>
            </w:r>
          </w:p>
          <w:p w:rsidR="001F1776" w:rsidRPr="001F1776" w:rsidRDefault="001F1776" w:rsidP="001F1776">
            <w:pPr>
              <w:jc w:val="both"/>
              <w:rPr>
                <w:b/>
                <w:sz w:val="20"/>
                <w:szCs w:val="20"/>
                <w:u w:val="single"/>
                <w:lang w:val="sk-SK" w:eastAsia="sk-SK"/>
              </w:rPr>
            </w:pPr>
          </w:p>
          <w:p w:rsidR="001F1776" w:rsidRPr="001F1776" w:rsidRDefault="001F1776" w:rsidP="001F1776">
            <w:pPr>
              <w:pStyle w:val="norm00e1lny"/>
              <w:spacing w:line="240" w:lineRule="atLeast"/>
              <w:jc w:val="both"/>
              <w:rPr>
                <w:b/>
                <w:bCs/>
                <w:i/>
                <w:lang w:eastAsia="ar-SA"/>
              </w:rPr>
            </w:pPr>
            <w:r w:rsidRPr="001F1776">
              <w:rPr>
                <w:b/>
                <w:bCs/>
                <w:i/>
                <w:lang w:eastAsia="ar-SA"/>
              </w:rPr>
              <w:t>K vplyvom na rozpočet verejnej správy</w:t>
            </w:r>
          </w:p>
          <w:p w:rsidR="001F1776" w:rsidRPr="001F1776" w:rsidRDefault="001F1776" w:rsidP="001F1776">
            <w:pPr>
              <w:autoSpaceDE w:val="0"/>
              <w:autoSpaceDN w:val="0"/>
              <w:spacing w:line="240" w:lineRule="atLeast"/>
              <w:jc w:val="both"/>
              <w:rPr>
                <w:i/>
                <w:sz w:val="20"/>
                <w:szCs w:val="20"/>
                <w:lang w:val="sk-SK" w:eastAsia="sk-SK"/>
              </w:rPr>
            </w:pPr>
            <w:r w:rsidRPr="001F1776">
              <w:rPr>
                <w:i/>
                <w:sz w:val="20"/>
                <w:szCs w:val="20"/>
                <w:lang w:val="sk-SK" w:eastAsia="sk-SK"/>
              </w:rPr>
              <w:t xml:space="preserve">V doložke vybraných vplyvov je označený negatívny, rozpočtovo zabezpečený vplyv na rozpočet verejnej správy. V analýze vplyvov je v tabuľke č. 1 kvantifikovaný celkový nárast výdavkov (vyplatenie jednorazových príspevkov pre azylantov a cudzincov a poskytnutie integračného príspevku pre azylantov a cudzincov) v sume 65 418 eur v roku 2022 a v sume 130 836 eur v roku 2023 a 2024. V časti 2.1.1. Financovanie návrhu predkladateľ uvádza, že výdavky v rámci návrhu zákona pokryje Ministerstvo vnútra SR v rámci svojej rozpočtovej kapitoly. </w:t>
            </w:r>
          </w:p>
          <w:p w:rsidR="001F1776" w:rsidRPr="001F1776" w:rsidRDefault="001F1776" w:rsidP="001F1776">
            <w:pPr>
              <w:jc w:val="both"/>
              <w:rPr>
                <w:i/>
                <w:sz w:val="20"/>
                <w:szCs w:val="20"/>
                <w:lang w:val="sk-SK" w:eastAsia="sk-SK"/>
              </w:rPr>
            </w:pPr>
          </w:p>
          <w:p w:rsidR="001F1776" w:rsidRPr="001F1776" w:rsidRDefault="001F1776" w:rsidP="001F1776">
            <w:pPr>
              <w:jc w:val="both"/>
              <w:rPr>
                <w:i/>
                <w:sz w:val="20"/>
                <w:szCs w:val="20"/>
                <w:lang w:val="sk-SK"/>
              </w:rPr>
            </w:pPr>
            <w:r w:rsidRPr="001F1776">
              <w:rPr>
                <w:i/>
                <w:sz w:val="20"/>
                <w:szCs w:val="20"/>
                <w:lang w:val="sk-SK"/>
              </w:rPr>
              <w:t>Komisia navrhuje, aby predkladateľ v analýze vplyvov na rozpočet verejnej správy zohľadnil valorizáciu životného minima, ktoré sa používa pri výpočte príspevkov. Nižšie je priložená tabuľka hodnôt životného minima na ďalšie roky. Pri výpočte bol použitý predpoklad nízkopríjmovej inflácie na roky 2022 až 2024 podľa makroekonomickej prognózy IFP zo septembra 2021, ktorá je uverejnená na stránke MF SR.</w:t>
            </w:r>
          </w:p>
          <w:p w:rsidR="001F1776" w:rsidRPr="001F1776" w:rsidRDefault="001F1776" w:rsidP="001F1776">
            <w:pPr>
              <w:jc w:val="both"/>
              <w:rPr>
                <w:i/>
                <w:sz w:val="20"/>
                <w:szCs w:val="20"/>
                <w:lang w:val="sk-SK" w:eastAsia="ar-SA"/>
              </w:rPr>
            </w:pPr>
            <w:r w:rsidRPr="001F1776">
              <w:rPr>
                <w:i/>
                <w:sz w:val="20"/>
                <w:szCs w:val="20"/>
                <w:lang w:val="sk-SK"/>
              </w:rPr>
              <w:t xml:space="preserve">Link na prognózu: </w:t>
            </w:r>
            <w:hyperlink r:id="rId11" w:history="1">
              <w:r w:rsidRPr="001F1776">
                <w:rPr>
                  <w:rStyle w:val="Hypertextovprepojenie"/>
                  <w:i/>
                  <w:sz w:val="20"/>
                  <w:szCs w:val="20"/>
                  <w:lang w:val="sk-SK"/>
                </w:rPr>
                <w:t>https://www.mfsr.sk/sk/financie/institut-financnej-politiky/ekonomicke-prognozy/makroekonomicke-prognozy/57-zasadnutie-vyboru-makroekonomicke-prognozy-september-2021.html</w:t>
              </w:r>
            </w:hyperlink>
          </w:p>
          <w:p w:rsidR="001F1776" w:rsidRPr="001F1776" w:rsidRDefault="001F1776" w:rsidP="001F1776">
            <w:pPr>
              <w:rPr>
                <w:i/>
                <w:lang w:val="sk-SK"/>
              </w:rPr>
            </w:pPr>
          </w:p>
          <w:p w:rsidR="001F1776" w:rsidRPr="001F1776" w:rsidRDefault="001F1776" w:rsidP="001F1776">
            <w:pPr>
              <w:rPr>
                <w:i/>
                <w:color w:val="1F4E79"/>
                <w:u w:val="single"/>
                <w:lang w:val="sk-SK"/>
              </w:rPr>
            </w:pPr>
          </w:p>
          <w:tbl>
            <w:tblPr>
              <w:tblW w:w="7081" w:type="dxa"/>
              <w:tblLayout w:type="fixed"/>
              <w:tblCellMar>
                <w:left w:w="0" w:type="dxa"/>
                <w:right w:w="0" w:type="dxa"/>
              </w:tblCellMar>
              <w:tblLook w:val="04A0" w:firstRow="1" w:lastRow="0" w:firstColumn="1" w:lastColumn="0" w:noHBand="0" w:noVBand="1"/>
            </w:tblPr>
            <w:tblGrid>
              <w:gridCol w:w="2559"/>
              <w:gridCol w:w="1301"/>
              <w:gridCol w:w="1301"/>
              <w:gridCol w:w="960"/>
              <w:gridCol w:w="960"/>
            </w:tblGrid>
            <w:tr w:rsidR="001F1776" w:rsidRPr="001F1776" w:rsidTr="001F1776">
              <w:trPr>
                <w:trHeight w:val="300"/>
              </w:trPr>
              <w:tc>
                <w:tcPr>
                  <w:tcW w:w="5161" w:type="dxa"/>
                  <w:gridSpan w:val="3"/>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r w:rsidRPr="001F1776">
                    <w:rPr>
                      <w:b/>
                      <w:bCs/>
                      <w:color w:val="000000"/>
                      <w:lang w:val="sk-SK" w:eastAsia="sk-SK"/>
                    </w:rPr>
                    <w:t>Valorizované sumy životného minima od júla 2022</w:t>
                  </w:r>
                </w:p>
              </w:tc>
              <w:tc>
                <w:tcPr>
                  <w:tcW w:w="960" w:type="dxa"/>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p>
              </w:tc>
              <w:tc>
                <w:tcPr>
                  <w:tcW w:w="960" w:type="dxa"/>
                  <w:noWrap/>
                  <w:tcMar>
                    <w:top w:w="0" w:type="dxa"/>
                    <w:left w:w="70" w:type="dxa"/>
                    <w:bottom w:w="0" w:type="dxa"/>
                    <w:right w:w="70" w:type="dxa"/>
                  </w:tcMar>
                  <w:vAlign w:val="bottom"/>
                  <w:hideMark/>
                </w:tcPr>
                <w:p w:rsidR="001F1776" w:rsidRPr="001F1776" w:rsidRDefault="001F1776" w:rsidP="001F1776">
                  <w:pPr>
                    <w:spacing w:line="256" w:lineRule="auto"/>
                    <w:rPr>
                      <w:lang w:val="sk-SK" w:eastAsia="sk-SK"/>
                    </w:rPr>
                  </w:pPr>
                </w:p>
              </w:tc>
            </w:tr>
            <w:tr w:rsidR="001F1776" w:rsidRPr="001F1776" w:rsidTr="001F1776">
              <w:trPr>
                <w:trHeight w:val="300"/>
              </w:trPr>
              <w:tc>
                <w:tcPr>
                  <w:tcW w:w="2559"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 </w:t>
                  </w:r>
                </w:p>
              </w:tc>
              <w:tc>
                <w:tcPr>
                  <w:tcW w:w="1301"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r w:rsidRPr="001F1776">
                    <w:rPr>
                      <w:b/>
                      <w:bCs/>
                      <w:color w:val="000000"/>
                      <w:lang w:val="sk-SK" w:eastAsia="sk-SK"/>
                    </w:rPr>
                    <w:t>1.7.2021</w:t>
                  </w:r>
                </w:p>
              </w:tc>
              <w:tc>
                <w:tcPr>
                  <w:tcW w:w="1301"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r w:rsidRPr="001F1776">
                    <w:rPr>
                      <w:b/>
                      <w:bCs/>
                      <w:color w:val="000000"/>
                      <w:lang w:val="sk-SK" w:eastAsia="sk-SK"/>
                    </w:rPr>
                    <w:t>1.7.2022</w:t>
                  </w:r>
                </w:p>
              </w:tc>
              <w:tc>
                <w:tcPr>
                  <w:tcW w:w="96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r w:rsidRPr="001F1776">
                    <w:rPr>
                      <w:b/>
                      <w:bCs/>
                      <w:color w:val="000000"/>
                      <w:lang w:val="sk-SK" w:eastAsia="sk-SK"/>
                    </w:rPr>
                    <w:t>1.7.2023</w:t>
                  </w:r>
                </w:p>
              </w:tc>
              <w:tc>
                <w:tcPr>
                  <w:tcW w:w="960"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b/>
                      <w:bCs/>
                      <w:color w:val="000000"/>
                      <w:lang w:val="sk-SK" w:eastAsia="sk-SK"/>
                    </w:rPr>
                  </w:pPr>
                  <w:r w:rsidRPr="001F1776">
                    <w:rPr>
                      <w:b/>
                      <w:bCs/>
                      <w:color w:val="000000"/>
                      <w:lang w:val="sk-SK" w:eastAsia="sk-SK"/>
                    </w:rPr>
                    <w:t>1.7.2024</w:t>
                  </w:r>
                </w:p>
              </w:tc>
            </w:tr>
            <w:tr w:rsidR="001F1776" w:rsidRPr="001F1776" w:rsidTr="001F1776">
              <w:trPr>
                <w:trHeight w:val="300"/>
              </w:trPr>
              <w:tc>
                <w:tcPr>
                  <w:tcW w:w="2559" w:type="dxa"/>
                  <w:tcBorders>
                    <w:top w:val="nil"/>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Životné minimum</w:t>
                  </w:r>
                </w:p>
              </w:tc>
              <w:tc>
                <w:tcPr>
                  <w:tcW w:w="1301" w:type="dxa"/>
                  <w:tcBorders>
                    <w:top w:val="nil"/>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218,06</w:t>
                  </w:r>
                </w:p>
              </w:tc>
              <w:tc>
                <w:tcPr>
                  <w:tcW w:w="1301" w:type="dxa"/>
                  <w:tcBorders>
                    <w:top w:val="nil"/>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229,36</w:t>
                  </w:r>
                </w:p>
              </w:tc>
              <w:tc>
                <w:tcPr>
                  <w:tcW w:w="960" w:type="dxa"/>
                  <w:tcBorders>
                    <w:top w:val="nil"/>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236,55</w:t>
                  </w:r>
                </w:p>
              </w:tc>
              <w:tc>
                <w:tcPr>
                  <w:tcW w:w="960" w:type="dxa"/>
                  <w:tcBorders>
                    <w:top w:val="nil"/>
                    <w:left w:val="nil"/>
                    <w:bottom w:val="single" w:sz="8" w:space="0" w:color="auto"/>
                    <w:right w:val="nil"/>
                  </w:tcBorders>
                  <w:noWrap/>
                  <w:tcMar>
                    <w:top w:w="0" w:type="dxa"/>
                    <w:left w:w="70" w:type="dxa"/>
                    <w:bottom w:w="0" w:type="dxa"/>
                    <w:right w:w="70" w:type="dxa"/>
                  </w:tcMar>
                  <w:vAlign w:val="bottom"/>
                  <w:hideMark/>
                </w:tcPr>
                <w:p w:rsidR="001F1776" w:rsidRPr="001F1776" w:rsidRDefault="001F1776" w:rsidP="001F1776">
                  <w:pPr>
                    <w:rPr>
                      <w:color w:val="000000"/>
                      <w:lang w:val="sk-SK" w:eastAsia="sk-SK"/>
                    </w:rPr>
                  </w:pPr>
                  <w:r w:rsidRPr="001F1776">
                    <w:rPr>
                      <w:color w:val="000000"/>
                      <w:lang w:val="sk-SK" w:eastAsia="sk-SK"/>
                    </w:rPr>
                    <w:t>240,21</w:t>
                  </w:r>
                </w:p>
              </w:tc>
            </w:tr>
          </w:tbl>
          <w:p w:rsidR="001F1776" w:rsidRPr="001F1776" w:rsidRDefault="001F1776" w:rsidP="001F1776">
            <w:pPr>
              <w:rPr>
                <w:rFonts w:ascii="Arial" w:hAnsi="Arial" w:cs="Arial"/>
                <w:lang w:val="sk-SK" w:eastAsia="sk-SK"/>
              </w:rPr>
            </w:pPr>
          </w:p>
          <w:p w:rsidR="001F1776" w:rsidRPr="001F1776" w:rsidRDefault="001F1776" w:rsidP="001F1776">
            <w:pPr>
              <w:rPr>
                <w:b/>
                <w:sz w:val="20"/>
                <w:szCs w:val="20"/>
                <w:u w:val="single"/>
                <w:lang w:val="sk-SK" w:eastAsia="sk-SK"/>
              </w:rPr>
            </w:pPr>
            <w:r w:rsidRPr="001F1776">
              <w:rPr>
                <w:b/>
                <w:sz w:val="20"/>
                <w:szCs w:val="20"/>
                <w:u w:val="single"/>
                <w:lang w:val="sk-SK" w:eastAsia="sk-SK"/>
              </w:rPr>
              <w:t>Vyhodnotenie:</w:t>
            </w:r>
          </w:p>
          <w:p w:rsidR="001F1776" w:rsidRPr="001F1776" w:rsidRDefault="001F1776" w:rsidP="001F1776">
            <w:pPr>
              <w:pStyle w:val="norm00e1lny"/>
              <w:spacing w:line="240" w:lineRule="atLeast"/>
              <w:jc w:val="both"/>
              <w:rPr>
                <w:bCs/>
                <w:i/>
                <w:lang w:eastAsia="ar-SA"/>
              </w:rPr>
            </w:pPr>
            <w:r w:rsidRPr="001F1776">
              <w:rPr>
                <w:bCs/>
                <w:i/>
                <w:lang w:eastAsia="ar-SA"/>
              </w:rPr>
              <w:t>Pripomienka bola akceptovaná. V analýze vplyvov na rozpočet verejnej správy bola zohľadnená predpokladaná valorizácia sumy životného minima na roky 2022-2024.</w:t>
            </w:r>
          </w:p>
          <w:p w:rsidR="001F1776" w:rsidRPr="001F1776" w:rsidRDefault="001F1776" w:rsidP="001F1776">
            <w:pPr>
              <w:jc w:val="both"/>
              <w:rPr>
                <w:rFonts w:ascii="Arial" w:hAnsi="Arial" w:cs="Arial"/>
                <w:lang w:val="sk-SK" w:eastAsia="sk-SK"/>
              </w:rPr>
            </w:pPr>
          </w:p>
          <w:p w:rsidR="001F1776" w:rsidRPr="001F1776" w:rsidRDefault="001F1776" w:rsidP="001F1776">
            <w:pPr>
              <w:jc w:val="both"/>
              <w:rPr>
                <w:b/>
                <w:bCs/>
                <w:i/>
                <w:sz w:val="20"/>
                <w:szCs w:val="20"/>
                <w:lang w:val="sk-SK" w:eastAsia="sk-SK"/>
              </w:rPr>
            </w:pPr>
            <w:r w:rsidRPr="001F1776">
              <w:rPr>
                <w:i/>
                <w:sz w:val="20"/>
                <w:szCs w:val="20"/>
                <w:lang w:val="sk-SK" w:eastAsia="sk-SK"/>
              </w:rPr>
              <w:t>Komisia žiada jednoznačne uviesť, či negatívny vplyv na rozpočet verejnej správy nevyplýva aj z ostatných navrhovaných ustanovení, resp. z Čl. I bodu 3, kde sa navrhuje poskytovať prechodné ubytovanie v integračnom stredisku aj pre cudzincov s doplnkovou ochranou. V prípade identifikovania dodatočných vplyvov žiada Komisia o ich krytie v rámci limitov MV SR na príslušný rozpočtový rok, bez dodatočných požiadaviek na štátny rozpočet.</w:t>
            </w:r>
          </w:p>
          <w:p w:rsidR="001F1776" w:rsidRPr="001F1776" w:rsidRDefault="001F1776" w:rsidP="001F1776">
            <w:pPr>
              <w:jc w:val="both"/>
              <w:rPr>
                <w:b/>
                <w:sz w:val="20"/>
                <w:szCs w:val="20"/>
                <w:lang w:val="sk-SK" w:eastAsia="sk-SK"/>
              </w:rPr>
            </w:pPr>
          </w:p>
          <w:p w:rsidR="001F1776" w:rsidRPr="001F1776" w:rsidRDefault="001F1776" w:rsidP="001F1776">
            <w:pPr>
              <w:jc w:val="both"/>
              <w:rPr>
                <w:b/>
                <w:sz w:val="20"/>
                <w:szCs w:val="20"/>
                <w:u w:val="single"/>
                <w:lang w:val="sk-SK" w:eastAsia="sk-SK"/>
              </w:rPr>
            </w:pPr>
            <w:r w:rsidRPr="001F1776">
              <w:rPr>
                <w:b/>
                <w:sz w:val="20"/>
                <w:szCs w:val="20"/>
                <w:u w:val="single"/>
                <w:lang w:val="sk-SK" w:eastAsia="sk-SK"/>
              </w:rPr>
              <w:t>Vyhodnotenie:</w:t>
            </w:r>
          </w:p>
          <w:p w:rsidR="001F1776" w:rsidRPr="001F1776" w:rsidRDefault="001F1776" w:rsidP="001F1776">
            <w:pPr>
              <w:jc w:val="both"/>
              <w:rPr>
                <w:i/>
                <w:sz w:val="20"/>
                <w:szCs w:val="20"/>
                <w:lang w:val="sk-SK" w:eastAsia="sk-SK"/>
              </w:rPr>
            </w:pPr>
            <w:r w:rsidRPr="001F1776">
              <w:rPr>
                <w:i/>
                <w:sz w:val="20"/>
                <w:szCs w:val="20"/>
                <w:lang w:val="sk-SK" w:eastAsia="sk-SK"/>
              </w:rPr>
              <w:t>Pripomienka bola akceptovaná. V</w:t>
            </w:r>
            <w:r w:rsidRPr="001F1776">
              <w:rPr>
                <w:lang w:val="sk-SK"/>
              </w:rPr>
              <w:t xml:space="preserve"> </w:t>
            </w:r>
            <w:r w:rsidRPr="001F1776">
              <w:rPr>
                <w:i/>
                <w:sz w:val="20"/>
                <w:szCs w:val="20"/>
                <w:lang w:val="sk-SK" w:eastAsia="sk-SK"/>
              </w:rPr>
              <w:t>analýze vplyvov na rozpočet verejnej správy bol doplnený text v časti 2.2.1.</w:t>
            </w:r>
          </w:p>
          <w:p w:rsidR="001F1776" w:rsidRPr="001F1776" w:rsidRDefault="001F1776" w:rsidP="001F1776">
            <w:pPr>
              <w:rPr>
                <w:b/>
                <w:sz w:val="20"/>
                <w:szCs w:val="20"/>
                <w:lang w:val="sk-SK" w:eastAsia="sk-SK"/>
              </w:rPr>
            </w:pPr>
          </w:p>
        </w:tc>
      </w:tr>
      <w:tr w:rsidR="001F1776" w:rsidRPr="001F1776" w:rsidTr="001F1776">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F1776" w:rsidRPr="001F1776" w:rsidRDefault="001F1776" w:rsidP="001F1776">
            <w:pPr>
              <w:numPr>
                <w:ilvl w:val="0"/>
                <w:numId w:val="3"/>
              </w:numPr>
              <w:ind w:left="450" w:hanging="425"/>
              <w:contextualSpacing/>
              <w:jc w:val="both"/>
              <w:rPr>
                <w:rFonts w:eastAsia="Calibri"/>
                <w:b/>
                <w:lang w:val="sk-SK"/>
              </w:rPr>
            </w:pPr>
            <w:r w:rsidRPr="001F1776">
              <w:rPr>
                <w:rFonts w:eastAsia="Calibri"/>
                <w:b/>
                <w:lang w:val="sk-SK"/>
              </w:rPr>
              <w:t>Stanovisko Komisie na posudzovanie vybraných vplyvov zo záverečného posúdenia č. ..........</w:t>
            </w:r>
            <w:r w:rsidRPr="001F1776">
              <w:rPr>
                <w:rFonts w:eastAsia="Calibri"/>
                <w:lang w:val="sk-SK"/>
              </w:rPr>
              <w:t xml:space="preserve"> (v prípade, ak sa uskutočnilo v zmysle bodu 9.1. Jednotnej metodiky) </w:t>
            </w:r>
          </w:p>
        </w:tc>
      </w:tr>
      <w:tr w:rsidR="001F1776" w:rsidRPr="001F1776" w:rsidTr="001F1776">
        <w:tblPrEx>
          <w:tblBorders>
            <w:insideH w:val="single" w:sz="4" w:space="0" w:color="FFFFFF"/>
            <w:insideV w:val="single" w:sz="4" w:space="0" w:color="FFFFFF"/>
          </w:tblBorders>
        </w:tblPrEx>
        <w:tc>
          <w:tcPr>
            <w:tcW w:w="9176" w:type="dxa"/>
            <w:shd w:val="clear" w:color="auto" w:fill="FFFFFF"/>
          </w:tcPr>
          <w:p w:rsidR="001F1776" w:rsidRPr="001F1776" w:rsidRDefault="001F1776" w:rsidP="001F1776">
            <w:pPr>
              <w:rPr>
                <w:b/>
                <w:sz w:val="20"/>
                <w:szCs w:val="20"/>
                <w:lang w:val="sk-SK"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F1776" w:rsidRPr="001F1776" w:rsidTr="001F1776">
              <w:trPr>
                <w:trHeight w:val="396"/>
              </w:trPr>
              <w:tc>
                <w:tcPr>
                  <w:tcW w:w="2552" w:type="dxa"/>
                </w:tcPr>
                <w:p w:rsidR="001F1776" w:rsidRPr="001F1776" w:rsidRDefault="00886C7C" w:rsidP="001F1776">
                  <w:pPr>
                    <w:rPr>
                      <w:b/>
                      <w:sz w:val="20"/>
                      <w:szCs w:val="20"/>
                      <w:lang w:val="sk-SK" w:eastAsia="sk-SK"/>
                    </w:rPr>
                  </w:pPr>
                  <w:sdt>
                    <w:sdtPr>
                      <w:rPr>
                        <w:b/>
                        <w:sz w:val="20"/>
                        <w:szCs w:val="20"/>
                        <w:lang w:val="sk-SK" w:eastAsia="sk-SK"/>
                      </w:rPr>
                      <w:id w:val="888232876"/>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Súhlasné </w:t>
                  </w:r>
                </w:p>
              </w:tc>
              <w:tc>
                <w:tcPr>
                  <w:tcW w:w="3827" w:type="dxa"/>
                </w:tcPr>
                <w:p w:rsidR="001F1776" w:rsidRPr="001F1776" w:rsidRDefault="00886C7C" w:rsidP="001F1776">
                  <w:pPr>
                    <w:rPr>
                      <w:b/>
                      <w:sz w:val="20"/>
                      <w:szCs w:val="20"/>
                      <w:lang w:val="sk-SK" w:eastAsia="sk-SK"/>
                    </w:rPr>
                  </w:pPr>
                  <w:sdt>
                    <w:sdtPr>
                      <w:rPr>
                        <w:b/>
                        <w:sz w:val="20"/>
                        <w:szCs w:val="20"/>
                        <w:lang w:val="sk-SK" w:eastAsia="sk-SK"/>
                      </w:rPr>
                      <w:id w:val="953831761"/>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Súhlasné s  návrhom na dopracovanie</w:t>
                  </w:r>
                </w:p>
              </w:tc>
              <w:tc>
                <w:tcPr>
                  <w:tcW w:w="2534" w:type="dxa"/>
                </w:tcPr>
                <w:p w:rsidR="001F1776" w:rsidRPr="001F1776" w:rsidRDefault="00886C7C" w:rsidP="001F1776">
                  <w:pPr>
                    <w:ind w:right="459"/>
                    <w:rPr>
                      <w:b/>
                      <w:sz w:val="20"/>
                      <w:szCs w:val="20"/>
                      <w:lang w:val="sk-SK" w:eastAsia="sk-SK"/>
                    </w:rPr>
                  </w:pPr>
                  <w:sdt>
                    <w:sdtPr>
                      <w:rPr>
                        <w:b/>
                        <w:sz w:val="20"/>
                        <w:szCs w:val="20"/>
                        <w:lang w:val="sk-SK" w:eastAsia="sk-SK"/>
                      </w:rPr>
                      <w:id w:val="-361740452"/>
                      <w14:checkbox>
                        <w14:checked w14:val="0"/>
                        <w14:checkedState w14:val="2612" w14:font="MS Gothic"/>
                        <w14:uncheckedState w14:val="2610" w14:font="MS Gothic"/>
                      </w14:checkbox>
                    </w:sdtPr>
                    <w:sdtEndPr/>
                    <w:sdtContent>
                      <w:r w:rsidR="001F1776" w:rsidRPr="001F1776">
                        <w:rPr>
                          <w:rFonts w:ascii="MS Gothic" w:eastAsia="MS Gothic" w:hAnsi="MS Gothic"/>
                          <w:b/>
                          <w:sz w:val="20"/>
                          <w:szCs w:val="20"/>
                          <w:lang w:val="sk-SK" w:eastAsia="sk-SK"/>
                        </w:rPr>
                        <w:t>☐</w:t>
                      </w:r>
                    </w:sdtContent>
                  </w:sdt>
                  <w:r w:rsidR="001F1776" w:rsidRPr="001F1776">
                    <w:rPr>
                      <w:b/>
                      <w:sz w:val="20"/>
                      <w:szCs w:val="20"/>
                      <w:lang w:val="sk-SK" w:eastAsia="sk-SK"/>
                    </w:rPr>
                    <w:t xml:space="preserve">  Nesúhlasné</w:t>
                  </w:r>
                </w:p>
              </w:tc>
            </w:tr>
          </w:tbl>
          <w:p w:rsidR="001F1776" w:rsidRPr="001F1776" w:rsidRDefault="001F1776" w:rsidP="001F1776">
            <w:pPr>
              <w:jc w:val="both"/>
              <w:rPr>
                <w:b/>
                <w:sz w:val="20"/>
                <w:szCs w:val="20"/>
                <w:lang w:val="sk-SK" w:eastAsia="sk-SK"/>
              </w:rPr>
            </w:pPr>
            <w:r w:rsidRPr="001F1776">
              <w:rPr>
                <w:b/>
                <w:sz w:val="20"/>
                <w:szCs w:val="20"/>
                <w:lang w:val="sk-SK" w:eastAsia="sk-SK"/>
              </w:rPr>
              <w:t>Uveďte pripomienky zo stanoviska Komisie z časti II. spolu s Vaším vyhodnotením:</w:t>
            </w:r>
          </w:p>
          <w:p w:rsidR="001F1776" w:rsidRPr="001F1776" w:rsidRDefault="001F1776" w:rsidP="001F1776">
            <w:pPr>
              <w:rPr>
                <w:b/>
                <w:sz w:val="20"/>
                <w:szCs w:val="20"/>
                <w:lang w:val="sk-SK" w:eastAsia="sk-SK"/>
              </w:rPr>
            </w:pPr>
          </w:p>
        </w:tc>
      </w:tr>
    </w:tbl>
    <w:p w:rsidR="001F1776" w:rsidRPr="001F1776" w:rsidRDefault="001F1776" w:rsidP="001F1776">
      <w:pPr>
        <w:rPr>
          <w:lang w:val="sk-SK"/>
        </w:rPr>
      </w:pPr>
    </w:p>
    <w:p w:rsidR="001F1776" w:rsidRPr="001F1776" w:rsidRDefault="001F1776" w:rsidP="001F1776">
      <w:pPr>
        <w:jc w:val="center"/>
        <w:rPr>
          <w:b/>
          <w:bCs/>
          <w:sz w:val="28"/>
          <w:szCs w:val="28"/>
          <w:lang w:val="sk-SK" w:eastAsia="sk-SK"/>
        </w:rPr>
      </w:pPr>
      <w:r w:rsidRPr="001F1776">
        <w:rPr>
          <w:lang w:val="sk-SK"/>
        </w:rPr>
        <w:br w:type="page"/>
      </w:r>
      <w:r w:rsidRPr="001F1776">
        <w:rPr>
          <w:b/>
          <w:bCs/>
          <w:sz w:val="28"/>
          <w:szCs w:val="28"/>
          <w:lang w:val="sk-SK" w:eastAsia="sk-SK"/>
        </w:rPr>
        <w:lastRenderedPageBreak/>
        <w:t>Analýza vplyvov na rozpočet verejnej správy,</w:t>
      </w:r>
    </w:p>
    <w:p w:rsidR="001F1776" w:rsidRPr="001F1776" w:rsidRDefault="001F1776" w:rsidP="001F1776">
      <w:pPr>
        <w:jc w:val="center"/>
        <w:rPr>
          <w:b/>
          <w:bCs/>
          <w:sz w:val="28"/>
          <w:szCs w:val="28"/>
          <w:lang w:val="sk-SK" w:eastAsia="sk-SK"/>
        </w:rPr>
      </w:pPr>
      <w:r w:rsidRPr="001F1776">
        <w:rPr>
          <w:b/>
          <w:bCs/>
          <w:sz w:val="28"/>
          <w:szCs w:val="28"/>
          <w:lang w:val="sk-SK" w:eastAsia="sk-SK"/>
        </w:rPr>
        <w:t>na zamestnanosť vo verejnej správe a financovanie návrhu</w:t>
      </w:r>
    </w:p>
    <w:p w:rsidR="001F1776" w:rsidRPr="001F1776" w:rsidRDefault="001F1776" w:rsidP="001F1776">
      <w:pPr>
        <w:jc w:val="right"/>
        <w:rPr>
          <w:b/>
          <w:bCs/>
          <w:lang w:val="sk-SK" w:eastAsia="sk-SK"/>
        </w:rPr>
      </w:pPr>
    </w:p>
    <w:p w:rsidR="001F1776" w:rsidRPr="001F1776" w:rsidRDefault="001F1776" w:rsidP="001F1776">
      <w:pPr>
        <w:rPr>
          <w:b/>
          <w:bCs/>
          <w:lang w:val="sk-SK" w:eastAsia="sk-SK"/>
        </w:rPr>
      </w:pPr>
    </w:p>
    <w:p w:rsidR="001F1776" w:rsidRPr="001F1776" w:rsidRDefault="001F1776" w:rsidP="001F1776">
      <w:pPr>
        <w:rPr>
          <w:b/>
          <w:bCs/>
          <w:lang w:val="sk-SK" w:eastAsia="sk-SK"/>
        </w:rPr>
      </w:pPr>
      <w:r w:rsidRPr="001F1776">
        <w:rPr>
          <w:b/>
          <w:bCs/>
          <w:lang w:val="sk-SK" w:eastAsia="sk-SK"/>
        </w:rPr>
        <w:t>2.1 Zhrnutie vplyvov na rozpočet verejnej správy v návrhu</w:t>
      </w:r>
    </w:p>
    <w:p w:rsidR="001F1776" w:rsidRPr="001F1776" w:rsidRDefault="001F1776" w:rsidP="001F1776">
      <w:pPr>
        <w:jc w:val="right"/>
        <w:rPr>
          <w:sz w:val="20"/>
          <w:szCs w:val="20"/>
          <w:lang w:val="sk-SK" w:eastAsia="sk-SK"/>
        </w:rPr>
      </w:pPr>
    </w:p>
    <w:p w:rsidR="001F1776" w:rsidRPr="001F1776" w:rsidRDefault="001F1776" w:rsidP="001F1776">
      <w:pPr>
        <w:jc w:val="right"/>
        <w:rPr>
          <w:sz w:val="20"/>
          <w:szCs w:val="20"/>
          <w:lang w:val="sk-SK" w:eastAsia="sk-SK"/>
        </w:rPr>
      </w:pPr>
      <w:r w:rsidRPr="001F1776">
        <w:rPr>
          <w:sz w:val="20"/>
          <w:szCs w:val="20"/>
          <w:lang w:val="sk-SK" w:eastAsia="sk-SK"/>
        </w:rPr>
        <w:t xml:space="preserve">Tabuľka č. 1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653"/>
        <w:gridCol w:w="2156"/>
        <w:gridCol w:w="1598"/>
      </w:tblGrid>
      <w:tr w:rsidR="001F1776" w:rsidRPr="001F1776" w:rsidTr="001F1776">
        <w:trPr>
          <w:cantSplit/>
          <w:trHeight w:val="194"/>
          <w:jc w:val="center"/>
        </w:trPr>
        <w:tc>
          <w:tcPr>
            <w:tcW w:w="4661" w:type="dxa"/>
            <w:vMerge w:val="restart"/>
            <w:shd w:val="clear" w:color="auto" w:fill="BFBFBF"/>
            <w:vAlign w:val="center"/>
          </w:tcPr>
          <w:p w:rsidR="001F1776" w:rsidRPr="001F1776" w:rsidRDefault="001F1776" w:rsidP="001F1776">
            <w:pPr>
              <w:jc w:val="center"/>
              <w:rPr>
                <w:b/>
                <w:bCs/>
                <w:lang w:val="sk-SK" w:eastAsia="sk-SK"/>
              </w:rPr>
            </w:pPr>
            <w:bookmarkStart w:id="0" w:name="OLE_LINK1"/>
            <w:r w:rsidRPr="001F1776">
              <w:rPr>
                <w:b/>
                <w:bCs/>
                <w:lang w:val="sk-SK" w:eastAsia="sk-SK"/>
              </w:rPr>
              <w:t>Vplyvy na rozpočet verejnej správy</w:t>
            </w:r>
          </w:p>
        </w:tc>
        <w:tc>
          <w:tcPr>
            <w:tcW w:w="6674" w:type="dxa"/>
            <w:gridSpan w:val="4"/>
            <w:shd w:val="clear" w:color="auto" w:fill="BFBFBF"/>
            <w:vAlign w:val="center"/>
          </w:tcPr>
          <w:p w:rsidR="001F1776" w:rsidRPr="001F1776" w:rsidRDefault="001F1776" w:rsidP="001F1776">
            <w:pPr>
              <w:jc w:val="center"/>
              <w:rPr>
                <w:b/>
                <w:bCs/>
                <w:lang w:val="sk-SK" w:eastAsia="sk-SK"/>
              </w:rPr>
            </w:pPr>
            <w:r w:rsidRPr="001F1776">
              <w:rPr>
                <w:b/>
                <w:bCs/>
                <w:lang w:val="sk-SK" w:eastAsia="sk-SK"/>
              </w:rPr>
              <w:t>Vplyv na rozpočet verejnej správy (v eurách)</w:t>
            </w:r>
          </w:p>
        </w:tc>
      </w:tr>
      <w:tr w:rsidR="001F1776" w:rsidRPr="001F1776" w:rsidTr="001F1776">
        <w:trPr>
          <w:cantSplit/>
          <w:trHeight w:val="70"/>
          <w:jc w:val="center"/>
        </w:trPr>
        <w:tc>
          <w:tcPr>
            <w:tcW w:w="4661" w:type="dxa"/>
            <w:vMerge/>
            <w:shd w:val="clear" w:color="auto" w:fill="BFBFBF"/>
            <w:vAlign w:val="center"/>
          </w:tcPr>
          <w:p w:rsidR="001F1776" w:rsidRPr="001F1776" w:rsidRDefault="001F1776" w:rsidP="001F1776">
            <w:pPr>
              <w:jc w:val="center"/>
              <w:rPr>
                <w:b/>
                <w:bCs/>
                <w:lang w:val="sk-SK" w:eastAsia="sk-SK"/>
              </w:rPr>
            </w:pPr>
          </w:p>
        </w:tc>
        <w:tc>
          <w:tcPr>
            <w:tcW w:w="1267" w:type="dxa"/>
            <w:shd w:val="clear" w:color="auto" w:fill="BFBFBF"/>
            <w:vAlign w:val="center"/>
          </w:tcPr>
          <w:p w:rsidR="001F1776" w:rsidRPr="001F1776" w:rsidRDefault="001F1776" w:rsidP="001F1776">
            <w:pPr>
              <w:jc w:val="center"/>
              <w:rPr>
                <w:b/>
                <w:bCs/>
                <w:lang w:val="sk-SK" w:eastAsia="sk-SK"/>
              </w:rPr>
            </w:pPr>
            <w:r w:rsidRPr="001F1776">
              <w:rPr>
                <w:b/>
                <w:bCs/>
                <w:lang w:val="sk-SK" w:eastAsia="sk-SK"/>
              </w:rPr>
              <w:t>2021</w:t>
            </w:r>
          </w:p>
        </w:tc>
        <w:tc>
          <w:tcPr>
            <w:tcW w:w="1653" w:type="dxa"/>
            <w:shd w:val="clear" w:color="auto" w:fill="BFBFBF"/>
            <w:vAlign w:val="center"/>
          </w:tcPr>
          <w:p w:rsidR="001F1776" w:rsidRPr="001F1776" w:rsidRDefault="001F1776" w:rsidP="001F1776">
            <w:pPr>
              <w:jc w:val="center"/>
              <w:rPr>
                <w:b/>
                <w:bCs/>
                <w:lang w:val="sk-SK" w:eastAsia="sk-SK"/>
              </w:rPr>
            </w:pPr>
            <w:r w:rsidRPr="001F1776">
              <w:rPr>
                <w:b/>
                <w:bCs/>
                <w:lang w:val="sk-SK" w:eastAsia="sk-SK"/>
              </w:rPr>
              <w:t>2022</w:t>
            </w:r>
          </w:p>
        </w:tc>
        <w:tc>
          <w:tcPr>
            <w:tcW w:w="2156" w:type="dxa"/>
            <w:shd w:val="clear" w:color="auto" w:fill="BFBFBF"/>
            <w:vAlign w:val="center"/>
          </w:tcPr>
          <w:p w:rsidR="001F1776" w:rsidRPr="001F1776" w:rsidRDefault="001F1776" w:rsidP="001F1776">
            <w:pPr>
              <w:jc w:val="center"/>
              <w:rPr>
                <w:b/>
                <w:bCs/>
                <w:lang w:val="sk-SK" w:eastAsia="sk-SK"/>
              </w:rPr>
            </w:pPr>
            <w:r w:rsidRPr="001F1776">
              <w:rPr>
                <w:b/>
                <w:bCs/>
                <w:lang w:val="sk-SK" w:eastAsia="sk-SK"/>
              </w:rPr>
              <w:t>2023</w:t>
            </w:r>
          </w:p>
        </w:tc>
        <w:tc>
          <w:tcPr>
            <w:tcW w:w="1598" w:type="dxa"/>
            <w:shd w:val="clear" w:color="auto" w:fill="BFBFBF"/>
            <w:vAlign w:val="center"/>
          </w:tcPr>
          <w:p w:rsidR="001F1776" w:rsidRPr="001F1776" w:rsidRDefault="001F1776" w:rsidP="001F1776">
            <w:pPr>
              <w:jc w:val="center"/>
              <w:rPr>
                <w:b/>
                <w:bCs/>
                <w:lang w:val="sk-SK" w:eastAsia="sk-SK"/>
              </w:rPr>
            </w:pPr>
            <w:r w:rsidRPr="001F1776">
              <w:rPr>
                <w:b/>
                <w:bCs/>
                <w:lang w:val="sk-SK" w:eastAsia="sk-SK"/>
              </w:rPr>
              <w:t>2024</w:t>
            </w:r>
          </w:p>
        </w:tc>
      </w:tr>
      <w:tr w:rsidR="001F1776" w:rsidRPr="001F1776" w:rsidTr="001F1776">
        <w:trPr>
          <w:trHeight w:val="70"/>
          <w:jc w:val="center"/>
        </w:trPr>
        <w:tc>
          <w:tcPr>
            <w:tcW w:w="4661" w:type="dxa"/>
            <w:shd w:val="clear" w:color="auto" w:fill="C0C0C0"/>
            <w:noWrap/>
            <w:vAlign w:val="center"/>
          </w:tcPr>
          <w:p w:rsidR="001F1776" w:rsidRPr="001F1776" w:rsidRDefault="001F1776" w:rsidP="001F1776">
            <w:pPr>
              <w:rPr>
                <w:lang w:val="sk-SK" w:eastAsia="sk-SK"/>
              </w:rPr>
            </w:pPr>
            <w:r w:rsidRPr="001F1776">
              <w:rPr>
                <w:b/>
                <w:bCs/>
                <w:lang w:val="sk-SK" w:eastAsia="sk-SK"/>
              </w:rPr>
              <w:t>Príjmy verejnej správy celkom</w:t>
            </w:r>
          </w:p>
        </w:tc>
        <w:tc>
          <w:tcPr>
            <w:tcW w:w="1267" w:type="dxa"/>
            <w:shd w:val="clear" w:color="auto" w:fill="C0C0C0"/>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C0C0C0"/>
            <w:vAlign w:val="center"/>
          </w:tcPr>
          <w:p w:rsidR="001F1776" w:rsidRPr="001F1776" w:rsidRDefault="001F1776" w:rsidP="001F1776">
            <w:pPr>
              <w:jc w:val="right"/>
              <w:rPr>
                <w:b/>
                <w:bCs/>
                <w:lang w:val="sk-SK" w:eastAsia="sk-SK"/>
              </w:rPr>
            </w:pPr>
            <w:r w:rsidRPr="001F1776">
              <w:rPr>
                <w:b/>
                <w:bCs/>
                <w:lang w:val="sk-SK" w:eastAsia="sk-SK"/>
              </w:rPr>
              <w:t>0</w:t>
            </w:r>
          </w:p>
        </w:tc>
        <w:tc>
          <w:tcPr>
            <w:tcW w:w="2156" w:type="dxa"/>
            <w:shd w:val="clear" w:color="auto" w:fill="C0C0C0"/>
            <w:vAlign w:val="center"/>
          </w:tcPr>
          <w:p w:rsidR="001F1776" w:rsidRPr="001F1776" w:rsidRDefault="001F1776" w:rsidP="001F1776">
            <w:pPr>
              <w:jc w:val="right"/>
              <w:rPr>
                <w:b/>
                <w:bCs/>
                <w:lang w:val="sk-SK" w:eastAsia="sk-SK"/>
              </w:rPr>
            </w:pPr>
            <w:r w:rsidRPr="001F1776">
              <w:rPr>
                <w:b/>
                <w:bCs/>
                <w:lang w:val="sk-SK" w:eastAsia="sk-SK"/>
              </w:rPr>
              <w:t>0</w:t>
            </w:r>
          </w:p>
        </w:tc>
        <w:tc>
          <w:tcPr>
            <w:tcW w:w="1598" w:type="dxa"/>
            <w:shd w:val="clear" w:color="auto" w:fill="C0C0C0"/>
            <w:vAlign w:val="center"/>
          </w:tcPr>
          <w:p w:rsidR="001F1776" w:rsidRPr="001F1776" w:rsidRDefault="001F1776" w:rsidP="001F1776">
            <w:pPr>
              <w:jc w:val="right"/>
              <w:rPr>
                <w:b/>
                <w:bCs/>
                <w:lang w:val="sk-SK" w:eastAsia="sk-SK"/>
              </w:rPr>
            </w:pPr>
            <w:r w:rsidRPr="001F1776">
              <w:rPr>
                <w:b/>
                <w:bCs/>
                <w:lang w:val="sk-SK" w:eastAsia="sk-SK"/>
              </w:rPr>
              <w:t>0</w:t>
            </w:r>
          </w:p>
        </w:tc>
      </w:tr>
      <w:tr w:rsidR="001F1776" w:rsidRPr="001F1776" w:rsidTr="001F1776">
        <w:trPr>
          <w:trHeight w:val="132"/>
          <w:jc w:val="center"/>
        </w:trPr>
        <w:tc>
          <w:tcPr>
            <w:tcW w:w="4661" w:type="dxa"/>
            <w:noWrap/>
            <w:vAlign w:val="center"/>
          </w:tcPr>
          <w:p w:rsidR="001F1776" w:rsidRPr="001F1776" w:rsidRDefault="001F1776" w:rsidP="001F1776">
            <w:pPr>
              <w:rPr>
                <w:lang w:val="sk-SK" w:eastAsia="sk-SK"/>
              </w:rPr>
            </w:pPr>
            <w:r w:rsidRPr="001F1776">
              <w:rPr>
                <w:lang w:val="sk-SK" w:eastAsia="sk-SK"/>
              </w:rPr>
              <w:t>v tom: za každý subjekt verejnej správy zvlášť</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vAlign w:val="center"/>
          </w:tcPr>
          <w:p w:rsidR="001F1776" w:rsidRPr="001F1776" w:rsidRDefault="001F1776" w:rsidP="001F1776">
            <w:pPr>
              <w:jc w:val="right"/>
              <w:rPr>
                <w:lang w:val="sk-SK" w:eastAsia="sk-SK"/>
              </w:rPr>
            </w:pPr>
            <w:r w:rsidRPr="001F1776">
              <w:rPr>
                <w:lang w:val="sk-SK" w:eastAsia="sk-SK"/>
              </w:rPr>
              <w:t>0</w:t>
            </w:r>
          </w:p>
        </w:tc>
        <w:tc>
          <w:tcPr>
            <w:tcW w:w="2156" w:type="dxa"/>
            <w:noWrap/>
            <w:vAlign w:val="center"/>
          </w:tcPr>
          <w:p w:rsidR="001F1776" w:rsidRPr="001F1776" w:rsidRDefault="001F1776" w:rsidP="001F1776">
            <w:pPr>
              <w:jc w:val="right"/>
              <w:rPr>
                <w:lang w:val="sk-SK" w:eastAsia="sk-SK"/>
              </w:rPr>
            </w:pPr>
            <w:r w:rsidRPr="001F1776">
              <w:rPr>
                <w:lang w:val="sk-SK" w:eastAsia="sk-SK"/>
              </w:rPr>
              <w:t>0</w:t>
            </w:r>
          </w:p>
        </w:tc>
        <w:tc>
          <w:tcPr>
            <w:tcW w:w="1598" w:type="dxa"/>
            <w:noWrap/>
            <w:vAlign w:val="center"/>
          </w:tcPr>
          <w:p w:rsidR="001F1776" w:rsidRPr="001F1776" w:rsidRDefault="001F1776" w:rsidP="001F1776">
            <w:pPr>
              <w:jc w:val="right"/>
              <w:rPr>
                <w:lang w:val="sk-SK" w:eastAsia="sk-SK"/>
              </w:rPr>
            </w:pPr>
            <w:r w:rsidRPr="001F1776">
              <w:rPr>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xml:space="preserve">z toho:  </w:t>
            </w:r>
          </w:p>
        </w:tc>
        <w:tc>
          <w:tcPr>
            <w:tcW w:w="1267" w:type="dxa"/>
            <w:noWrap/>
            <w:vAlign w:val="center"/>
          </w:tcPr>
          <w:p w:rsidR="001F1776" w:rsidRPr="001F1776" w:rsidRDefault="001F1776" w:rsidP="001F1776">
            <w:pPr>
              <w:jc w:val="right"/>
              <w:rPr>
                <w:b/>
                <w:bCs/>
                <w:iCs/>
                <w:lang w:val="sk-SK" w:eastAsia="sk-SK"/>
              </w:rPr>
            </w:pPr>
          </w:p>
        </w:tc>
        <w:tc>
          <w:tcPr>
            <w:tcW w:w="1653" w:type="dxa"/>
            <w:noWrap/>
            <w:vAlign w:val="center"/>
          </w:tcPr>
          <w:p w:rsidR="001F1776" w:rsidRPr="001F1776" w:rsidRDefault="001F1776" w:rsidP="001F1776">
            <w:pPr>
              <w:jc w:val="right"/>
              <w:rPr>
                <w:b/>
                <w:bCs/>
                <w:iCs/>
                <w:lang w:val="sk-SK" w:eastAsia="sk-SK"/>
              </w:rPr>
            </w:pPr>
          </w:p>
        </w:tc>
        <w:tc>
          <w:tcPr>
            <w:tcW w:w="2156" w:type="dxa"/>
            <w:noWrap/>
            <w:vAlign w:val="center"/>
          </w:tcPr>
          <w:p w:rsidR="001F1776" w:rsidRPr="001F1776" w:rsidRDefault="001F1776" w:rsidP="001F1776">
            <w:pPr>
              <w:jc w:val="right"/>
              <w:rPr>
                <w:b/>
                <w:bCs/>
                <w:iCs/>
                <w:lang w:val="sk-SK" w:eastAsia="sk-SK"/>
              </w:rPr>
            </w:pPr>
          </w:p>
        </w:tc>
        <w:tc>
          <w:tcPr>
            <w:tcW w:w="1598" w:type="dxa"/>
            <w:noWrap/>
            <w:vAlign w:val="center"/>
          </w:tcPr>
          <w:p w:rsidR="001F1776" w:rsidRPr="001F1776" w:rsidRDefault="001F1776" w:rsidP="001F1776">
            <w:pPr>
              <w:jc w:val="right"/>
              <w:rPr>
                <w:b/>
                <w:bCs/>
                <w:iCs/>
                <w:lang w:val="sk-SK" w:eastAsia="sk-SK"/>
              </w:rPr>
            </w:pP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ŠR</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ind w:left="259"/>
              <w:rPr>
                <w:b/>
                <w:bCs/>
                <w:i/>
                <w:iCs/>
                <w:lang w:val="sk-SK" w:eastAsia="sk-SK"/>
              </w:rPr>
            </w:pPr>
            <w:r w:rsidRPr="001F1776">
              <w:rPr>
                <w:bCs/>
                <w:i/>
                <w:iCs/>
                <w:lang w:val="sk-SK" w:eastAsia="sk-SK"/>
              </w:rPr>
              <w:t>Rozpočtové prostriedky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ind w:left="259"/>
              <w:rPr>
                <w:bCs/>
                <w:i/>
                <w:iCs/>
                <w:lang w:val="sk-SK" w:eastAsia="sk-SK"/>
              </w:rPr>
            </w:pPr>
            <w:r w:rsidRPr="001F1776">
              <w:rPr>
                <w:bCs/>
                <w:i/>
                <w:iCs/>
                <w:lang w:val="sk-SK" w:eastAsia="sk-SK"/>
              </w:rPr>
              <w:t>EÚ zdroje</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vAlign w:val="center"/>
          </w:tcPr>
          <w:p w:rsidR="001F1776" w:rsidRPr="001F1776" w:rsidRDefault="001F1776" w:rsidP="001F1776">
            <w:pPr>
              <w:jc w:val="right"/>
              <w:rPr>
                <w:lang w:val="sk-SK" w:eastAsia="sk-SK"/>
              </w:rPr>
            </w:pPr>
            <w:r w:rsidRPr="001F1776">
              <w:rPr>
                <w:lang w:val="sk-SK" w:eastAsia="sk-SK"/>
              </w:rPr>
              <w:t>0</w:t>
            </w:r>
          </w:p>
        </w:tc>
        <w:tc>
          <w:tcPr>
            <w:tcW w:w="2156" w:type="dxa"/>
            <w:noWrap/>
            <w:vAlign w:val="center"/>
          </w:tcPr>
          <w:p w:rsidR="001F1776" w:rsidRPr="001F1776" w:rsidRDefault="001F1776" w:rsidP="001F1776">
            <w:pPr>
              <w:jc w:val="right"/>
              <w:rPr>
                <w:lang w:val="sk-SK" w:eastAsia="sk-SK"/>
              </w:rPr>
            </w:pPr>
            <w:r w:rsidRPr="001F1776">
              <w:rPr>
                <w:lang w:val="sk-SK" w:eastAsia="sk-SK"/>
              </w:rPr>
              <w:t>0</w:t>
            </w:r>
          </w:p>
        </w:tc>
        <w:tc>
          <w:tcPr>
            <w:tcW w:w="1598" w:type="dxa"/>
            <w:noWrap/>
            <w:vAlign w:val="center"/>
          </w:tcPr>
          <w:p w:rsidR="001F1776" w:rsidRPr="001F1776" w:rsidRDefault="001F1776" w:rsidP="001F1776">
            <w:pPr>
              <w:jc w:val="right"/>
              <w:rPr>
                <w:lang w:val="sk-SK" w:eastAsia="sk-SK"/>
              </w:rPr>
            </w:pPr>
            <w:r w:rsidRPr="001F1776">
              <w:rPr>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obce</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vyššie územné celky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ostatné subjekty verejnej správy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shd w:val="clear" w:color="auto" w:fill="C0C0C0"/>
            <w:noWrap/>
            <w:vAlign w:val="center"/>
          </w:tcPr>
          <w:p w:rsidR="001F1776" w:rsidRPr="001F1776" w:rsidRDefault="001F1776" w:rsidP="001F1776">
            <w:pPr>
              <w:rPr>
                <w:b/>
                <w:bCs/>
                <w:lang w:val="sk-SK" w:eastAsia="sk-SK"/>
              </w:rPr>
            </w:pPr>
            <w:r w:rsidRPr="001F1776">
              <w:rPr>
                <w:b/>
                <w:bCs/>
                <w:lang w:val="sk-SK" w:eastAsia="sk-SK"/>
              </w:rPr>
              <w:t>Výdavky verejnej správy celkom</w:t>
            </w:r>
          </w:p>
        </w:tc>
        <w:tc>
          <w:tcPr>
            <w:tcW w:w="1267" w:type="dxa"/>
            <w:shd w:val="clear" w:color="auto" w:fill="C0C0C0"/>
            <w:noWrap/>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C0C0C0"/>
            <w:noWrap/>
            <w:vAlign w:val="center"/>
          </w:tcPr>
          <w:p w:rsidR="001F1776" w:rsidRPr="001F1776" w:rsidRDefault="001F1776" w:rsidP="001F1776">
            <w:pPr>
              <w:jc w:val="right"/>
              <w:rPr>
                <w:b/>
                <w:bCs/>
                <w:lang w:val="sk-SK" w:eastAsia="sk-SK"/>
              </w:rPr>
            </w:pPr>
            <w:r w:rsidRPr="001F1776">
              <w:rPr>
                <w:rFonts w:ascii="Calibri" w:eastAsia="Calibri" w:hAnsi="Calibri"/>
                <w:b/>
                <w:bCs/>
                <w:lang w:val="sk-SK"/>
              </w:rPr>
              <w:t xml:space="preserve"> 65.367,60</w:t>
            </w:r>
          </w:p>
        </w:tc>
        <w:tc>
          <w:tcPr>
            <w:tcW w:w="2156" w:type="dxa"/>
            <w:shd w:val="clear" w:color="auto" w:fill="C0C0C0"/>
            <w:noWrap/>
            <w:vAlign w:val="center"/>
          </w:tcPr>
          <w:p w:rsidR="001F1776" w:rsidRPr="001F1776" w:rsidRDefault="001F1776" w:rsidP="001F1776">
            <w:pPr>
              <w:jc w:val="right"/>
              <w:rPr>
                <w:b/>
                <w:bCs/>
                <w:lang w:val="sk-SK" w:eastAsia="sk-SK"/>
              </w:rPr>
            </w:pPr>
            <w:r w:rsidRPr="001F1776">
              <w:rPr>
                <w:rFonts w:ascii="Calibri" w:eastAsia="Calibri" w:hAnsi="Calibri"/>
                <w:b/>
                <w:bCs/>
                <w:lang w:val="sk-SK"/>
              </w:rPr>
              <w:t>132.784,05</w:t>
            </w:r>
          </w:p>
        </w:tc>
        <w:tc>
          <w:tcPr>
            <w:tcW w:w="1598" w:type="dxa"/>
            <w:shd w:val="clear" w:color="auto" w:fill="C0C0C0"/>
            <w:noWrap/>
            <w:vAlign w:val="center"/>
          </w:tcPr>
          <w:p w:rsidR="001F1776" w:rsidRPr="001F1776" w:rsidRDefault="001F1776" w:rsidP="001F1776">
            <w:pPr>
              <w:jc w:val="right"/>
              <w:rPr>
                <w:b/>
                <w:bCs/>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noWrap/>
            <w:vAlign w:val="center"/>
          </w:tcPr>
          <w:p w:rsidR="001F1776" w:rsidRPr="001F1776" w:rsidRDefault="001F1776" w:rsidP="001F1776">
            <w:pPr>
              <w:rPr>
                <w:lang w:val="sk-SK" w:eastAsia="sk-SK"/>
              </w:rPr>
            </w:pPr>
            <w:r w:rsidRPr="001F1776">
              <w:rPr>
                <w:lang w:val="sk-SK" w:eastAsia="sk-SK"/>
              </w:rPr>
              <w:t>v tom: Ministerstvo vnútra Slovenskej republiky</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vAlign w:val="center"/>
          </w:tcPr>
          <w:p w:rsidR="001F1776" w:rsidRPr="001F1776" w:rsidRDefault="001F1776" w:rsidP="001F1776">
            <w:pPr>
              <w:jc w:val="right"/>
              <w:rPr>
                <w:rFonts w:ascii="Calibri" w:eastAsia="Calibri" w:hAnsi="Calibri"/>
                <w:b/>
                <w:bCs/>
                <w:lang w:val="sk-SK"/>
              </w:rPr>
            </w:pPr>
          </w:p>
          <w:p w:rsidR="001F1776" w:rsidRPr="001F1776" w:rsidRDefault="001F1776" w:rsidP="001F1776">
            <w:pPr>
              <w:jc w:val="right"/>
              <w:rPr>
                <w:lang w:val="sk-SK" w:eastAsia="sk-SK"/>
              </w:rPr>
            </w:pPr>
            <w:r w:rsidRPr="001F1776">
              <w:rPr>
                <w:rFonts w:ascii="Calibri" w:eastAsia="Calibri" w:hAnsi="Calibri"/>
                <w:b/>
                <w:bCs/>
                <w:lang w:val="sk-SK"/>
              </w:rPr>
              <w:t>65.367,60</w:t>
            </w:r>
          </w:p>
        </w:tc>
        <w:tc>
          <w:tcPr>
            <w:tcW w:w="2156" w:type="dxa"/>
            <w:noWrap/>
          </w:tcPr>
          <w:p w:rsidR="001F1776" w:rsidRPr="001F1776" w:rsidRDefault="001F1776" w:rsidP="001F1776">
            <w:pPr>
              <w:jc w:val="right"/>
              <w:rPr>
                <w:rFonts w:ascii="Calibri" w:eastAsia="Calibri" w:hAnsi="Calibri"/>
                <w:b/>
                <w:bCs/>
                <w:lang w:val="sk-SK"/>
              </w:rPr>
            </w:pPr>
          </w:p>
          <w:p w:rsidR="001F1776" w:rsidRPr="001F1776" w:rsidRDefault="001F1776" w:rsidP="001F1776">
            <w:pPr>
              <w:jc w:val="right"/>
              <w:rPr>
                <w:lang w:val="sk-SK" w:eastAsia="sk-SK"/>
              </w:rPr>
            </w:pPr>
            <w:r w:rsidRPr="001F1776">
              <w:rPr>
                <w:rFonts w:ascii="Calibri" w:eastAsia="Calibri" w:hAnsi="Calibri"/>
                <w:b/>
                <w:bCs/>
                <w:lang w:val="sk-SK"/>
              </w:rPr>
              <w:t>132.784,05</w:t>
            </w:r>
          </w:p>
        </w:tc>
        <w:tc>
          <w:tcPr>
            <w:tcW w:w="1598" w:type="dxa"/>
            <w:noWrap/>
          </w:tcPr>
          <w:p w:rsidR="001F1776" w:rsidRPr="001F1776" w:rsidRDefault="001F1776" w:rsidP="001F1776">
            <w:pPr>
              <w:jc w:val="right"/>
              <w:rPr>
                <w:rFonts w:ascii="Calibri" w:eastAsia="Calibri" w:hAnsi="Calibri"/>
                <w:b/>
                <w:bCs/>
                <w:lang w:val="sk-SK"/>
              </w:rPr>
            </w:pPr>
          </w:p>
          <w:p w:rsidR="001F1776" w:rsidRPr="001F1776" w:rsidRDefault="001F1776" w:rsidP="001F1776">
            <w:pPr>
              <w:jc w:val="right"/>
              <w:rPr>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xml:space="preserve">z toho: </w:t>
            </w:r>
          </w:p>
        </w:tc>
        <w:tc>
          <w:tcPr>
            <w:tcW w:w="1267" w:type="dxa"/>
            <w:noWrap/>
            <w:vAlign w:val="center"/>
          </w:tcPr>
          <w:p w:rsidR="001F1776" w:rsidRPr="001F1776" w:rsidRDefault="001F1776" w:rsidP="001F1776">
            <w:pPr>
              <w:jc w:val="right"/>
              <w:rPr>
                <w:b/>
                <w:bCs/>
                <w:iCs/>
                <w:lang w:val="sk-SK" w:eastAsia="sk-SK"/>
              </w:rPr>
            </w:pPr>
          </w:p>
        </w:tc>
        <w:tc>
          <w:tcPr>
            <w:tcW w:w="1653" w:type="dxa"/>
            <w:noWrap/>
            <w:vAlign w:val="center"/>
          </w:tcPr>
          <w:p w:rsidR="001F1776" w:rsidRPr="001F1776" w:rsidRDefault="001F1776" w:rsidP="001F1776">
            <w:pPr>
              <w:jc w:val="right"/>
              <w:rPr>
                <w:b/>
                <w:bCs/>
                <w:iCs/>
                <w:lang w:val="sk-SK" w:eastAsia="sk-SK"/>
              </w:rPr>
            </w:pPr>
          </w:p>
        </w:tc>
        <w:tc>
          <w:tcPr>
            <w:tcW w:w="2156" w:type="dxa"/>
            <w:noWrap/>
            <w:vAlign w:val="center"/>
          </w:tcPr>
          <w:p w:rsidR="001F1776" w:rsidRPr="001F1776" w:rsidRDefault="001F1776" w:rsidP="001F1776">
            <w:pPr>
              <w:jc w:val="right"/>
              <w:rPr>
                <w:b/>
                <w:bCs/>
                <w:iCs/>
                <w:lang w:val="sk-SK" w:eastAsia="sk-SK"/>
              </w:rPr>
            </w:pPr>
          </w:p>
        </w:tc>
        <w:tc>
          <w:tcPr>
            <w:tcW w:w="1598" w:type="dxa"/>
            <w:noWrap/>
            <w:vAlign w:val="center"/>
          </w:tcPr>
          <w:p w:rsidR="001F1776" w:rsidRPr="001F1776" w:rsidRDefault="001F1776" w:rsidP="001F1776">
            <w:pPr>
              <w:jc w:val="right"/>
              <w:rPr>
                <w:b/>
                <w:bCs/>
                <w:iCs/>
                <w:lang w:val="sk-SK" w:eastAsia="sk-SK"/>
              </w:rPr>
            </w:pP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ŠR</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rFonts w:ascii="Calibri" w:eastAsia="Calibri" w:hAnsi="Calibri"/>
                <w:b/>
                <w:bCs/>
                <w:lang w:val="sk-SK"/>
              </w:rPr>
              <w:t>65.367,60</w:t>
            </w:r>
          </w:p>
        </w:tc>
        <w:tc>
          <w:tcPr>
            <w:tcW w:w="2156" w:type="dxa"/>
            <w:noWrap/>
            <w:vAlign w:val="center"/>
          </w:tcPr>
          <w:p w:rsidR="001F1776" w:rsidRPr="001F1776" w:rsidRDefault="001F1776" w:rsidP="001F1776">
            <w:pPr>
              <w:jc w:val="right"/>
              <w:rPr>
                <w:b/>
                <w:bCs/>
                <w:iCs/>
                <w:lang w:val="sk-SK" w:eastAsia="sk-SK"/>
              </w:rPr>
            </w:pPr>
            <w:r w:rsidRPr="001F1776">
              <w:rPr>
                <w:rFonts w:ascii="Calibri" w:eastAsia="Calibri" w:hAnsi="Calibri"/>
                <w:b/>
                <w:bCs/>
                <w:lang w:val="sk-SK"/>
              </w:rPr>
              <w:t>132.784,05</w:t>
            </w:r>
          </w:p>
        </w:tc>
        <w:tc>
          <w:tcPr>
            <w:tcW w:w="1598" w:type="dxa"/>
            <w:noWrap/>
            <w:vAlign w:val="center"/>
          </w:tcPr>
          <w:p w:rsidR="001F1776" w:rsidRPr="001F1776" w:rsidRDefault="001F1776" w:rsidP="001F1776">
            <w:pPr>
              <w:jc w:val="right"/>
              <w:rPr>
                <w:b/>
                <w:bCs/>
                <w:iCs/>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noWrap/>
            <w:vAlign w:val="center"/>
          </w:tcPr>
          <w:p w:rsidR="001F1776" w:rsidRPr="001F1776" w:rsidRDefault="001F1776" w:rsidP="001F1776">
            <w:pPr>
              <w:ind w:left="259"/>
              <w:rPr>
                <w:b/>
                <w:bCs/>
                <w:i/>
                <w:iCs/>
                <w:lang w:val="sk-SK" w:eastAsia="sk-SK"/>
              </w:rPr>
            </w:pPr>
            <w:r w:rsidRPr="001F1776">
              <w:rPr>
                <w:bCs/>
                <w:i/>
                <w:iCs/>
                <w:lang w:val="sk-SK" w:eastAsia="sk-SK"/>
              </w:rPr>
              <w:t>Rozpočtové prostriedky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rFonts w:ascii="Calibri" w:eastAsia="Calibri" w:hAnsi="Calibri"/>
                <w:b/>
                <w:bCs/>
                <w:lang w:val="sk-SK"/>
              </w:rPr>
              <w:t>65.367,60</w:t>
            </w:r>
          </w:p>
        </w:tc>
        <w:tc>
          <w:tcPr>
            <w:tcW w:w="2156" w:type="dxa"/>
            <w:noWrap/>
          </w:tcPr>
          <w:p w:rsidR="001F1776" w:rsidRPr="001F1776" w:rsidRDefault="001F1776" w:rsidP="001F1776">
            <w:pPr>
              <w:jc w:val="right"/>
              <w:rPr>
                <w:b/>
                <w:bCs/>
                <w:iCs/>
                <w:lang w:val="sk-SK" w:eastAsia="sk-SK"/>
              </w:rPr>
            </w:pPr>
            <w:r w:rsidRPr="001F1776">
              <w:rPr>
                <w:rFonts w:ascii="Calibri" w:eastAsia="Calibri" w:hAnsi="Calibri"/>
                <w:b/>
                <w:bCs/>
                <w:lang w:val="sk-SK"/>
              </w:rPr>
              <w:t>132.784,05</w:t>
            </w:r>
          </w:p>
        </w:tc>
        <w:tc>
          <w:tcPr>
            <w:tcW w:w="1598" w:type="dxa"/>
            <w:noWrap/>
          </w:tcPr>
          <w:p w:rsidR="001F1776" w:rsidRPr="001F1776" w:rsidRDefault="001F1776" w:rsidP="001F1776">
            <w:pPr>
              <w:jc w:val="right"/>
              <w:rPr>
                <w:b/>
                <w:bCs/>
                <w:iCs/>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noWrap/>
            <w:vAlign w:val="center"/>
          </w:tcPr>
          <w:p w:rsidR="001F1776" w:rsidRPr="001F1776" w:rsidRDefault="001F1776" w:rsidP="001F1776">
            <w:pPr>
              <w:rPr>
                <w:bCs/>
                <w:i/>
                <w:iCs/>
                <w:lang w:val="sk-SK" w:eastAsia="sk-SK"/>
              </w:rPr>
            </w:pPr>
            <w:r w:rsidRPr="001F1776">
              <w:rPr>
                <w:bCs/>
                <w:i/>
                <w:iCs/>
                <w:lang w:val="sk-SK" w:eastAsia="sk-SK"/>
              </w:rPr>
              <w:t xml:space="preserve">    EÚ zdroje</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vAlign w:val="center"/>
          </w:tcPr>
          <w:p w:rsidR="001F1776" w:rsidRPr="001F1776" w:rsidRDefault="001F1776" w:rsidP="001F1776">
            <w:pPr>
              <w:jc w:val="right"/>
              <w:rPr>
                <w:lang w:val="sk-SK" w:eastAsia="sk-SK"/>
              </w:rPr>
            </w:pPr>
            <w:r w:rsidRPr="001F1776">
              <w:rPr>
                <w:lang w:val="sk-SK" w:eastAsia="sk-SK"/>
              </w:rPr>
              <w:t>0</w:t>
            </w:r>
          </w:p>
        </w:tc>
        <w:tc>
          <w:tcPr>
            <w:tcW w:w="2156" w:type="dxa"/>
            <w:noWrap/>
            <w:vAlign w:val="center"/>
          </w:tcPr>
          <w:p w:rsidR="001F1776" w:rsidRPr="001F1776" w:rsidRDefault="001F1776" w:rsidP="001F1776">
            <w:pPr>
              <w:jc w:val="right"/>
              <w:rPr>
                <w:lang w:val="sk-SK" w:eastAsia="sk-SK"/>
              </w:rPr>
            </w:pPr>
            <w:r w:rsidRPr="001F1776">
              <w:rPr>
                <w:lang w:val="sk-SK" w:eastAsia="sk-SK"/>
              </w:rPr>
              <w:t>0</w:t>
            </w:r>
          </w:p>
        </w:tc>
        <w:tc>
          <w:tcPr>
            <w:tcW w:w="1598" w:type="dxa"/>
            <w:noWrap/>
            <w:vAlign w:val="center"/>
          </w:tcPr>
          <w:p w:rsidR="001F1776" w:rsidRPr="001F1776" w:rsidRDefault="001F1776" w:rsidP="001F1776">
            <w:pPr>
              <w:jc w:val="right"/>
              <w:rPr>
                <w:lang w:val="sk-SK" w:eastAsia="sk-SK"/>
              </w:rPr>
            </w:pPr>
            <w:r w:rsidRPr="001F1776">
              <w:rPr>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Cs/>
                <w:i/>
                <w:iCs/>
                <w:lang w:val="sk-SK" w:eastAsia="sk-SK"/>
              </w:rPr>
            </w:pPr>
            <w:r w:rsidRPr="001F1776">
              <w:rPr>
                <w:bCs/>
                <w:i/>
                <w:iCs/>
                <w:lang w:val="sk-SK" w:eastAsia="sk-SK"/>
              </w:rPr>
              <w:t xml:space="preserve">    spolufinancovanie</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vAlign w:val="center"/>
          </w:tcPr>
          <w:p w:rsidR="001F1776" w:rsidRPr="001F1776" w:rsidRDefault="001F1776" w:rsidP="001F1776">
            <w:pPr>
              <w:jc w:val="right"/>
              <w:rPr>
                <w:lang w:val="sk-SK" w:eastAsia="sk-SK"/>
              </w:rPr>
            </w:pPr>
            <w:r w:rsidRPr="001F1776">
              <w:rPr>
                <w:lang w:val="sk-SK" w:eastAsia="sk-SK"/>
              </w:rPr>
              <w:t>0</w:t>
            </w:r>
          </w:p>
        </w:tc>
        <w:tc>
          <w:tcPr>
            <w:tcW w:w="2156" w:type="dxa"/>
            <w:noWrap/>
            <w:vAlign w:val="center"/>
          </w:tcPr>
          <w:p w:rsidR="001F1776" w:rsidRPr="001F1776" w:rsidRDefault="001F1776" w:rsidP="001F1776">
            <w:pPr>
              <w:jc w:val="right"/>
              <w:rPr>
                <w:lang w:val="sk-SK" w:eastAsia="sk-SK"/>
              </w:rPr>
            </w:pPr>
            <w:r w:rsidRPr="001F1776">
              <w:rPr>
                <w:lang w:val="sk-SK" w:eastAsia="sk-SK"/>
              </w:rPr>
              <w:t>0</w:t>
            </w:r>
          </w:p>
        </w:tc>
        <w:tc>
          <w:tcPr>
            <w:tcW w:w="1598" w:type="dxa"/>
            <w:noWrap/>
            <w:vAlign w:val="center"/>
          </w:tcPr>
          <w:p w:rsidR="001F1776" w:rsidRPr="001F1776" w:rsidRDefault="001F1776" w:rsidP="001F1776">
            <w:pPr>
              <w:jc w:val="right"/>
              <w:rPr>
                <w:lang w:val="sk-SK" w:eastAsia="sk-SK"/>
              </w:rPr>
            </w:pPr>
            <w:r w:rsidRPr="001F1776">
              <w:rPr>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obce</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125"/>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vyššie územné celky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lang w:val="sk-SK" w:eastAsia="sk-SK"/>
              </w:rPr>
            </w:pPr>
            <w:r w:rsidRPr="001F1776">
              <w:rPr>
                <w:b/>
                <w:bCs/>
                <w:i/>
                <w:iCs/>
                <w:lang w:val="sk-SK" w:eastAsia="sk-SK"/>
              </w:rPr>
              <w:t>- vplyv na ostatné subjekty verejnej správy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shd w:val="clear" w:color="auto" w:fill="BFBFBF"/>
            <w:noWrap/>
            <w:vAlign w:val="center"/>
          </w:tcPr>
          <w:p w:rsidR="001F1776" w:rsidRPr="001F1776" w:rsidRDefault="001F1776" w:rsidP="001F1776">
            <w:pPr>
              <w:rPr>
                <w:b/>
                <w:bCs/>
                <w:lang w:val="sk-SK" w:eastAsia="sk-SK"/>
              </w:rPr>
            </w:pPr>
            <w:r w:rsidRPr="001F1776">
              <w:rPr>
                <w:b/>
                <w:bCs/>
                <w:lang w:val="sk-SK" w:eastAsia="sk-SK"/>
              </w:rPr>
              <w:t xml:space="preserve">Vplyv na počet zamestnancov </w:t>
            </w:r>
          </w:p>
        </w:tc>
        <w:tc>
          <w:tcPr>
            <w:tcW w:w="1267"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2156"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1598"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ŠR</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obce</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vyššie územné celky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ostatné subjekty verejnej správy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shd w:val="clear" w:color="auto" w:fill="BFBFBF"/>
            <w:noWrap/>
            <w:vAlign w:val="center"/>
          </w:tcPr>
          <w:p w:rsidR="001F1776" w:rsidRPr="001F1776" w:rsidRDefault="001F1776" w:rsidP="001F1776">
            <w:pPr>
              <w:rPr>
                <w:b/>
                <w:lang w:val="sk-SK" w:eastAsia="sk-SK"/>
              </w:rPr>
            </w:pPr>
            <w:r w:rsidRPr="001F1776">
              <w:rPr>
                <w:b/>
                <w:lang w:val="sk-SK" w:eastAsia="sk-SK"/>
              </w:rPr>
              <w:t>Vplyv na mzdové výdavky</w:t>
            </w:r>
          </w:p>
        </w:tc>
        <w:tc>
          <w:tcPr>
            <w:tcW w:w="1267" w:type="dxa"/>
            <w:shd w:val="clear" w:color="auto" w:fill="BFBFBF"/>
            <w:noWrap/>
            <w:vAlign w:val="center"/>
          </w:tcPr>
          <w:p w:rsidR="001F1776" w:rsidRPr="001F1776" w:rsidRDefault="001F1776" w:rsidP="001F1776">
            <w:pPr>
              <w:jc w:val="right"/>
              <w:rPr>
                <w:b/>
                <w:lang w:val="sk-SK" w:eastAsia="sk-SK"/>
              </w:rPr>
            </w:pPr>
            <w:r w:rsidRPr="001F1776">
              <w:rPr>
                <w:b/>
                <w:lang w:val="sk-SK" w:eastAsia="sk-SK"/>
              </w:rPr>
              <w:t>0</w:t>
            </w:r>
          </w:p>
        </w:tc>
        <w:tc>
          <w:tcPr>
            <w:tcW w:w="1653" w:type="dxa"/>
            <w:shd w:val="clear" w:color="auto" w:fill="BFBFBF"/>
            <w:noWrap/>
            <w:vAlign w:val="center"/>
          </w:tcPr>
          <w:p w:rsidR="001F1776" w:rsidRPr="001F1776" w:rsidRDefault="001F1776" w:rsidP="001F1776">
            <w:pPr>
              <w:jc w:val="right"/>
              <w:rPr>
                <w:b/>
                <w:lang w:val="sk-SK" w:eastAsia="sk-SK"/>
              </w:rPr>
            </w:pPr>
            <w:r w:rsidRPr="001F1776">
              <w:rPr>
                <w:b/>
                <w:lang w:val="sk-SK" w:eastAsia="sk-SK"/>
              </w:rPr>
              <w:t>0</w:t>
            </w:r>
          </w:p>
        </w:tc>
        <w:tc>
          <w:tcPr>
            <w:tcW w:w="2156" w:type="dxa"/>
            <w:shd w:val="clear" w:color="auto" w:fill="BFBFBF"/>
            <w:noWrap/>
            <w:vAlign w:val="center"/>
          </w:tcPr>
          <w:p w:rsidR="001F1776" w:rsidRPr="001F1776" w:rsidRDefault="001F1776" w:rsidP="001F1776">
            <w:pPr>
              <w:jc w:val="right"/>
              <w:rPr>
                <w:b/>
                <w:lang w:val="sk-SK" w:eastAsia="sk-SK"/>
              </w:rPr>
            </w:pPr>
            <w:r w:rsidRPr="001F1776">
              <w:rPr>
                <w:b/>
                <w:lang w:val="sk-SK" w:eastAsia="sk-SK"/>
              </w:rPr>
              <w:t>0</w:t>
            </w:r>
          </w:p>
        </w:tc>
        <w:tc>
          <w:tcPr>
            <w:tcW w:w="1598" w:type="dxa"/>
            <w:shd w:val="clear" w:color="auto" w:fill="BFBFBF"/>
            <w:noWrap/>
            <w:vAlign w:val="center"/>
          </w:tcPr>
          <w:p w:rsidR="001F1776" w:rsidRPr="001F1776" w:rsidRDefault="001F1776" w:rsidP="001F1776">
            <w:pPr>
              <w:jc w:val="right"/>
              <w:rPr>
                <w:b/>
                <w:lang w:val="sk-SK" w:eastAsia="sk-SK"/>
              </w:rPr>
            </w:pPr>
            <w:r w:rsidRPr="001F1776">
              <w:rPr>
                <w:b/>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ŠR</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obce</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i/>
                <w:iCs/>
                <w:lang w:val="sk-SK" w:eastAsia="sk-SK"/>
              </w:rPr>
            </w:pPr>
            <w:r w:rsidRPr="001F1776">
              <w:rPr>
                <w:b/>
                <w:bCs/>
                <w:i/>
                <w:iCs/>
                <w:lang w:val="sk-SK" w:eastAsia="sk-SK"/>
              </w:rPr>
              <w:t>- vplyv na vyššie územné celky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noWrap/>
            <w:vAlign w:val="center"/>
          </w:tcPr>
          <w:p w:rsidR="001F1776" w:rsidRPr="001F1776" w:rsidRDefault="001F1776" w:rsidP="001F1776">
            <w:pPr>
              <w:rPr>
                <w:b/>
                <w:bCs/>
                <w:lang w:val="sk-SK" w:eastAsia="sk-SK"/>
              </w:rPr>
            </w:pPr>
            <w:r w:rsidRPr="001F1776">
              <w:rPr>
                <w:b/>
                <w:bCs/>
                <w:i/>
                <w:iCs/>
                <w:lang w:val="sk-SK" w:eastAsia="sk-SK"/>
              </w:rPr>
              <w:t>- vplyv na ostatné subjekty verejnej správy</w:t>
            </w:r>
          </w:p>
        </w:tc>
        <w:tc>
          <w:tcPr>
            <w:tcW w:w="1267"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653"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2156"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c>
          <w:tcPr>
            <w:tcW w:w="1598" w:type="dxa"/>
            <w:noWrap/>
            <w:vAlign w:val="center"/>
          </w:tcPr>
          <w:p w:rsidR="001F1776" w:rsidRPr="001F1776" w:rsidRDefault="001F1776" w:rsidP="001F1776">
            <w:pPr>
              <w:jc w:val="right"/>
              <w:rPr>
                <w:b/>
                <w:bCs/>
                <w:iCs/>
                <w:lang w:val="sk-SK" w:eastAsia="sk-SK"/>
              </w:rPr>
            </w:pPr>
            <w:r w:rsidRPr="001F1776">
              <w:rPr>
                <w:b/>
                <w:bCs/>
                <w:iCs/>
                <w:lang w:val="sk-SK" w:eastAsia="sk-SK"/>
              </w:rPr>
              <w:t>0</w:t>
            </w:r>
          </w:p>
        </w:tc>
      </w:tr>
      <w:tr w:rsidR="001F1776" w:rsidRPr="001F1776" w:rsidTr="001F1776">
        <w:trPr>
          <w:trHeight w:val="70"/>
          <w:jc w:val="center"/>
        </w:trPr>
        <w:tc>
          <w:tcPr>
            <w:tcW w:w="4661" w:type="dxa"/>
            <w:shd w:val="clear" w:color="auto" w:fill="C0C0C0"/>
            <w:noWrap/>
            <w:vAlign w:val="center"/>
          </w:tcPr>
          <w:p w:rsidR="001F1776" w:rsidRPr="001F1776" w:rsidRDefault="001F1776" w:rsidP="001F1776">
            <w:pPr>
              <w:rPr>
                <w:b/>
                <w:bCs/>
                <w:lang w:val="sk-SK" w:eastAsia="sk-SK"/>
              </w:rPr>
            </w:pPr>
            <w:r w:rsidRPr="001F1776">
              <w:rPr>
                <w:b/>
                <w:bCs/>
                <w:lang w:val="sk-SK" w:eastAsia="sk-SK"/>
              </w:rPr>
              <w:t>Financovanie zabezpečené v rozpočte</w:t>
            </w:r>
          </w:p>
        </w:tc>
        <w:tc>
          <w:tcPr>
            <w:tcW w:w="1267" w:type="dxa"/>
            <w:shd w:val="clear" w:color="auto" w:fill="C0C0C0"/>
            <w:noWrap/>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C0C0C0"/>
            <w:noWrap/>
          </w:tcPr>
          <w:p w:rsidR="001F1776" w:rsidRPr="001F1776" w:rsidRDefault="001F1776" w:rsidP="001F1776">
            <w:pPr>
              <w:jc w:val="right"/>
              <w:rPr>
                <w:b/>
                <w:bCs/>
                <w:lang w:val="sk-SK" w:eastAsia="sk-SK"/>
              </w:rPr>
            </w:pPr>
            <w:r w:rsidRPr="001F1776">
              <w:rPr>
                <w:rFonts w:ascii="Calibri" w:eastAsia="Calibri" w:hAnsi="Calibri"/>
                <w:b/>
                <w:bCs/>
                <w:lang w:val="sk-SK"/>
              </w:rPr>
              <w:t>65.367,60</w:t>
            </w:r>
          </w:p>
        </w:tc>
        <w:tc>
          <w:tcPr>
            <w:tcW w:w="2156" w:type="dxa"/>
            <w:shd w:val="clear" w:color="auto" w:fill="C0C0C0"/>
            <w:noWrap/>
          </w:tcPr>
          <w:p w:rsidR="001F1776" w:rsidRPr="001F1776" w:rsidRDefault="001F1776" w:rsidP="001F1776">
            <w:pPr>
              <w:jc w:val="right"/>
              <w:rPr>
                <w:b/>
                <w:bCs/>
                <w:lang w:val="sk-SK" w:eastAsia="sk-SK"/>
              </w:rPr>
            </w:pPr>
            <w:r w:rsidRPr="001F1776">
              <w:rPr>
                <w:rFonts w:ascii="Calibri" w:eastAsia="Calibri" w:hAnsi="Calibri"/>
                <w:b/>
                <w:bCs/>
                <w:lang w:val="sk-SK"/>
              </w:rPr>
              <w:t>132.784,05</w:t>
            </w:r>
          </w:p>
        </w:tc>
        <w:tc>
          <w:tcPr>
            <w:tcW w:w="1598" w:type="dxa"/>
            <w:shd w:val="clear" w:color="auto" w:fill="C0C0C0"/>
            <w:noWrap/>
          </w:tcPr>
          <w:p w:rsidR="001F1776" w:rsidRPr="001F1776" w:rsidRDefault="001F1776" w:rsidP="001F1776">
            <w:pPr>
              <w:jc w:val="right"/>
              <w:rPr>
                <w:b/>
                <w:bCs/>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noWrap/>
            <w:vAlign w:val="center"/>
          </w:tcPr>
          <w:p w:rsidR="001F1776" w:rsidRPr="001F1776" w:rsidRDefault="001F1776" w:rsidP="001F1776">
            <w:pPr>
              <w:rPr>
                <w:lang w:val="sk-SK" w:eastAsia="sk-SK"/>
              </w:rPr>
            </w:pPr>
            <w:r w:rsidRPr="001F1776">
              <w:rPr>
                <w:lang w:val="sk-SK" w:eastAsia="sk-SK"/>
              </w:rPr>
              <w:t>v tom: Ministerstvo vnútra Slovenskej republiky</w:t>
            </w:r>
          </w:p>
        </w:tc>
        <w:tc>
          <w:tcPr>
            <w:tcW w:w="1267" w:type="dxa"/>
            <w:noWrap/>
            <w:vAlign w:val="center"/>
          </w:tcPr>
          <w:p w:rsidR="001F1776" w:rsidRPr="001F1776" w:rsidRDefault="001F1776" w:rsidP="001F1776">
            <w:pPr>
              <w:jc w:val="right"/>
              <w:rPr>
                <w:lang w:val="sk-SK" w:eastAsia="sk-SK"/>
              </w:rPr>
            </w:pPr>
            <w:r w:rsidRPr="001F1776">
              <w:rPr>
                <w:lang w:val="sk-SK" w:eastAsia="sk-SK"/>
              </w:rPr>
              <w:t>0</w:t>
            </w:r>
          </w:p>
        </w:tc>
        <w:tc>
          <w:tcPr>
            <w:tcW w:w="1653" w:type="dxa"/>
            <w:noWrap/>
          </w:tcPr>
          <w:p w:rsidR="001F1776" w:rsidRPr="001F1776" w:rsidRDefault="001F1776" w:rsidP="001F1776">
            <w:pPr>
              <w:jc w:val="right"/>
              <w:rPr>
                <w:lang w:val="sk-SK" w:eastAsia="sk-SK"/>
              </w:rPr>
            </w:pPr>
            <w:r w:rsidRPr="001F1776">
              <w:rPr>
                <w:rFonts w:ascii="Calibri" w:eastAsia="Calibri" w:hAnsi="Calibri"/>
                <w:b/>
                <w:bCs/>
                <w:lang w:val="sk-SK"/>
              </w:rPr>
              <w:t>65.367,60</w:t>
            </w:r>
          </w:p>
        </w:tc>
        <w:tc>
          <w:tcPr>
            <w:tcW w:w="2156" w:type="dxa"/>
            <w:noWrap/>
          </w:tcPr>
          <w:p w:rsidR="001F1776" w:rsidRPr="001F1776" w:rsidRDefault="001F1776" w:rsidP="001F1776">
            <w:pPr>
              <w:jc w:val="right"/>
              <w:rPr>
                <w:lang w:val="sk-SK" w:eastAsia="sk-SK"/>
              </w:rPr>
            </w:pPr>
            <w:r w:rsidRPr="001F1776">
              <w:rPr>
                <w:rFonts w:ascii="Calibri" w:eastAsia="Calibri" w:hAnsi="Calibri"/>
                <w:b/>
                <w:bCs/>
                <w:lang w:val="sk-SK"/>
              </w:rPr>
              <w:t>132.784,05</w:t>
            </w:r>
          </w:p>
        </w:tc>
        <w:tc>
          <w:tcPr>
            <w:tcW w:w="1598" w:type="dxa"/>
            <w:noWrap/>
          </w:tcPr>
          <w:p w:rsidR="001F1776" w:rsidRPr="001F1776" w:rsidRDefault="001F1776" w:rsidP="001F1776">
            <w:pPr>
              <w:jc w:val="right"/>
              <w:rPr>
                <w:lang w:val="sk-SK" w:eastAsia="sk-SK"/>
              </w:rPr>
            </w:pPr>
            <w:r w:rsidRPr="001F1776">
              <w:rPr>
                <w:rFonts w:ascii="Calibri" w:eastAsia="Calibri" w:hAnsi="Calibri"/>
                <w:b/>
                <w:bCs/>
                <w:lang w:val="sk-SK"/>
              </w:rPr>
              <w:t>135.876,75</w:t>
            </w:r>
            <w:r w:rsidRPr="001F1776">
              <w:rPr>
                <w:b/>
                <w:bCs/>
                <w:lang w:val="sk-SK" w:eastAsia="sk-SK"/>
              </w:rPr>
              <w:t xml:space="preserve">  </w:t>
            </w:r>
          </w:p>
        </w:tc>
      </w:tr>
      <w:tr w:rsidR="001F1776" w:rsidRPr="001F1776" w:rsidTr="001F1776">
        <w:trPr>
          <w:trHeight w:val="70"/>
          <w:jc w:val="center"/>
        </w:trPr>
        <w:tc>
          <w:tcPr>
            <w:tcW w:w="4661" w:type="dxa"/>
            <w:shd w:val="clear" w:color="auto" w:fill="BFBFBF"/>
            <w:noWrap/>
            <w:vAlign w:val="center"/>
          </w:tcPr>
          <w:p w:rsidR="001F1776" w:rsidRPr="001F1776" w:rsidRDefault="001F1776" w:rsidP="001F1776">
            <w:pPr>
              <w:rPr>
                <w:b/>
                <w:lang w:val="sk-SK" w:eastAsia="sk-SK"/>
              </w:rPr>
            </w:pPr>
            <w:r w:rsidRPr="001F1776">
              <w:rPr>
                <w:b/>
                <w:lang w:val="sk-SK" w:eastAsia="sk-SK"/>
              </w:rPr>
              <w:t>Iné ako rozpočtové zdroje</w:t>
            </w:r>
          </w:p>
        </w:tc>
        <w:tc>
          <w:tcPr>
            <w:tcW w:w="1267"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2156"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c>
          <w:tcPr>
            <w:tcW w:w="1598" w:type="dxa"/>
            <w:shd w:val="clear" w:color="auto" w:fill="BFBFBF"/>
            <w:noWrap/>
            <w:vAlign w:val="center"/>
          </w:tcPr>
          <w:p w:rsidR="001F1776" w:rsidRPr="001F1776" w:rsidRDefault="001F1776" w:rsidP="001F1776">
            <w:pPr>
              <w:jc w:val="right"/>
              <w:rPr>
                <w:b/>
                <w:bCs/>
                <w:lang w:val="sk-SK" w:eastAsia="sk-SK"/>
              </w:rPr>
            </w:pPr>
            <w:r w:rsidRPr="001F1776">
              <w:rPr>
                <w:b/>
                <w:bCs/>
                <w:lang w:val="sk-SK" w:eastAsia="sk-SK"/>
              </w:rPr>
              <w:t>0</w:t>
            </w:r>
          </w:p>
        </w:tc>
      </w:tr>
      <w:tr w:rsidR="001F1776" w:rsidRPr="001F1776" w:rsidTr="001F1776">
        <w:trPr>
          <w:trHeight w:val="70"/>
          <w:jc w:val="center"/>
        </w:trPr>
        <w:tc>
          <w:tcPr>
            <w:tcW w:w="4661" w:type="dxa"/>
            <w:shd w:val="clear" w:color="auto" w:fill="A6A6A6"/>
            <w:noWrap/>
            <w:vAlign w:val="center"/>
          </w:tcPr>
          <w:p w:rsidR="001F1776" w:rsidRPr="001F1776" w:rsidRDefault="001F1776" w:rsidP="001F1776">
            <w:pPr>
              <w:rPr>
                <w:b/>
                <w:bCs/>
                <w:lang w:val="sk-SK" w:eastAsia="sk-SK"/>
              </w:rPr>
            </w:pPr>
            <w:r w:rsidRPr="001F1776">
              <w:rPr>
                <w:b/>
                <w:bCs/>
                <w:lang w:val="sk-SK" w:eastAsia="sk-SK"/>
              </w:rPr>
              <w:t>Rozpočtovo nekrytý vplyv / úspora</w:t>
            </w:r>
          </w:p>
        </w:tc>
        <w:tc>
          <w:tcPr>
            <w:tcW w:w="1267" w:type="dxa"/>
            <w:shd w:val="clear" w:color="auto" w:fill="A6A6A6"/>
            <w:noWrap/>
            <w:vAlign w:val="center"/>
          </w:tcPr>
          <w:p w:rsidR="001F1776" w:rsidRPr="001F1776" w:rsidRDefault="001F1776" w:rsidP="001F1776">
            <w:pPr>
              <w:jc w:val="right"/>
              <w:rPr>
                <w:b/>
                <w:bCs/>
                <w:lang w:val="sk-SK" w:eastAsia="sk-SK"/>
              </w:rPr>
            </w:pPr>
            <w:r w:rsidRPr="001F1776">
              <w:rPr>
                <w:b/>
                <w:bCs/>
                <w:lang w:val="sk-SK" w:eastAsia="sk-SK"/>
              </w:rPr>
              <w:t>0</w:t>
            </w:r>
          </w:p>
        </w:tc>
        <w:tc>
          <w:tcPr>
            <w:tcW w:w="1653" w:type="dxa"/>
            <w:shd w:val="clear" w:color="auto" w:fill="A6A6A6"/>
            <w:noWrap/>
            <w:vAlign w:val="center"/>
          </w:tcPr>
          <w:p w:rsidR="001F1776" w:rsidRPr="001F1776" w:rsidRDefault="001F1776" w:rsidP="001F1776">
            <w:pPr>
              <w:jc w:val="right"/>
              <w:rPr>
                <w:b/>
                <w:bCs/>
                <w:lang w:val="sk-SK" w:eastAsia="sk-SK"/>
              </w:rPr>
            </w:pPr>
            <w:r w:rsidRPr="001F1776">
              <w:rPr>
                <w:b/>
                <w:bCs/>
                <w:lang w:val="sk-SK" w:eastAsia="sk-SK"/>
              </w:rPr>
              <w:t>0</w:t>
            </w:r>
          </w:p>
        </w:tc>
        <w:tc>
          <w:tcPr>
            <w:tcW w:w="2156" w:type="dxa"/>
            <w:shd w:val="clear" w:color="auto" w:fill="A6A6A6"/>
            <w:noWrap/>
            <w:vAlign w:val="center"/>
          </w:tcPr>
          <w:p w:rsidR="001F1776" w:rsidRPr="001F1776" w:rsidRDefault="001F1776" w:rsidP="001F1776">
            <w:pPr>
              <w:jc w:val="right"/>
              <w:rPr>
                <w:b/>
                <w:bCs/>
                <w:lang w:val="sk-SK" w:eastAsia="sk-SK"/>
              </w:rPr>
            </w:pPr>
            <w:r w:rsidRPr="001F1776">
              <w:rPr>
                <w:b/>
                <w:bCs/>
                <w:lang w:val="sk-SK" w:eastAsia="sk-SK"/>
              </w:rPr>
              <w:t>0</w:t>
            </w:r>
          </w:p>
        </w:tc>
        <w:tc>
          <w:tcPr>
            <w:tcW w:w="1598" w:type="dxa"/>
            <w:shd w:val="clear" w:color="auto" w:fill="A6A6A6"/>
            <w:noWrap/>
            <w:vAlign w:val="center"/>
          </w:tcPr>
          <w:p w:rsidR="001F1776" w:rsidRPr="001F1776" w:rsidRDefault="001F1776" w:rsidP="001F1776">
            <w:pPr>
              <w:jc w:val="right"/>
              <w:rPr>
                <w:b/>
                <w:bCs/>
                <w:lang w:val="sk-SK" w:eastAsia="sk-SK"/>
              </w:rPr>
            </w:pPr>
            <w:r w:rsidRPr="001F1776">
              <w:rPr>
                <w:b/>
                <w:bCs/>
                <w:lang w:val="sk-SK" w:eastAsia="sk-SK"/>
              </w:rPr>
              <w:t>0</w:t>
            </w:r>
          </w:p>
        </w:tc>
      </w:tr>
      <w:bookmarkEnd w:id="0"/>
    </w:tbl>
    <w:p w:rsidR="001F1776" w:rsidRPr="001F1776" w:rsidRDefault="001F1776" w:rsidP="001F1776">
      <w:pPr>
        <w:rPr>
          <w:b/>
          <w:bCs/>
          <w:lang w:val="sk-SK" w:eastAsia="sk-SK"/>
        </w:rPr>
      </w:pPr>
    </w:p>
    <w:p w:rsidR="001F1776" w:rsidRPr="001F1776" w:rsidRDefault="001F1776" w:rsidP="001F1776">
      <w:pPr>
        <w:spacing w:after="200"/>
        <w:rPr>
          <w:b/>
          <w:bCs/>
          <w:lang w:val="sk-SK" w:eastAsia="sk-SK"/>
        </w:rPr>
      </w:pPr>
      <w:r w:rsidRPr="001F1776">
        <w:rPr>
          <w:b/>
          <w:bCs/>
          <w:lang w:val="sk-SK" w:eastAsia="sk-SK"/>
        </w:rPr>
        <w:br w:type="page"/>
      </w:r>
    </w:p>
    <w:p w:rsidR="001F1776" w:rsidRPr="001F1776" w:rsidRDefault="001F1776" w:rsidP="001F1776">
      <w:pPr>
        <w:jc w:val="both"/>
        <w:rPr>
          <w:b/>
          <w:bCs/>
          <w:lang w:val="sk-SK" w:eastAsia="sk-SK"/>
        </w:rPr>
      </w:pPr>
      <w:r w:rsidRPr="001F1776">
        <w:rPr>
          <w:b/>
          <w:bCs/>
          <w:lang w:val="sk-SK" w:eastAsia="sk-SK"/>
        </w:rPr>
        <w:lastRenderedPageBreak/>
        <w:t>2.1.1. Financovanie návrhu - Návrh na riešenie úbytku príjmov alebo zvýšených výdavkov podľa § 33 ods. 1 zákona č. 523/2004 Z. z. o rozpočtových pravidlách verejnej správy:</w:t>
      </w:r>
    </w:p>
    <w:p w:rsidR="001F1776" w:rsidRPr="001F1776" w:rsidRDefault="001F1776" w:rsidP="001F1776">
      <w:pPr>
        <w:jc w:val="both"/>
        <w:rPr>
          <w:b/>
          <w:bCs/>
          <w:sz w:val="12"/>
          <w:lang w:val="sk-SK" w:eastAsia="sk-SK"/>
        </w:rPr>
      </w:pPr>
    </w:p>
    <w:p w:rsidR="001F1776" w:rsidRPr="001F1776" w:rsidRDefault="001F1776" w:rsidP="001F1776">
      <w:pPr>
        <w:pBdr>
          <w:top w:val="single" w:sz="4" w:space="1" w:color="auto"/>
          <w:left w:val="single" w:sz="4" w:space="4" w:color="auto"/>
          <w:bottom w:val="single" w:sz="4" w:space="0" w:color="auto"/>
          <w:right w:val="single" w:sz="4" w:space="4" w:color="auto"/>
        </w:pBdr>
        <w:jc w:val="both"/>
        <w:rPr>
          <w:bCs/>
          <w:lang w:val="sk-SK" w:eastAsia="sk-SK"/>
        </w:rPr>
      </w:pPr>
      <w:r w:rsidRPr="001F1776">
        <w:rPr>
          <w:bCs/>
          <w:lang w:val="sk-SK" w:eastAsia="sk-SK"/>
        </w:rPr>
        <w:t xml:space="preserve">Výdavky v rámci návrhu zákona, ktorým sa mení a dopĺňa zákon č. 480/2002 Z. z. o azyle a o zmene a doplnení niektorých zákonov v znení neskorších predpisov (ďalej len „návrh“) Ministerstvo vnútra Slovenskej republiky pokryje v rámci svojej rozpočtovej kapitoly. Ustanovenia návrhu zákona, ktoré majú dopad na rozpočet verejnej správy, okrem jednorazového príspevku pre cudzincov s poskytnutou doplnkovou ochranou, či možnosti ubytovania v integračnom stredisku, sú len sformalizovaním aktivít, ktoré sú dlhoročne vykonávané mimovládnymi organizáciami na základe grantových zmlúv uzavretých s Ministerstvom vnútra Slovenskej republiky financovaných vo výške 75% z Fondu pre azyl, migráciu a integráciu (predtým Európsky fond pre utečencov) a 25 % zo štátneho rozpočtu. Financovania týchto aktivít v budúcnosti priamo z nového Fondu pre azyl, migráciu a integráciu môže byť nestabilné ako aj nedostatočné. V minulom období na seba financovanie fondov plynulo nenadväzovalo a osoby s udelenou medzinárodnou ochranou boli vystavené hrozbe bezdomovectva. </w:t>
      </w:r>
    </w:p>
    <w:p w:rsidR="001F1776" w:rsidRPr="001F1776" w:rsidRDefault="001F1776" w:rsidP="001F1776">
      <w:pPr>
        <w:rPr>
          <w:b/>
          <w:bCs/>
          <w:lang w:val="sk-SK" w:eastAsia="sk-SK"/>
        </w:rPr>
      </w:pPr>
      <w:r w:rsidRPr="001F1776">
        <w:rPr>
          <w:b/>
          <w:bCs/>
          <w:lang w:val="sk-SK" w:eastAsia="sk-SK"/>
        </w:rPr>
        <w:t>2.2. Popis a charakteristika návrhu</w:t>
      </w:r>
    </w:p>
    <w:p w:rsidR="001F1776" w:rsidRPr="001F1776" w:rsidRDefault="001F1776" w:rsidP="001F1776">
      <w:pPr>
        <w:rPr>
          <w:lang w:val="sk-SK" w:eastAsia="sk-SK"/>
        </w:rPr>
      </w:pPr>
    </w:p>
    <w:p w:rsidR="001F1776" w:rsidRPr="001F1776" w:rsidRDefault="001F1776" w:rsidP="001F1776">
      <w:pPr>
        <w:jc w:val="both"/>
        <w:rPr>
          <w:b/>
          <w:bCs/>
          <w:lang w:val="sk-SK" w:eastAsia="sk-SK"/>
        </w:rPr>
      </w:pPr>
      <w:r w:rsidRPr="001F1776">
        <w:rPr>
          <w:b/>
          <w:bCs/>
          <w:lang w:val="sk-SK" w:eastAsia="sk-SK"/>
        </w:rPr>
        <w:t>2.2.1. Popis návrhu:</w:t>
      </w:r>
    </w:p>
    <w:p w:rsidR="001F1776" w:rsidRPr="001F1776" w:rsidRDefault="001F1776" w:rsidP="001F1776">
      <w:pPr>
        <w:rPr>
          <w:lang w:val="sk-SK" w:eastAsia="sk-SK"/>
        </w:rPr>
      </w:pPr>
    </w:p>
    <w:p w:rsidR="001F1776" w:rsidRPr="001F1776" w:rsidRDefault="001F1776" w:rsidP="001F1776">
      <w:pPr>
        <w:jc w:val="both"/>
        <w:rPr>
          <w:rFonts w:eastAsia="Calibri"/>
          <w:lang w:val="sk-SK" w:eastAsia="sk-SK"/>
        </w:rPr>
      </w:pPr>
      <w:r w:rsidRPr="001F1776">
        <w:rPr>
          <w:rFonts w:eastAsia="Calibri"/>
          <w:lang w:val="sk-SK" w:eastAsia="sk-SK"/>
        </w:rPr>
        <w:t>Návrh zákona systémovo upravuje prvotnú integráciu azylantov a cudzincov, ktorým sa poskytla doplnková ochrana. Ďalšie úpravy vychádzajú z poznatkov aplikačnej praxe a potreby zosúladenia právneho poriadku Slovenskej republiky s právom Európskej únie.</w:t>
      </w:r>
    </w:p>
    <w:p w:rsidR="001F1776" w:rsidRPr="001F1776" w:rsidRDefault="001F1776" w:rsidP="001F1776">
      <w:pPr>
        <w:jc w:val="both"/>
        <w:rPr>
          <w:rFonts w:eastAsia="Calibri"/>
          <w:lang w:val="sk-SK" w:eastAsia="sk-SK"/>
        </w:rPr>
      </w:pPr>
    </w:p>
    <w:p w:rsidR="001F1776" w:rsidRPr="001F1776" w:rsidRDefault="001F1776" w:rsidP="001F1776">
      <w:pPr>
        <w:jc w:val="both"/>
        <w:rPr>
          <w:rFonts w:eastAsia="Calibri"/>
          <w:lang w:val="sk-SK"/>
        </w:rPr>
      </w:pPr>
      <w:r w:rsidRPr="001F1776">
        <w:rPr>
          <w:rFonts w:eastAsia="Calibri"/>
          <w:lang w:val="sk-SK"/>
        </w:rPr>
        <w:t>Návrh zákona najmä:</w:t>
      </w:r>
    </w:p>
    <w:p w:rsidR="001F1776" w:rsidRPr="001F1776" w:rsidRDefault="001F1776" w:rsidP="001F1776">
      <w:pPr>
        <w:numPr>
          <w:ilvl w:val="0"/>
          <w:numId w:val="1"/>
        </w:numPr>
        <w:jc w:val="both"/>
        <w:rPr>
          <w:rFonts w:eastAsia="Calibri"/>
          <w:lang w:val="sk-SK"/>
        </w:rPr>
      </w:pPr>
      <w:r w:rsidRPr="001F1776">
        <w:rPr>
          <w:rFonts w:eastAsia="Calibri"/>
          <w:lang w:val="sk-SK"/>
        </w:rPr>
        <w:t>upravuje hierarchiu statusov ochrany udeľovaných/poskytovaných cudzincom v Slovenskej republike podľa tohto zákona; ide najmä o uprednostnenie posudzovania a poskytovania doplnkovej ochrany z dôvodu vážneho bezprávia pred udeľovaním azylu na účel zlúčenia rodiny, ale aj pred udeľovaním azylu z humanitných dôvodov;</w:t>
      </w:r>
    </w:p>
    <w:p w:rsidR="001F1776" w:rsidRPr="001F1776" w:rsidRDefault="001F1776" w:rsidP="001F1776">
      <w:pPr>
        <w:numPr>
          <w:ilvl w:val="0"/>
          <w:numId w:val="1"/>
        </w:numPr>
        <w:jc w:val="both"/>
        <w:rPr>
          <w:rFonts w:eastAsia="Calibri"/>
          <w:lang w:val="sk-SK"/>
        </w:rPr>
      </w:pPr>
      <w:r w:rsidRPr="001F1776">
        <w:rPr>
          <w:rFonts w:eastAsia="Calibri"/>
          <w:lang w:val="sk-SK"/>
        </w:rPr>
        <w:t>systémovo upravuje prvotnú integráciu azylantov a cudzincov, ktorým sa poskytla doplnková ochrana, pričom v rámci nej:</w:t>
      </w:r>
    </w:p>
    <w:p w:rsidR="001F1776" w:rsidRPr="001F1776" w:rsidRDefault="001F1776" w:rsidP="001F1776">
      <w:pPr>
        <w:numPr>
          <w:ilvl w:val="0"/>
          <w:numId w:val="2"/>
        </w:numPr>
        <w:jc w:val="both"/>
        <w:rPr>
          <w:rFonts w:eastAsia="Calibri"/>
          <w:lang w:val="sk-SK"/>
        </w:rPr>
      </w:pPr>
      <w:r w:rsidRPr="001F1776">
        <w:rPr>
          <w:rFonts w:eastAsia="Calibri"/>
          <w:lang w:val="sk-SK"/>
        </w:rPr>
        <w:t>zavádza jednorazový príspevok v rovnakej výške ako pre azylantov aj pre cudzincov, ktorým sa poskytla doplnková ochrana;</w:t>
      </w:r>
    </w:p>
    <w:p w:rsidR="001F1776" w:rsidRPr="001F1776" w:rsidRDefault="001F1776" w:rsidP="001F1776">
      <w:pPr>
        <w:numPr>
          <w:ilvl w:val="0"/>
          <w:numId w:val="2"/>
        </w:numPr>
        <w:jc w:val="both"/>
        <w:rPr>
          <w:rFonts w:eastAsia="Calibri"/>
          <w:lang w:val="sk-SK"/>
        </w:rPr>
      </w:pPr>
      <w:r w:rsidRPr="001F1776">
        <w:rPr>
          <w:rFonts w:eastAsia="Calibri"/>
          <w:lang w:val="sk-SK"/>
        </w:rPr>
        <w:t>zavádza integračný príspevok pre azylantov a cudzincov, ktorým sa poskytla doplnková ochrana, počas obdobia šiestich mesiacov;</w:t>
      </w:r>
    </w:p>
    <w:p w:rsidR="001F1776" w:rsidRPr="001F1776" w:rsidRDefault="001F1776" w:rsidP="001F1776">
      <w:pPr>
        <w:numPr>
          <w:ilvl w:val="0"/>
          <w:numId w:val="2"/>
        </w:numPr>
        <w:jc w:val="both"/>
        <w:rPr>
          <w:rFonts w:eastAsia="Calibri"/>
          <w:lang w:val="sk-SK"/>
        </w:rPr>
      </w:pPr>
      <w:r w:rsidRPr="001F1776">
        <w:rPr>
          <w:rFonts w:eastAsia="Calibri"/>
          <w:lang w:val="sk-SK"/>
        </w:rPr>
        <w:t>umožňuje v integračnom stredisku ubytovať aj cudzincov, ktorým sa poskytla doplnková ochrana;</w:t>
      </w:r>
    </w:p>
    <w:p w:rsidR="001F1776" w:rsidRPr="001F1776" w:rsidRDefault="001F1776" w:rsidP="001F1776">
      <w:pPr>
        <w:numPr>
          <w:ilvl w:val="0"/>
          <w:numId w:val="2"/>
        </w:numPr>
        <w:jc w:val="both"/>
        <w:rPr>
          <w:rFonts w:eastAsia="Calibri"/>
          <w:lang w:val="sk-SK"/>
        </w:rPr>
      </w:pPr>
      <w:r w:rsidRPr="001F1776">
        <w:rPr>
          <w:rFonts w:eastAsia="Calibri"/>
          <w:lang w:val="sk-SK"/>
        </w:rPr>
        <w:t>ustanovuje zabezpečenie sociálneho poradenstva, psychologického poradenstva a kurzu kultúrnej orientácie pre azylantov a cudzincov, ktorým sa poskytla doplnková ochrana, na základe ich individuálnych potrieb;</w:t>
      </w:r>
    </w:p>
    <w:p w:rsidR="001F1776" w:rsidRPr="001F1776" w:rsidRDefault="001F1776" w:rsidP="001F1776">
      <w:pPr>
        <w:numPr>
          <w:ilvl w:val="0"/>
          <w:numId w:val="1"/>
        </w:numPr>
        <w:jc w:val="both"/>
        <w:rPr>
          <w:rFonts w:eastAsia="Calibri"/>
          <w:lang w:val="sk-SK"/>
        </w:rPr>
      </w:pPr>
      <w:r w:rsidRPr="001F1776">
        <w:rPr>
          <w:rFonts w:eastAsia="Calibri"/>
          <w:lang w:val="sk-SK"/>
        </w:rPr>
        <w:t>ustanovuje zabezpečenie sociálneho poradenstva, psychologického poradenstva a kurzu kultúrnej orientácie aj pre žiadateľov o udelenie azylu na základe ich individuálnych potrieb;</w:t>
      </w:r>
    </w:p>
    <w:p w:rsidR="001F1776" w:rsidRPr="001F1776" w:rsidRDefault="001F1776" w:rsidP="001F1776">
      <w:pPr>
        <w:numPr>
          <w:ilvl w:val="0"/>
          <w:numId w:val="1"/>
        </w:numPr>
        <w:jc w:val="both"/>
        <w:rPr>
          <w:rFonts w:eastAsia="Calibri"/>
          <w:lang w:val="sk-SK"/>
        </w:rPr>
      </w:pPr>
      <w:r w:rsidRPr="001F1776">
        <w:rPr>
          <w:rFonts w:eastAsia="Calibri"/>
          <w:lang w:val="sk-SK"/>
        </w:rPr>
        <w:t>skracuje lehotu pre prístup žiadateľov na trh práce na šesť mesiacov od začatia konania o udelenie azylu;</w:t>
      </w:r>
    </w:p>
    <w:p w:rsidR="001F1776" w:rsidRPr="001F1776" w:rsidRDefault="001F1776" w:rsidP="001F1776">
      <w:pPr>
        <w:numPr>
          <w:ilvl w:val="0"/>
          <w:numId w:val="1"/>
        </w:numPr>
        <w:jc w:val="both"/>
        <w:rPr>
          <w:rFonts w:eastAsia="Calibri"/>
          <w:lang w:val="sk-SK"/>
        </w:rPr>
      </w:pPr>
      <w:r w:rsidRPr="001F1776">
        <w:rPr>
          <w:rFonts w:eastAsia="Calibri"/>
          <w:lang w:val="sk-SK"/>
        </w:rPr>
        <w:t>ustanovuje nový dôvod prerušenia konania o odovzdaní do iného štátu;</w:t>
      </w:r>
    </w:p>
    <w:p w:rsidR="001F1776" w:rsidRPr="001F1776" w:rsidRDefault="001F1776" w:rsidP="001F1776">
      <w:pPr>
        <w:numPr>
          <w:ilvl w:val="0"/>
          <w:numId w:val="1"/>
        </w:numPr>
        <w:jc w:val="both"/>
        <w:rPr>
          <w:rFonts w:eastAsia="Calibri"/>
          <w:lang w:val="sk-SK"/>
        </w:rPr>
      </w:pPr>
      <w:r w:rsidRPr="001F1776">
        <w:rPr>
          <w:rFonts w:eastAsia="Calibri"/>
          <w:lang w:val="sk-SK"/>
        </w:rPr>
        <w:t>ustanovuje dobu, na ktorú sa žiadateľovi povolí pobyt mimo pobytového tábora (tzv. dlhodobá priepustka);</w:t>
      </w:r>
    </w:p>
    <w:p w:rsidR="001F1776" w:rsidRPr="001F1776" w:rsidRDefault="001F1776" w:rsidP="001F1776">
      <w:pPr>
        <w:numPr>
          <w:ilvl w:val="0"/>
          <w:numId w:val="1"/>
        </w:numPr>
        <w:jc w:val="both"/>
        <w:rPr>
          <w:rFonts w:eastAsia="Calibri"/>
          <w:lang w:val="sk-SK"/>
        </w:rPr>
      </w:pPr>
      <w:r w:rsidRPr="001F1776">
        <w:rPr>
          <w:rFonts w:eastAsia="Calibri"/>
          <w:lang w:val="sk-SK"/>
        </w:rPr>
        <w:t>bližšie určuje skutočnosti, ktoré obsahuje poučenie žiadateľa o udelenie azylu;</w:t>
      </w:r>
    </w:p>
    <w:p w:rsidR="001F1776" w:rsidRPr="001F1776" w:rsidRDefault="001F1776" w:rsidP="001F1776">
      <w:pPr>
        <w:numPr>
          <w:ilvl w:val="0"/>
          <w:numId w:val="1"/>
        </w:numPr>
        <w:jc w:val="both"/>
        <w:rPr>
          <w:rFonts w:eastAsia="Calibri"/>
          <w:lang w:val="sk-SK"/>
        </w:rPr>
      </w:pPr>
      <w:r w:rsidRPr="001F1776">
        <w:rPr>
          <w:rFonts w:eastAsia="Calibri"/>
          <w:lang w:val="sk-SK"/>
        </w:rPr>
        <w:t>ustanovuje nový dôvod zániku azylu;</w:t>
      </w:r>
    </w:p>
    <w:p w:rsidR="001F1776" w:rsidRPr="001F1776" w:rsidRDefault="001F1776" w:rsidP="001F1776">
      <w:pPr>
        <w:numPr>
          <w:ilvl w:val="0"/>
          <w:numId w:val="1"/>
        </w:numPr>
        <w:jc w:val="both"/>
        <w:rPr>
          <w:rFonts w:eastAsia="Calibri"/>
          <w:lang w:val="sk-SK"/>
        </w:rPr>
      </w:pPr>
      <w:r w:rsidRPr="001F1776">
        <w:rPr>
          <w:rFonts w:eastAsia="Calibri"/>
          <w:lang w:val="sk-SK"/>
        </w:rPr>
        <w:lastRenderedPageBreak/>
        <w:t>aktualizuje viaceré poznámky pod čiarou, atď.</w:t>
      </w:r>
    </w:p>
    <w:p w:rsidR="001F1776" w:rsidRPr="001F1776" w:rsidRDefault="001F1776" w:rsidP="001F1776">
      <w:pPr>
        <w:jc w:val="both"/>
        <w:rPr>
          <w:rFonts w:eastAsia="Calibri"/>
          <w:lang w:val="sk-SK"/>
        </w:rPr>
      </w:pPr>
    </w:p>
    <w:p w:rsidR="001F1776" w:rsidRPr="001F1776" w:rsidRDefault="001F1776" w:rsidP="001F1776">
      <w:pPr>
        <w:jc w:val="both"/>
        <w:rPr>
          <w:rFonts w:eastAsia="Calibri"/>
          <w:lang w:val="sk-SK"/>
        </w:rPr>
      </w:pPr>
      <w:r w:rsidRPr="001F1776">
        <w:rPr>
          <w:rFonts w:eastAsia="Calibri"/>
          <w:lang w:val="sk-SK"/>
        </w:rPr>
        <w:t xml:space="preserve">Je potrebné uviesť, že v prípade integračného príspevku ide o sformalizovanie obdobného príspevku, ktorý sa už v súčasnosti v Slovenskej republike v porovnateľnej výške poskytuje azylantom a cudzincom, ktorým sa poskytla doplnková ochrana, v rámci integračného projektu financovaného z prostriedkov Fondu pre azyl, migráciu a integráciu. Rovnako je to aj ohľadom sociálneho poradenstva, psychologického poradenstva a kurzu kultúrnej orientácie pre žiadateľov, azylantov a cudzincov, ktorým sa poskytla doplnková ochrana. Tieto služby sú tiež zabezpečované v rámci projektu financovaného zo spomínaného fondu a čiastočne, s výnimkou psychologického poradenstva, aj zamestnancami ministerstva vnútra zaradenými na migračnom úrade. Ako účelné a potrebné sa javí zakotviť predmetný príspevok a uvedené služby priamo v zákone o azyle. Okrem iného to zabezpečí tiež udržateľnosť takéhoto systému pomoci a starostlivosti o žiadateľov a osoby s udelenou ochranou aj v situácii, kedy by financovanie z prostriedkov spomínaného fondu nebolo možné.  </w:t>
      </w:r>
    </w:p>
    <w:p w:rsidR="001F1776" w:rsidRPr="001F1776" w:rsidRDefault="001F1776" w:rsidP="001F1776">
      <w:pPr>
        <w:jc w:val="both"/>
        <w:rPr>
          <w:rFonts w:eastAsia="Calibri"/>
          <w:u w:val="single"/>
          <w:lang w:val="sk-SK"/>
        </w:rPr>
      </w:pPr>
      <w:r w:rsidRPr="001F1776">
        <w:rPr>
          <w:rFonts w:eastAsia="Calibri"/>
          <w:color w:val="000000"/>
          <w:lang w:val="sk-SK"/>
        </w:rPr>
        <w:t>Tak ako je uvedené v bode 2.1.1., v</w:t>
      </w:r>
      <w:r w:rsidRPr="001F1776">
        <w:rPr>
          <w:rFonts w:eastAsia="Calibri"/>
          <w:lang w:val="sk-SK" w:eastAsia="sk-SK"/>
        </w:rPr>
        <w:t>ýdavky v rámci návrhu Ministerstvo vnútra Slovenskej republiky pokryje v rámci svojej rozpočtovej kapitoly. Okrem príspevkov uvedených v bode 2.2.4. môže aj z</w:t>
      </w:r>
      <w:r w:rsidRPr="001F1776">
        <w:rPr>
          <w:rFonts w:eastAsia="Calibri"/>
          <w:color w:val="000000"/>
          <w:lang w:val="sk-SK"/>
        </w:rPr>
        <w:t> ustanovení umožňujúcich prechodne ubytovať cudzincov, ktorým sa poskytla doplnková ochrana, v integračnom stredisku vyplývať negatívny vplyv na rozpočet verejnej správy, aj keď ide o vplyv zanedbateľný. Prípadné ubytovanie týchto osôb v integračnom stredisku bude možné realizovať len v rámci využitia súčasných ubytovacích kapacít integračného strediska, ktoré je zariadením Ministerstva vnútra Slovenskej republiky. Výdavky na ubytovanie oprávnených osôb sú kryté v rámci limitov Ministerstva vnútra Slovenskej republiky na príslušný rozpočtový rok, bez potreby dodatočných požiadaviek na štátny rozpočet. Ubytovacie kapacity integračného strediska sa pritom rozširovať nebudú. Neboli identifikované ustanovenia návrhu, ktoré by predstavovali negatívny vplyv na rozpočet verejnej správy s potrebou dodatočných požiadaviek na štátny rozpočet.</w:t>
      </w:r>
    </w:p>
    <w:p w:rsidR="001F1776" w:rsidRPr="001F1776" w:rsidRDefault="001F1776" w:rsidP="001F1776">
      <w:pPr>
        <w:rPr>
          <w:lang w:val="sk-SK" w:eastAsia="sk-SK"/>
        </w:rPr>
      </w:pPr>
    </w:p>
    <w:p w:rsidR="001F1776" w:rsidRPr="001F1776" w:rsidRDefault="001F1776" w:rsidP="001F1776">
      <w:pPr>
        <w:rPr>
          <w:b/>
          <w:bCs/>
          <w:lang w:val="sk-SK" w:eastAsia="sk-SK"/>
        </w:rPr>
      </w:pPr>
      <w:r w:rsidRPr="001F1776">
        <w:rPr>
          <w:b/>
          <w:bCs/>
          <w:lang w:val="sk-SK" w:eastAsia="sk-SK"/>
        </w:rPr>
        <w:t>2.2.2. Charakteristika návrhu:</w:t>
      </w:r>
    </w:p>
    <w:p w:rsidR="001F1776" w:rsidRPr="001F1776" w:rsidRDefault="001F1776" w:rsidP="001F1776">
      <w:pPr>
        <w:rPr>
          <w:lang w:val="sk-SK" w:eastAsia="sk-SK"/>
        </w:rPr>
      </w:pPr>
    </w:p>
    <w:p w:rsidR="001F1776" w:rsidRPr="001F1776" w:rsidRDefault="001F1776" w:rsidP="001F1776">
      <w:pPr>
        <w:rPr>
          <w:lang w:val="sk-SK" w:eastAsia="sk-SK"/>
        </w:rPr>
      </w:pPr>
      <w:r w:rsidRPr="001F1776">
        <w:rPr>
          <w:b/>
          <w:bdr w:val="single" w:sz="4" w:space="0" w:color="auto"/>
          <w:lang w:val="sk-SK" w:eastAsia="sk-SK"/>
        </w:rPr>
        <w:t xml:space="preserve">     </w:t>
      </w:r>
      <w:r w:rsidRPr="001F1776">
        <w:rPr>
          <w:b/>
          <w:lang w:val="sk-SK" w:eastAsia="sk-SK"/>
        </w:rPr>
        <w:t xml:space="preserve">  </w:t>
      </w:r>
      <w:r w:rsidRPr="001F1776">
        <w:rPr>
          <w:lang w:val="sk-SK" w:eastAsia="sk-SK"/>
        </w:rPr>
        <w:t>zmena sadzby</w:t>
      </w:r>
    </w:p>
    <w:p w:rsidR="001F1776" w:rsidRPr="001F1776" w:rsidRDefault="001F1776" w:rsidP="001F1776">
      <w:pPr>
        <w:rPr>
          <w:lang w:val="sk-SK" w:eastAsia="sk-SK"/>
        </w:rPr>
      </w:pPr>
      <w:r w:rsidRPr="001F1776">
        <w:rPr>
          <w:bdr w:val="single" w:sz="4" w:space="0" w:color="auto"/>
          <w:lang w:val="sk-SK" w:eastAsia="sk-SK"/>
        </w:rPr>
        <w:t xml:space="preserve">     </w:t>
      </w:r>
      <w:r w:rsidRPr="001F1776">
        <w:rPr>
          <w:lang w:val="sk-SK" w:eastAsia="sk-SK"/>
        </w:rPr>
        <w:t xml:space="preserve">  zmena v nároku</w:t>
      </w:r>
    </w:p>
    <w:p w:rsidR="001F1776" w:rsidRPr="001F1776" w:rsidRDefault="001F1776" w:rsidP="001F1776">
      <w:pPr>
        <w:rPr>
          <w:lang w:val="sk-SK" w:eastAsia="sk-SK"/>
        </w:rPr>
      </w:pPr>
      <w:r w:rsidRPr="001F1776">
        <w:rPr>
          <w:bdr w:val="single" w:sz="4" w:space="0" w:color="auto"/>
          <w:lang w:val="sk-SK" w:eastAsia="sk-SK"/>
        </w:rPr>
        <w:t xml:space="preserve">     </w:t>
      </w:r>
      <w:r w:rsidRPr="001F1776">
        <w:rPr>
          <w:lang w:val="sk-SK" w:eastAsia="sk-SK"/>
        </w:rPr>
        <w:t xml:space="preserve">  nová služba alebo nariadenie (alebo ich zrušenie)</w:t>
      </w:r>
    </w:p>
    <w:p w:rsidR="001F1776" w:rsidRPr="001F1776" w:rsidRDefault="001F1776" w:rsidP="001F1776">
      <w:pPr>
        <w:rPr>
          <w:lang w:val="sk-SK" w:eastAsia="sk-SK"/>
        </w:rPr>
      </w:pPr>
      <w:r w:rsidRPr="001F1776">
        <w:rPr>
          <w:bdr w:val="single" w:sz="4" w:space="0" w:color="auto"/>
          <w:lang w:val="sk-SK" w:eastAsia="sk-SK"/>
        </w:rPr>
        <w:t xml:space="preserve"> x  </w:t>
      </w:r>
      <w:r w:rsidRPr="001F1776">
        <w:rPr>
          <w:lang w:val="sk-SK" w:eastAsia="sk-SK"/>
        </w:rPr>
        <w:t xml:space="preserve">  kombinovaný návrh</w:t>
      </w:r>
    </w:p>
    <w:p w:rsidR="001F1776" w:rsidRPr="001F1776" w:rsidRDefault="001F1776" w:rsidP="001F1776">
      <w:pPr>
        <w:rPr>
          <w:lang w:val="sk-SK" w:eastAsia="sk-SK"/>
        </w:rPr>
      </w:pPr>
      <w:r w:rsidRPr="001F1776">
        <w:rPr>
          <w:bdr w:val="single" w:sz="4" w:space="0" w:color="auto"/>
          <w:lang w:val="sk-SK" w:eastAsia="sk-SK"/>
        </w:rPr>
        <w:t xml:space="preserve">     </w:t>
      </w:r>
      <w:r w:rsidRPr="001F1776">
        <w:rPr>
          <w:lang w:val="sk-SK" w:eastAsia="sk-SK"/>
        </w:rPr>
        <w:t xml:space="preserve">  iné </w:t>
      </w:r>
    </w:p>
    <w:p w:rsidR="001F1776" w:rsidRPr="001F1776" w:rsidRDefault="001F1776" w:rsidP="001F1776">
      <w:pPr>
        <w:rPr>
          <w:lang w:val="sk-SK" w:eastAsia="sk-SK"/>
        </w:rPr>
      </w:pPr>
    </w:p>
    <w:p w:rsidR="001F1776" w:rsidRPr="001F1776" w:rsidRDefault="001F1776" w:rsidP="001F1776">
      <w:pPr>
        <w:rPr>
          <w:lang w:val="sk-SK" w:eastAsia="sk-SK"/>
        </w:rPr>
      </w:pPr>
      <w:r w:rsidRPr="001F1776">
        <w:rPr>
          <w:b/>
          <w:bCs/>
          <w:lang w:val="sk-SK" w:eastAsia="sk-SK"/>
        </w:rPr>
        <w:t>2.2.3. Predpoklady vývoja objemu aktivít:</w:t>
      </w:r>
    </w:p>
    <w:p w:rsidR="001F1776" w:rsidRPr="001F1776" w:rsidRDefault="001F1776" w:rsidP="001F1776">
      <w:pPr>
        <w:spacing w:after="200"/>
        <w:jc w:val="right"/>
        <w:rPr>
          <w:rFonts w:ascii="Calibri" w:eastAsia="Calibri" w:hAnsi="Calibri"/>
          <w:sz w:val="18"/>
          <w:lang w:val="sk-SK"/>
        </w:rPr>
      </w:pPr>
      <w:r w:rsidRPr="001F1776">
        <w:rPr>
          <w:bCs/>
          <w:sz w:val="20"/>
          <w:lang w:val="sk-SK" w:eastAsia="sk-SK"/>
        </w:rPr>
        <w:t>Tabuľka č. 2</w:t>
      </w:r>
    </w:p>
    <w:tbl>
      <w:tblPr>
        <w:tblpPr w:leftFromText="141" w:rightFromText="141" w:vertAnchor="text"/>
        <w:tblW w:w="9604" w:type="dxa"/>
        <w:tblLayout w:type="fixed"/>
        <w:tblCellMar>
          <w:left w:w="0" w:type="dxa"/>
          <w:right w:w="0" w:type="dxa"/>
        </w:tblCellMar>
        <w:tblLook w:val="04A0" w:firstRow="1" w:lastRow="0" w:firstColumn="1" w:lastColumn="0" w:noHBand="0" w:noVBand="1"/>
      </w:tblPr>
      <w:tblGrid>
        <w:gridCol w:w="4786"/>
        <w:gridCol w:w="567"/>
        <w:gridCol w:w="1418"/>
        <w:gridCol w:w="1417"/>
        <w:gridCol w:w="1416"/>
      </w:tblGrid>
      <w:tr w:rsidR="001F1776" w:rsidRPr="001F1776" w:rsidTr="001F1776">
        <w:tc>
          <w:tcPr>
            <w:tcW w:w="4786"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Obdobie</w:t>
            </w:r>
          </w:p>
        </w:tc>
        <w:tc>
          <w:tcPr>
            <w:tcW w:w="567" w:type="dxa"/>
            <w:tcBorders>
              <w:top w:val="single" w:sz="8" w:space="0" w:color="auto"/>
              <w:left w:val="nil"/>
              <w:bottom w:val="single" w:sz="8" w:space="0" w:color="auto"/>
              <w:right w:val="single" w:sz="4" w:space="0" w:color="auto"/>
            </w:tcBorders>
            <w:shd w:val="clear" w:color="auto" w:fill="A6A6A6"/>
          </w:tcPr>
          <w:p w:rsidR="001F1776" w:rsidRPr="001F1776" w:rsidRDefault="001F1776" w:rsidP="001F1776">
            <w:pPr>
              <w:rPr>
                <w:rFonts w:eastAsia="Calibri"/>
                <w:lang w:val="sk-SK"/>
              </w:rPr>
            </w:pPr>
            <w:r w:rsidRPr="001F1776">
              <w:rPr>
                <w:rFonts w:eastAsia="Calibri"/>
                <w:lang w:val="sk-SK"/>
              </w:rPr>
              <w:t>2021</w:t>
            </w:r>
          </w:p>
        </w:tc>
        <w:tc>
          <w:tcPr>
            <w:tcW w:w="1418" w:type="dxa"/>
            <w:tcBorders>
              <w:top w:val="single" w:sz="8" w:space="0" w:color="auto"/>
              <w:left w:val="single" w:sz="4" w:space="0" w:color="auto"/>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2022</w:t>
            </w:r>
          </w:p>
        </w:tc>
        <w:tc>
          <w:tcPr>
            <w:tcW w:w="1417"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2023</w:t>
            </w:r>
          </w:p>
        </w:tc>
        <w:tc>
          <w:tcPr>
            <w:tcW w:w="1416"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2024</w:t>
            </w:r>
          </w:p>
        </w:tc>
      </w:tr>
      <w:tr w:rsidR="001F1776" w:rsidRPr="001F1776" w:rsidTr="001F1776">
        <w:tc>
          <w:tcPr>
            <w:tcW w:w="4786"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Predpokladaný počet cudzincov s poskytnutou doplnkovou ochranou poberajúcich jednorazový príspevok</w:t>
            </w:r>
          </w:p>
        </w:tc>
        <w:tc>
          <w:tcPr>
            <w:tcW w:w="567" w:type="dxa"/>
            <w:tcBorders>
              <w:top w:val="single" w:sz="8" w:space="0" w:color="auto"/>
              <w:left w:val="nil"/>
              <w:bottom w:val="single" w:sz="8" w:space="0" w:color="auto"/>
              <w:right w:val="single" w:sz="4" w:space="0" w:color="auto"/>
            </w:tcBorders>
            <w:shd w:val="clear" w:color="auto" w:fill="D9D9D9" w:themeFill="background1" w:themeFillShade="D9"/>
          </w:tcPr>
          <w:p w:rsidR="001F1776" w:rsidRPr="001F1776" w:rsidRDefault="001F1776" w:rsidP="001F1776">
            <w:pPr>
              <w:rPr>
                <w:rFonts w:eastAsia="Calibri"/>
                <w:lang w:val="sk-SK"/>
              </w:rPr>
            </w:pPr>
            <w:r w:rsidRPr="001F1776">
              <w:rPr>
                <w:rFonts w:eastAsia="Calibri"/>
                <w:lang w:val="sk-SK"/>
              </w:rPr>
              <w:t>N/A</w:t>
            </w:r>
          </w:p>
        </w:tc>
        <w:tc>
          <w:tcPr>
            <w:tcW w:w="1418"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15</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30</w:t>
            </w:r>
          </w:p>
        </w:tc>
        <w:tc>
          <w:tcPr>
            <w:tcW w:w="141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30</w:t>
            </w:r>
          </w:p>
        </w:tc>
      </w:tr>
      <w:tr w:rsidR="001F1776" w:rsidRPr="001F1776" w:rsidTr="001F1776">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Jednorazový príspevok § 28 ods. 2</w:t>
            </w:r>
          </w:p>
        </w:tc>
        <w:tc>
          <w:tcPr>
            <w:tcW w:w="567" w:type="dxa"/>
            <w:tcBorders>
              <w:top w:val="single" w:sz="8" w:space="0" w:color="auto"/>
              <w:left w:val="nil"/>
              <w:bottom w:val="single" w:sz="8" w:space="0" w:color="auto"/>
              <w:right w:val="single" w:sz="4" w:space="0" w:color="auto"/>
            </w:tcBorders>
          </w:tcPr>
          <w:p w:rsidR="001F1776" w:rsidRPr="001F1776" w:rsidRDefault="001F1776" w:rsidP="001F1776">
            <w:pPr>
              <w:rPr>
                <w:rFonts w:eastAsia="Calibri"/>
                <w:lang w:val="sk-SK"/>
              </w:rPr>
            </w:pPr>
            <w:r w:rsidRPr="001F1776">
              <w:rPr>
                <w:rFonts w:eastAsia="Calibri"/>
                <w:lang w:val="sk-SK"/>
              </w:rPr>
              <w:t>N/A</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5.160,60€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10.483,05€</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10.727,25€</w:t>
            </w:r>
          </w:p>
        </w:tc>
      </w:tr>
      <w:tr w:rsidR="001F1776" w:rsidRPr="001F1776" w:rsidTr="001F1776">
        <w:tc>
          <w:tcPr>
            <w:tcW w:w="4786" w:type="dxa"/>
            <w:tcBorders>
              <w:top w:val="nil"/>
              <w:left w:val="single" w:sz="8"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F1776" w:rsidRPr="001F1776" w:rsidRDefault="001F1776" w:rsidP="001F1776">
            <w:pPr>
              <w:rPr>
                <w:rFonts w:eastAsia="Calibri"/>
                <w:lang w:val="sk-SK"/>
              </w:rPr>
            </w:pPr>
          </w:p>
        </w:tc>
        <w:tc>
          <w:tcPr>
            <w:tcW w:w="567" w:type="dxa"/>
            <w:tcBorders>
              <w:top w:val="single" w:sz="8" w:space="0" w:color="auto"/>
              <w:left w:val="nil"/>
              <w:bottom w:val="single" w:sz="8" w:space="0" w:color="auto"/>
              <w:right w:val="single" w:sz="4" w:space="0" w:color="auto"/>
            </w:tcBorders>
            <w:shd w:val="clear" w:color="auto" w:fill="808080" w:themeFill="background1" w:themeFillShade="80"/>
          </w:tcPr>
          <w:p w:rsidR="001F1776" w:rsidRPr="001F1776" w:rsidRDefault="001F1776" w:rsidP="001F1776">
            <w:pPr>
              <w:rPr>
                <w:rFonts w:eastAsia="Calibri"/>
                <w:lang w:val="sk-SK"/>
              </w:rPr>
            </w:pPr>
          </w:p>
        </w:tc>
        <w:tc>
          <w:tcPr>
            <w:tcW w:w="1418" w:type="dxa"/>
            <w:tcBorders>
              <w:top w:val="nil"/>
              <w:left w:val="single" w:sz="4" w:space="0" w:color="auto"/>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F1776" w:rsidRPr="001F1776" w:rsidRDefault="001F1776" w:rsidP="001F1776">
            <w:pPr>
              <w:rPr>
                <w:rFonts w:eastAsia="Calibri"/>
                <w:lang w:val="sk-SK"/>
              </w:rPr>
            </w:pPr>
          </w:p>
        </w:tc>
        <w:tc>
          <w:tcPr>
            <w:tcW w:w="1417"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F1776" w:rsidRPr="001F1776" w:rsidRDefault="001F1776" w:rsidP="001F1776">
            <w:pPr>
              <w:rPr>
                <w:rFonts w:eastAsia="Calibri"/>
                <w:lang w:val="sk-SK"/>
              </w:rPr>
            </w:pPr>
          </w:p>
        </w:tc>
        <w:tc>
          <w:tcPr>
            <w:tcW w:w="1416" w:type="dxa"/>
            <w:tcBorders>
              <w:top w:val="nil"/>
              <w:left w:val="nil"/>
              <w:bottom w:val="single" w:sz="8" w:space="0" w:color="auto"/>
              <w:right w:val="single" w:sz="8" w:space="0" w:color="auto"/>
            </w:tcBorders>
            <w:shd w:val="clear" w:color="auto" w:fill="808080" w:themeFill="background1" w:themeFillShade="80"/>
            <w:tcMar>
              <w:top w:w="0" w:type="dxa"/>
              <w:left w:w="108" w:type="dxa"/>
              <w:bottom w:w="0" w:type="dxa"/>
              <w:right w:w="108" w:type="dxa"/>
            </w:tcMar>
          </w:tcPr>
          <w:p w:rsidR="001F1776" w:rsidRPr="001F1776" w:rsidRDefault="001F1776" w:rsidP="001F1776">
            <w:pPr>
              <w:rPr>
                <w:rFonts w:eastAsia="Calibri"/>
                <w:lang w:val="sk-SK"/>
              </w:rPr>
            </w:pPr>
          </w:p>
        </w:tc>
      </w:tr>
      <w:tr w:rsidR="001F1776" w:rsidRPr="001F1776" w:rsidTr="001F1776">
        <w:tc>
          <w:tcPr>
            <w:tcW w:w="4786"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F1776" w:rsidRPr="001F1776" w:rsidRDefault="001F1776" w:rsidP="001F1776">
            <w:pPr>
              <w:rPr>
                <w:rFonts w:eastAsia="Calibri"/>
                <w:lang w:val="sk-SK"/>
              </w:rPr>
            </w:pPr>
            <w:r w:rsidRPr="001F1776">
              <w:rPr>
                <w:rFonts w:eastAsia="Calibri"/>
                <w:lang w:val="sk-SK"/>
              </w:rPr>
              <w:t>Predpokladaný počet s udelenou medzinárodnou ochranou poberajúcich integračný príspevok</w:t>
            </w:r>
          </w:p>
        </w:tc>
        <w:tc>
          <w:tcPr>
            <w:tcW w:w="567" w:type="dxa"/>
            <w:tcBorders>
              <w:top w:val="single" w:sz="8" w:space="0" w:color="auto"/>
              <w:left w:val="nil"/>
              <w:bottom w:val="single" w:sz="8" w:space="0" w:color="auto"/>
              <w:right w:val="single" w:sz="4" w:space="0" w:color="auto"/>
            </w:tcBorders>
            <w:shd w:val="clear" w:color="auto" w:fill="D9D9D9" w:themeFill="background1" w:themeFillShade="D9"/>
          </w:tcPr>
          <w:p w:rsidR="001F1776" w:rsidRPr="001F1776" w:rsidRDefault="001F1776" w:rsidP="001F1776">
            <w:pPr>
              <w:rPr>
                <w:rFonts w:eastAsia="Calibri"/>
                <w:lang w:val="sk-SK"/>
              </w:rPr>
            </w:pPr>
          </w:p>
        </w:tc>
        <w:tc>
          <w:tcPr>
            <w:tcW w:w="1418" w:type="dxa"/>
            <w:tcBorders>
              <w:top w:val="nil"/>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F1776" w:rsidRPr="001F1776" w:rsidRDefault="001F1776" w:rsidP="001F1776">
            <w:pPr>
              <w:rPr>
                <w:rFonts w:eastAsia="Calibri"/>
                <w:lang w:val="sk-SK"/>
              </w:rPr>
            </w:pPr>
            <w:r w:rsidRPr="001F1776">
              <w:rPr>
                <w:rFonts w:eastAsia="Calibri"/>
                <w:lang w:val="sk-SK"/>
              </w:rPr>
              <w:t>25</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F1776" w:rsidRPr="001F1776" w:rsidRDefault="001F1776" w:rsidP="001F1776">
            <w:pPr>
              <w:rPr>
                <w:rFonts w:eastAsia="Calibri"/>
                <w:lang w:val="sk-SK"/>
              </w:rPr>
            </w:pPr>
            <w:r w:rsidRPr="001F1776">
              <w:rPr>
                <w:rFonts w:eastAsia="Calibri"/>
                <w:lang w:val="sk-SK"/>
              </w:rPr>
              <w:t>50</w:t>
            </w:r>
          </w:p>
        </w:tc>
        <w:tc>
          <w:tcPr>
            <w:tcW w:w="141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rsidR="001F1776" w:rsidRPr="001F1776" w:rsidRDefault="001F1776" w:rsidP="001F1776">
            <w:pPr>
              <w:rPr>
                <w:rFonts w:eastAsia="Calibri"/>
                <w:lang w:val="sk-SK"/>
              </w:rPr>
            </w:pPr>
            <w:r w:rsidRPr="001F1776">
              <w:rPr>
                <w:rFonts w:eastAsia="Calibri"/>
                <w:lang w:val="sk-SK"/>
              </w:rPr>
              <w:t>50</w:t>
            </w:r>
          </w:p>
        </w:tc>
      </w:tr>
      <w:tr w:rsidR="001F1776" w:rsidRPr="001F1776" w:rsidTr="001F1776">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Integračný príspevok § 28 ods. 4</w:t>
            </w:r>
          </w:p>
        </w:tc>
        <w:tc>
          <w:tcPr>
            <w:tcW w:w="567" w:type="dxa"/>
            <w:tcBorders>
              <w:top w:val="single" w:sz="8" w:space="0" w:color="auto"/>
              <w:left w:val="nil"/>
              <w:bottom w:val="single" w:sz="8" w:space="0" w:color="auto"/>
              <w:right w:val="single" w:sz="4" w:space="0" w:color="auto"/>
            </w:tcBorders>
          </w:tcPr>
          <w:p w:rsidR="001F1776" w:rsidRPr="001F1776" w:rsidRDefault="001F1776" w:rsidP="001F1776">
            <w:pPr>
              <w:rPr>
                <w:rFonts w:eastAsia="Calibri"/>
                <w:lang w:val="sk-SK"/>
              </w:rPr>
            </w:pPr>
            <w:r w:rsidRPr="001F1776">
              <w:rPr>
                <w:rFonts w:eastAsia="Calibri"/>
                <w:lang w:val="sk-SK"/>
              </w:rPr>
              <w:t>N/A</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60.207€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122.301€</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1F1776" w:rsidRPr="001F1776" w:rsidRDefault="001F1776" w:rsidP="001F1776">
            <w:pPr>
              <w:rPr>
                <w:rFonts w:eastAsia="Calibri"/>
                <w:lang w:val="sk-SK"/>
              </w:rPr>
            </w:pPr>
            <w:r w:rsidRPr="001F1776">
              <w:rPr>
                <w:rFonts w:eastAsia="Calibri"/>
                <w:lang w:val="sk-SK"/>
              </w:rPr>
              <w:t>125.149,50€</w:t>
            </w:r>
          </w:p>
        </w:tc>
      </w:tr>
      <w:tr w:rsidR="001F1776" w:rsidRPr="001F1776" w:rsidTr="001F1776">
        <w:tc>
          <w:tcPr>
            <w:tcW w:w="4786"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b/>
                <w:bCs/>
                <w:lang w:val="sk-SK"/>
              </w:rPr>
            </w:pPr>
            <w:r w:rsidRPr="001F1776">
              <w:rPr>
                <w:rFonts w:eastAsia="Calibri"/>
                <w:b/>
                <w:bCs/>
                <w:lang w:val="sk-SK"/>
              </w:rPr>
              <w:t>Spolu oba príspevky</w:t>
            </w:r>
          </w:p>
        </w:tc>
        <w:tc>
          <w:tcPr>
            <w:tcW w:w="567" w:type="dxa"/>
            <w:tcBorders>
              <w:top w:val="single" w:sz="8" w:space="0" w:color="auto"/>
              <w:left w:val="nil"/>
              <w:bottom w:val="single" w:sz="8" w:space="0" w:color="auto"/>
              <w:right w:val="single" w:sz="4" w:space="0" w:color="auto"/>
            </w:tcBorders>
            <w:shd w:val="clear" w:color="auto" w:fill="A6A6A6"/>
          </w:tcPr>
          <w:p w:rsidR="001F1776" w:rsidRPr="001F1776" w:rsidRDefault="001F1776" w:rsidP="001F1776">
            <w:pPr>
              <w:rPr>
                <w:rFonts w:eastAsia="Calibri"/>
                <w:b/>
                <w:bCs/>
                <w:lang w:val="sk-SK"/>
              </w:rPr>
            </w:pPr>
            <w:r w:rsidRPr="001F1776">
              <w:rPr>
                <w:rFonts w:eastAsia="Calibri"/>
                <w:lang w:val="sk-SK"/>
              </w:rPr>
              <w:t>N/A</w:t>
            </w:r>
          </w:p>
        </w:tc>
        <w:tc>
          <w:tcPr>
            <w:tcW w:w="1418" w:type="dxa"/>
            <w:tcBorders>
              <w:top w:val="nil"/>
              <w:left w:val="single" w:sz="4" w:space="0" w:color="auto"/>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b/>
                <w:bCs/>
                <w:lang w:val="sk-SK"/>
              </w:rPr>
            </w:pPr>
            <w:r w:rsidRPr="001F1776">
              <w:rPr>
                <w:rFonts w:eastAsia="Calibri"/>
                <w:b/>
                <w:bCs/>
                <w:lang w:val="sk-SK"/>
              </w:rPr>
              <w:t>65.367,60€</w:t>
            </w:r>
          </w:p>
        </w:tc>
        <w:tc>
          <w:tcPr>
            <w:tcW w:w="1417"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b/>
                <w:bCs/>
                <w:lang w:val="sk-SK"/>
              </w:rPr>
            </w:pPr>
            <w:r w:rsidRPr="001F1776">
              <w:rPr>
                <w:rFonts w:eastAsia="Calibri"/>
                <w:b/>
                <w:bCs/>
                <w:lang w:val="sk-SK"/>
              </w:rPr>
              <w:t>132.784,05€</w:t>
            </w:r>
          </w:p>
        </w:tc>
        <w:tc>
          <w:tcPr>
            <w:tcW w:w="1416"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rsidR="001F1776" w:rsidRPr="001F1776" w:rsidRDefault="001F1776" w:rsidP="001F1776">
            <w:pPr>
              <w:rPr>
                <w:rFonts w:eastAsia="Calibri"/>
                <w:b/>
                <w:bCs/>
                <w:lang w:val="sk-SK"/>
              </w:rPr>
            </w:pPr>
            <w:r w:rsidRPr="001F1776">
              <w:rPr>
                <w:rFonts w:eastAsia="Calibri"/>
                <w:b/>
                <w:bCs/>
                <w:lang w:val="sk-SK"/>
              </w:rPr>
              <w:t>135.876,75€</w:t>
            </w:r>
          </w:p>
        </w:tc>
      </w:tr>
    </w:tbl>
    <w:p w:rsidR="001F1776" w:rsidRPr="001F1776" w:rsidRDefault="001F1776" w:rsidP="001F1776">
      <w:pPr>
        <w:rPr>
          <w:b/>
          <w:bCs/>
          <w:lang w:val="sk-SK" w:eastAsia="sk-SK"/>
        </w:rPr>
      </w:pPr>
    </w:p>
    <w:p w:rsidR="001F1776" w:rsidRPr="001F1776" w:rsidRDefault="001F1776" w:rsidP="001F1776">
      <w:pPr>
        <w:rPr>
          <w:b/>
          <w:bCs/>
          <w:lang w:val="sk-SK" w:eastAsia="sk-SK"/>
        </w:rPr>
      </w:pPr>
      <w:r w:rsidRPr="001F1776">
        <w:rPr>
          <w:b/>
          <w:bCs/>
          <w:lang w:val="sk-SK" w:eastAsia="sk-SK"/>
        </w:rPr>
        <w:lastRenderedPageBreak/>
        <w:t>2.2.4. Výpočty vplyvov na verejné financie</w:t>
      </w:r>
    </w:p>
    <w:p w:rsidR="001F1776" w:rsidRPr="001F1776" w:rsidRDefault="001F1776" w:rsidP="001F1776">
      <w:pPr>
        <w:jc w:val="both"/>
        <w:rPr>
          <w:lang w:val="sk-SK" w:eastAsia="sk-SK"/>
        </w:rPr>
      </w:pPr>
    </w:p>
    <w:p w:rsidR="001F1776" w:rsidRPr="001F1776" w:rsidRDefault="001F1776" w:rsidP="001F1776">
      <w:pPr>
        <w:spacing w:after="200"/>
        <w:jc w:val="both"/>
        <w:rPr>
          <w:rFonts w:eastAsia="Calibri"/>
          <w:lang w:val="sk-SK"/>
        </w:rPr>
      </w:pPr>
      <w:r w:rsidRPr="001F1776">
        <w:rPr>
          <w:rFonts w:eastAsia="Calibri"/>
          <w:lang w:val="sk-SK"/>
        </w:rPr>
        <w:t xml:space="preserve">Finančné prostriedky potrebné na zabezpečenie vyplácania všetkých nižšie uvedených príspevkov sú vypočítané so sumou životného minima pre jednu plnoletú fyzickú osobu, pričom bola zohľadnená predpokladaná valorizácia sumy životného minima pre jednu plnoletú fyzickú osobu na roky 2022-2024. </w:t>
      </w:r>
    </w:p>
    <w:p w:rsidR="001F1776" w:rsidRPr="001F1776" w:rsidRDefault="001F1776" w:rsidP="001F1776">
      <w:pPr>
        <w:numPr>
          <w:ilvl w:val="0"/>
          <w:numId w:val="4"/>
        </w:numPr>
        <w:contextualSpacing/>
        <w:jc w:val="both"/>
        <w:rPr>
          <w:bCs/>
          <w:lang w:val="sk-SK" w:eastAsia="sk-SK"/>
        </w:rPr>
      </w:pPr>
      <w:r w:rsidRPr="001F1776">
        <w:rPr>
          <w:bCs/>
          <w:lang w:val="sk-SK" w:eastAsia="sk-SK"/>
        </w:rPr>
        <w:t xml:space="preserve">Do § 28 ods. 2 návrhu sa premietlo súčasné znenie týkajúce sa jednorazového príspevku pre azylanta vo výške 1,5-násobku sumy životného minima pre jednu plnoletú fyzickú osobu a taktiež sa zavádza priznanie rovnakého jednorazového príspevku pre </w:t>
      </w:r>
      <w:r w:rsidRPr="001F1776">
        <w:rPr>
          <w:lang w:val="sk-SK" w:eastAsia="sk-SK"/>
        </w:rPr>
        <w:t>cudzincov, ktorým sa poskytla</w:t>
      </w:r>
      <w:r w:rsidRPr="001F1776">
        <w:rPr>
          <w:bCs/>
          <w:lang w:val="sk-SK" w:eastAsia="sk-SK"/>
        </w:rPr>
        <w:t xml:space="preserve"> doplnková ochrana.</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2022 (od navrhovanej účinnosti zákona 1.6.2022) predpokladáme udelenie 15 medzinárodných ochrán, t.j. výpočet sumy je nasledovný: 229,36€x1,5= 344,04€ (výška príspevku)x15osôb=5.160,60€.</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2023 predpokladáme udelenie medzinárodnej ochrany 30 osobám, t.j. ide o sumu 229,36€x1,5= 344,04€(výška príspevku)x15osôb=5.160,60€ + 236,55€x1,5= 354,83 (výška príspevku)x15osôb=5.322,45€ spolu 10.483,05€.</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2024 predpokladáme udelenie medzinárodnej ochrany 30 osobám, t.j. ide o sumu 236,55€x1,5=354,83€(výška príspevku)x15osôb=5.322,45€ + 240,21€x1,5= 360,32€(výška príspevku)x15osôb= 5.404,80€ spolu 10.727,25€.</w:t>
      </w:r>
    </w:p>
    <w:p w:rsidR="001F1776" w:rsidRPr="001F1776" w:rsidRDefault="001F1776" w:rsidP="001F1776">
      <w:pPr>
        <w:ind w:left="1080"/>
        <w:contextualSpacing/>
        <w:jc w:val="both"/>
        <w:rPr>
          <w:bCs/>
          <w:lang w:val="sk-SK" w:eastAsia="sk-SK"/>
        </w:rPr>
      </w:pPr>
    </w:p>
    <w:p w:rsidR="001F1776" w:rsidRPr="001F1776" w:rsidRDefault="001F1776" w:rsidP="001F1776">
      <w:pPr>
        <w:numPr>
          <w:ilvl w:val="0"/>
          <w:numId w:val="4"/>
        </w:numPr>
        <w:contextualSpacing/>
        <w:jc w:val="both"/>
        <w:rPr>
          <w:lang w:val="sk-SK"/>
        </w:rPr>
      </w:pPr>
      <w:r w:rsidRPr="001F1776">
        <w:rPr>
          <w:lang w:val="sk-SK"/>
        </w:rPr>
        <w:t xml:space="preserve">V § 28 ods. 4 sa formálne </w:t>
      </w:r>
      <w:r w:rsidRPr="001F1776">
        <w:rPr>
          <w:lang w:val="sk-SK" w:eastAsia="sk-SK"/>
        </w:rPr>
        <w:t xml:space="preserve">zavádza poskytovanie integračného príspevku pre azylantov a cudzincov, ktorým sa poskytla doplnková ochrana. Integračný príspevok sa bude poskytovať vo výške 1,75-násobku sumy životného minima podľa osobitného predpisu (zákon o životnom minime) s tým, že sa budú spoločne posudzovať rodinní príslušníci žijúci v spoločnej domácnosti. </w:t>
      </w:r>
      <w:r w:rsidRPr="001F1776">
        <w:rPr>
          <w:bCs/>
          <w:lang w:val="sk-SK"/>
        </w:rPr>
        <w:t>Integračný príspevok sa bude poskytovať šesť</w:t>
      </w:r>
      <w:r w:rsidRPr="001F1776">
        <w:rPr>
          <w:lang w:val="sk-SK" w:eastAsia="sk-SK"/>
        </w:rPr>
        <w:t xml:space="preserve"> po sebe nasledujúcich mesiacov. </w:t>
      </w:r>
      <w:r w:rsidRPr="001F1776">
        <w:rPr>
          <w:lang w:val="sk-SK"/>
        </w:rPr>
        <w:t>V prípade integračného príspevku ide o sformalizovanie obdobného príspevku, ktorý sa už v súčasnosti v Slovenskej republike v porovnateľnej výške poskytuje azylantom a cudzincom, ktorým sa poskytla doplnková ochrana, v rámci integračného projektu financovaného z prostriedkov Fondu pre azyl, migráciu a integráciu.</w:t>
      </w:r>
    </w:p>
    <w:p w:rsidR="001F1776" w:rsidRPr="001F1776" w:rsidRDefault="001F1776" w:rsidP="001F1776">
      <w:pPr>
        <w:ind w:left="708"/>
        <w:jc w:val="both"/>
        <w:rPr>
          <w:rFonts w:eastAsia="Calibri"/>
          <w:lang w:val="sk-SK"/>
        </w:rPr>
      </w:pPr>
      <w:r w:rsidRPr="001F1776">
        <w:rPr>
          <w:rFonts w:eastAsia="Calibri"/>
          <w:lang w:val="sk-SK"/>
        </w:rPr>
        <w:t>Suma integračného príspevku na účely tejto doložky je vypočítaná len pre plnoleté fyzické osoby, avšak táto suma môže byť nižšia v závislosti od zloženia osôb, ktorým bude udelená medzinárodná ochrana (maloleté deti, rodiny s deťmi, atď.).</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2022 (od navrhovanej účinnosti zákona 01. 06. 2022) predpokladáme udelenie 25 medzinárodných ochrán, t.j. výpočet sumy je nasledovný: 229,36€x1,75= 401,38€ (výška príspevku)x25osôbx 6 mesiacov=60.207€.</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2023 predpokladáme udelenie medzinárodnej ochrany 50 osobám, t.j. ide o sumu 229,36€x1,75= 401,38€ (výška príspevku)x25osôbx 6 mesiacov=60.207€ + 236,55€x1,75= 413,96€ (výška príspevku)x25osôbx 6 mesiacov=62.094€ spolu 122.301€.</w:t>
      </w:r>
    </w:p>
    <w:p w:rsidR="001F1776" w:rsidRPr="001F1776" w:rsidRDefault="001F1776" w:rsidP="001F1776">
      <w:pPr>
        <w:numPr>
          <w:ilvl w:val="0"/>
          <w:numId w:val="5"/>
        </w:numPr>
        <w:contextualSpacing/>
        <w:jc w:val="both"/>
        <w:rPr>
          <w:bCs/>
          <w:lang w:val="sk-SK" w:eastAsia="sk-SK"/>
        </w:rPr>
      </w:pPr>
      <w:r w:rsidRPr="001F1776">
        <w:rPr>
          <w:bCs/>
          <w:lang w:val="sk-SK" w:eastAsia="sk-SK"/>
        </w:rPr>
        <w:t>V roku 2024 predpokladáme udelenie medzinárodnej ochrany 50 osobám, t.j. ide o sumu 236,55€x1,75=413,96€ (výška príspevku)x25osôb x 6 mesiacov=62.094€ + 240,21€x1,75= 420,37€ (výška príspevku)x25osôbx 6 mesiacov=63.055,50€ spolu 125.149,50€.</w:t>
      </w:r>
    </w:p>
    <w:p w:rsidR="001F1776" w:rsidRPr="001F1776" w:rsidRDefault="001F1776" w:rsidP="001F1776">
      <w:pPr>
        <w:spacing w:after="240"/>
        <w:ind w:left="708"/>
        <w:jc w:val="both"/>
        <w:rPr>
          <w:rFonts w:eastAsia="Calibri"/>
          <w:lang w:val="sk-SK"/>
        </w:rPr>
      </w:pPr>
    </w:p>
    <w:p w:rsidR="001F1776" w:rsidRPr="001F1776" w:rsidRDefault="001F1776" w:rsidP="001F1776">
      <w:pPr>
        <w:tabs>
          <w:tab w:val="num" w:pos="1080"/>
        </w:tabs>
        <w:jc w:val="both"/>
        <w:rPr>
          <w:bCs/>
          <w:lang w:val="sk-SK" w:eastAsia="sk-SK"/>
        </w:rPr>
      </w:pPr>
      <w:r w:rsidRPr="001F1776">
        <w:rPr>
          <w:bCs/>
          <w:u w:val="single"/>
          <w:lang w:val="sk-SK" w:eastAsia="sk-SK"/>
        </w:rPr>
        <w:t>Poznámka</w:t>
      </w:r>
      <w:r w:rsidRPr="001F1776">
        <w:rPr>
          <w:bCs/>
          <w:lang w:val="sk-SK" w:eastAsia="sk-SK"/>
        </w:rPr>
        <w:t>: Udelením medzinárodnej ochrany na účely tejto analýzy sa rozumie aj udelenie azylu z humanitných dôvodov, udelenie azylu na účel zlúčenia rodiny a poskytnutie doplnkovej ochrany na účel zlúčenia rodiny.</w:t>
      </w:r>
    </w:p>
    <w:p w:rsidR="001F1776" w:rsidRPr="001F1776" w:rsidRDefault="001F1776" w:rsidP="001F1776">
      <w:pPr>
        <w:jc w:val="both"/>
        <w:rPr>
          <w:bCs/>
          <w:u w:val="single"/>
          <w:lang w:val="sk-SK" w:eastAsia="sk-SK"/>
        </w:rPr>
      </w:pPr>
      <w:r w:rsidRPr="001F1776">
        <w:rPr>
          <w:bCs/>
          <w:lang w:val="sk-SK" w:eastAsia="sk-SK"/>
        </w:rPr>
        <w:lastRenderedPageBreak/>
        <w:t>Účinnosť návrhu zákona je od 1.6.2022, ale pre výpočet výšky príspevku v roku 2022 už bola použitá predpokladaná valorizovaná suma životného minima pre jednu plnoletú fyzickú osobu platná od 1.7.2022 – 229,36€, a nie suma životného minima platná od 1.7.2021 – 218,06€.</w:t>
      </w:r>
    </w:p>
    <w:p w:rsidR="001F1776" w:rsidRPr="001F1776" w:rsidRDefault="001F1776" w:rsidP="001F1776">
      <w:pPr>
        <w:tabs>
          <w:tab w:val="num" w:pos="1080"/>
        </w:tabs>
        <w:jc w:val="both"/>
        <w:rPr>
          <w:bCs/>
          <w:szCs w:val="20"/>
          <w:lang w:val="sk-SK" w:eastAsia="sk-SK"/>
        </w:rPr>
      </w:pPr>
    </w:p>
    <w:p w:rsidR="001F1776" w:rsidRPr="001F1776" w:rsidRDefault="001F1776" w:rsidP="001F1776">
      <w:pPr>
        <w:tabs>
          <w:tab w:val="num" w:pos="1080"/>
        </w:tabs>
        <w:jc w:val="both"/>
        <w:rPr>
          <w:bCs/>
          <w:szCs w:val="20"/>
          <w:lang w:val="sk-SK" w:eastAsia="sk-SK"/>
        </w:rPr>
        <w:sectPr w:rsidR="001F1776" w:rsidRPr="001F1776" w:rsidSect="001F177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134" w:left="1418" w:header="709" w:footer="709" w:gutter="0"/>
          <w:pgNumType w:start="1"/>
          <w:cols w:space="708"/>
          <w:docGrid w:linePitch="360"/>
        </w:sectPr>
      </w:pPr>
    </w:p>
    <w:p w:rsidR="001F1776" w:rsidRPr="001F1776" w:rsidRDefault="001F1776" w:rsidP="001F1776">
      <w:pPr>
        <w:tabs>
          <w:tab w:val="num" w:pos="1080"/>
        </w:tabs>
        <w:jc w:val="right"/>
        <w:rPr>
          <w:bCs/>
          <w:lang w:val="sk-SK" w:eastAsia="sk-SK"/>
        </w:rPr>
      </w:pPr>
      <w:r w:rsidRPr="001F1776">
        <w:rPr>
          <w:bCs/>
          <w:lang w:val="sk-SK" w:eastAsia="sk-SK"/>
        </w:rPr>
        <w:lastRenderedPageBreak/>
        <w:t xml:space="preserve">Tabuľka č. 3 </w:t>
      </w:r>
    </w:p>
    <w:p w:rsidR="001F1776" w:rsidRPr="001F1776" w:rsidRDefault="001F1776" w:rsidP="001F1776">
      <w:pPr>
        <w:tabs>
          <w:tab w:val="num" w:pos="1080"/>
        </w:tabs>
        <w:jc w:val="both"/>
        <w:rPr>
          <w:bCs/>
          <w:szCs w:val="20"/>
          <w:lang w:val="sk-SK"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1F1776" w:rsidRPr="001F1776" w:rsidTr="001F177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F1776" w:rsidRPr="001F1776" w:rsidRDefault="001F1776" w:rsidP="001F1776">
            <w:pPr>
              <w:jc w:val="center"/>
              <w:rPr>
                <w:b/>
                <w:bCs/>
                <w:lang w:val="sk-SK" w:eastAsia="sk-SK"/>
              </w:rPr>
            </w:pPr>
            <w:r w:rsidRPr="001F1776">
              <w:rPr>
                <w:b/>
                <w:bCs/>
                <w:lang w:val="sk-SK" w:eastAsia="sk-SK"/>
              </w:rPr>
              <w:t>Príjmy</w:t>
            </w:r>
          </w:p>
        </w:tc>
        <w:tc>
          <w:tcPr>
            <w:tcW w:w="6000" w:type="dxa"/>
            <w:gridSpan w:val="4"/>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1F1776" w:rsidRPr="001F1776" w:rsidRDefault="001F1776" w:rsidP="001F1776">
            <w:pPr>
              <w:jc w:val="center"/>
              <w:rPr>
                <w:b/>
                <w:bCs/>
                <w:lang w:val="sk-SK" w:eastAsia="sk-SK"/>
              </w:rPr>
            </w:pPr>
            <w:r w:rsidRPr="001F1776">
              <w:rPr>
                <w:b/>
                <w:bCs/>
                <w:lang w:val="sk-SK" w:eastAsia="sk-SK"/>
              </w:rPr>
              <w:t>poznámka</w:t>
            </w:r>
          </w:p>
        </w:tc>
      </w:tr>
      <w:tr w:rsidR="001F1776" w:rsidRPr="001F1776" w:rsidTr="001F177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1F1776" w:rsidRPr="001F1776" w:rsidRDefault="001F1776" w:rsidP="001F1776">
            <w:pPr>
              <w:rPr>
                <w:b/>
                <w:bCs/>
                <w:color w:val="FFFFFF"/>
                <w:lang w:val="sk-SK" w:eastAsia="sk-SK"/>
              </w:rPr>
            </w:pP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2021</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2022</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2023</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2024</w:t>
            </w:r>
          </w:p>
        </w:tc>
        <w:tc>
          <w:tcPr>
            <w:tcW w:w="3000" w:type="dxa"/>
            <w:vMerge/>
            <w:tcBorders>
              <w:top w:val="single" w:sz="4" w:space="0" w:color="auto"/>
              <w:left w:val="single" w:sz="4" w:space="0" w:color="auto"/>
              <w:bottom w:val="single" w:sz="4" w:space="0" w:color="auto"/>
              <w:right w:val="single" w:sz="4" w:space="0" w:color="auto"/>
            </w:tcBorders>
            <w:vAlign w:val="center"/>
          </w:tcPr>
          <w:p w:rsidR="001F1776" w:rsidRPr="001F1776" w:rsidRDefault="001F1776" w:rsidP="001F1776">
            <w:pPr>
              <w:rPr>
                <w:b/>
                <w:bCs/>
                <w:color w:val="FFFFFF"/>
                <w:lang w:val="sk-SK" w:eastAsia="sk-SK"/>
              </w:rPr>
            </w:pP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tcPr>
          <w:p w:rsidR="001F1776" w:rsidRPr="001F1776" w:rsidRDefault="001F1776" w:rsidP="001F1776">
            <w:pPr>
              <w:rPr>
                <w:b/>
                <w:bCs/>
                <w:vertAlign w:val="superscript"/>
                <w:lang w:val="sk-SK" w:eastAsia="sk-SK"/>
              </w:rPr>
            </w:pPr>
            <w:r w:rsidRPr="001F1776">
              <w:rPr>
                <w:b/>
                <w:bCs/>
                <w:lang w:val="sk-SK" w:eastAsia="sk-SK"/>
              </w:rPr>
              <w:t>Daňové príjmy (100)</w:t>
            </w:r>
            <w:r w:rsidRPr="001F1776">
              <w:rPr>
                <w:b/>
                <w:bCs/>
                <w:vertAlign w:val="superscript"/>
                <w:lang w:val="sk-SK" w:eastAsia="sk-SK"/>
              </w:rPr>
              <w:t>1</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300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Nedaňové príjmy (200)</w:t>
            </w:r>
            <w:r w:rsidRPr="001F1776">
              <w:rPr>
                <w:b/>
                <w:bCs/>
                <w:vertAlign w:val="superscript"/>
                <w:lang w:val="sk-SK" w:eastAsia="sk-SK"/>
              </w:rPr>
              <w:t>1</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300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Granty a transfery (300)</w:t>
            </w:r>
            <w:r w:rsidRPr="001F1776">
              <w:rPr>
                <w:b/>
                <w:bCs/>
                <w:vertAlign w:val="superscript"/>
                <w:lang w:val="sk-SK" w:eastAsia="sk-SK"/>
              </w:rPr>
              <w:t>1</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b/>
                <w:bCs/>
                <w:lang w:val="sk-SK" w:eastAsia="sk-SK"/>
              </w:rPr>
              <w:t>0</w:t>
            </w:r>
          </w:p>
        </w:tc>
        <w:tc>
          <w:tcPr>
            <w:tcW w:w="300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0 </w:t>
            </w:r>
          </w:p>
        </w:tc>
        <w:tc>
          <w:tcPr>
            <w:tcW w:w="300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0</w:t>
            </w:r>
          </w:p>
        </w:tc>
        <w:tc>
          <w:tcPr>
            <w:tcW w:w="150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lang w:val="sk-SK" w:eastAsia="sk-SK"/>
              </w:rPr>
            </w:pPr>
            <w:r w:rsidRPr="001F1776">
              <w:rPr>
                <w:b/>
                <w:bCs/>
                <w:lang w:val="sk-SK" w:eastAsia="sk-SK"/>
              </w:rPr>
              <w:t> </w:t>
            </w:r>
          </w:p>
        </w:tc>
        <w:tc>
          <w:tcPr>
            <w:tcW w:w="300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4950" w:type="dxa"/>
            <w:tcBorders>
              <w:top w:val="nil"/>
              <w:left w:val="single" w:sz="4" w:space="0" w:color="auto"/>
              <w:bottom w:val="single" w:sz="4" w:space="0" w:color="auto"/>
              <w:right w:val="single" w:sz="4" w:space="0" w:color="auto"/>
            </w:tcBorders>
            <w:shd w:val="clear" w:color="auto" w:fill="BFBFBF"/>
          </w:tcPr>
          <w:p w:rsidR="001F1776" w:rsidRPr="001F1776" w:rsidRDefault="001F1776" w:rsidP="001F1776">
            <w:pPr>
              <w:rPr>
                <w:b/>
                <w:bCs/>
                <w:lang w:val="sk-SK" w:eastAsia="sk-SK"/>
              </w:rPr>
            </w:pPr>
            <w:r w:rsidRPr="001F1776">
              <w:rPr>
                <w:b/>
                <w:bCs/>
                <w:lang w:val="sk-SK"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50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3000" w:type="dxa"/>
            <w:tcBorders>
              <w:top w:val="nil"/>
              <w:left w:val="nil"/>
              <w:bottom w:val="single" w:sz="4" w:space="0" w:color="auto"/>
              <w:right w:val="single" w:sz="4" w:space="0" w:color="auto"/>
            </w:tcBorders>
            <w:shd w:val="clear" w:color="auto" w:fill="BFBFBF"/>
            <w:noWrap/>
            <w:vAlign w:val="bottom"/>
          </w:tcPr>
          <w:p w:rsidR="001F1776" w:rsidRPr="001F1776" w:rsidRDefault="001F1776" w:rsidP="001F1776">
            <w:pPr>
              <w:rPr>
                <w:lang w:val="sk-SK" w:eastAsia="sk-SK"/>
              </w:rPr>
            </w:pPr>
            <w:r w:rsidRPr="001F1776">
              <w:rPr>
                <w:lang w:val="sk-SK" w:eastAsia="sk-SK"/>
              </w:rPr>
              <w:t> </w:t>
            </w:r>
          </w:p>
        </w:tc>
      </w:tr>
    </w:tbl>
    <w:p w:rsidR="001F1776" w:rsidRPr="001F1776" w:rsidRDefault="001F1776" w:rsidP="001F1776">
      <w:pPr>
        <w:tabs>
          <w:tab w:val="num" w:pos="1080"/>
        </w:tabs>
        <w:jc w:val="both"/>
        <w:rPr>
          <w:bCs/>
          <w:sz w:val="20"/>
          <w:szCs w:val="20"/>
          <w:lang w:val="sk-SK" w:eastAsia="sk-SK"/>
        </w:rPr>
      </w:pPr>
      <w:r w:rsidRPr="001F1776">
        <w:rPr>
          <w:bCs/>
          <w:sz w:val="20"/>
          <w:szCs w:val="20"/>
          <w:lang w:val="sk-SK" w:eastAsia="sk-SK"/>
        </w:rPr>
        <w:t>1 –  príjmy rozpísať až do položiek platnej ekonomickej klasifikácie</w:t>
      </w:r>
    </w:p>
    <w:p w:rsidR="001F1776" w:rsidRPr="001F1776" w:rsidRDefault="001F1776" w:rsidP="001F1776">
      <w:pPr>
        <w:tabs>
          <w:tab w:val="num" w:pos="1080"/>
        </w:tabs>
        <w:jc w:val="both"/>
        <w:rPr>
          <w:bCs/>
          <w:szCs w:val="20"/>
          <w:lang w:val="sk-SK" w:eastAsia="sk-SK"/>
        </w:rPr>
      </w:pPr>
    </w:p>
    <w:p w:rsidR="001F1776" w:rsidRPr="001F1776" w:rsidRDefault="001F1776" w:rsidP="001F1776">
      <w:pPr>
        <w:tabs>
          <w:tab w:val="num" w:pos="1080"/>
        </w:tabs>
        <w:jc w:val="both"/>
        <w:rPr>
          <w:b/>
          <w:bCs/>
          <w:szCs w:val="20"/>
          <w:lang w:val="sk-SK" w:eastAsia="sk-SK"/>
        </w:rPr>
      </w:pPr>
      <w:r w:rsidRPr="001F1776">
        <w:rPr>
          <w:b/>
          <w:bCs/>
          <w:szCs w:val="20"/>
          <w:lang w:val="sk-SK" w:eastAsia="sk-SK"/>
        </w:rPr>
        <w:t>Poznámka:</w:t>
      </w:r>
    </w:p>
    <w:p w:rsidR="001F1776" w:rsidRPr="001F1776" w:rsidRDefault="001F1776" w:rsidP="001F1776">
      <w:pPr>
        <w:tabs>
          <w:tab w:val="num" w:pos="1080"/>
        </w:tabs>
        <w:jc w:val="both"/>
        <w:rPr>
          <w:bCs/>
          <w:szCs w:val="20"/>
          <w:lang w:val="sk-SK" w:eastAsia="sk-SK"/>
        </w:rPr>
      </w:pPr>
      <w:r w:rsidRPr="001F1776">
        <w:rPr>
          <w:bCs/>
          <w:szCs w:val="20"/>
          <w:lang w:val="sk-SK" w:eastAsia="sk-SK"/>
        </w:rPr>
        <w:t>Ak sa vplyv týka viacerých subjektov verejnej správy, vypĺňa sa samostatná tabuľka za každý subjekt.</w:t>
      </w:r>
    </w:p>
    <w:p w:rsidR="001F1776" w:rsidRPr="001F1776" w:rsidRDefault="001F1776" w:rsidP="001F1776">
      <w:pPr>
        <w:tabs>
          <w:tab w:val="num" w:pos="1080"/>
        </w:tabs>
        <w:ind w:right="-578"/>
        <w:jc w:val="right"/>
        <w:rPr>
          <w:bCs/>
          <w:lang w:val="sk-SK" w:eastAsia="sk-SK"/>
        </w:rPr>
      </w:pPr>
      <w:r w:rsidRPr="001F1776">
        <w:rPr>
          <w:bCs/>
          <w:lang w:val="sk-SK" w:eastAsia="sk-SK"/>
        </w:rPr>
        <w:t xml:space="preserve"> </w:t>
      </w: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578"/>
        <w:jc w:val="right"/>
        <w:rPr>
          <w:bCs/>
          <w:lang w:val="sk-SK" w:eastAsia="sk-SK"/>
        </w:rPr>
      </w:pPr>
    </w:p>
    <w:p w:rsidR="001F1776" w:rsidRPr="001F1776" w:rsidRDefault="001F1776" w:rsidP="001F1776">
      <w:pPr>
        <w:tabs>
          <w:tab w:val="num" w:pos="1080"/>
        </w:tabs>
        <w:ind w:right="-32"/>
        <w:jc w:val="right"/>
        <w:rPr>
          <w:bCs/>
          <w:lang w:val="sk-SK" w:eastAsia="sk-SK"/>
        </w:rPr>
      </w:pPr>
      <w:r w:rsidRPr="001F1776">
        <w:rPr>
          <w:bCs/>
          <w:lang w:val="sk-SK" w:eastAsia="sk-SK"/>
        </w:rPr>
        <w:lastRenderedPageBreak/>
        <w:t xml:space="preserve">Tabuľka č. 4 </w:t>
      </w:r>
    </w:p>
    <w:p w:rsidR="001F1776" w:rsidRPr="001F1776" w:rsidRDefault="001F1776" w:rsidP="001F1776">
      <w:pPr>
        <w:tabs>
          <w:tab w:val="num" w:pos="1080"/>
        </w:tabs>
        <w:jc w:val="both"/>
        <w:rPr>
          <w:bCs/>
          <w:szCs w:val="20"/>
          <w:lang w:val="sk-SK"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1F1776" w:rsidRPr="001F1776" w:rsidTr="001F177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vAlign w:val="center"/>
          </w:tcPr>
          <w:p w:rsidR="001F1776" w:rsidRPr="001F1776" w:rsidRDefault="001F1776" w:rsidP="001F1776">
            <w:pPr>
              <w:jc w:val="center"/>
              <w:rPr>
                <w:b/>
                <w:bCs/>
                <w:sz w:val="20"/>
                <w:szCs w:val="20"/>
                <w:lang w:val="sk-SK" w:eastAsia="sk-SK"/>
              </w:rPr>
            </w:pPr>
            <w:r w:rsidRPr="001F1776">
              <w:rPr>
                <w:b/>
                <w:bCs/>
                <w:sz w:val="20"/>
                <w:szCs w:val="20"/>
                <w:lang w:val="sk-SK"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b/>
                <w:bCs/>
                <w:sz w:val="20"/>
                <w:szCs w:val="20"/>
                <w:lang w:val="sk-SK"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1F1776" w:rsidRPr="001F1776" w:rsidRDefault="001F1776" w:rsidP="001F1776">
            <w:pPr>
              <w:jc w:val="center"/>
              <w:rPr>
                <w:b/>
                <w:bCs/>
                <w:lang w:val="sk-SK" w:eastAsia="sk-SK"/>
              </w:rPr>
            </w:pPr>
            <w:r w:rsidRPr="001F1776">
              <w:rPr>
                <w:b/>
                <w:bCs/>
                <w:lang w:val="sk-SK" w:eastAsia="sk-SK"/>
              </w:rPr>
              <w:t>poznámka</w:t>
            </w:r>
          </w:p>
        </w:tc>
      </w:tr>
      <w:tr w:rsidR="001F1776" w:rsidRPr="001F1776" w:rsidTr="001F177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1F1776" w:rsidRPr="001F1776" w:rsidRDefault="001F1776" w:rsidP="001F1776">
            <w:pPr>
              <w:rPr>
                <w:b/>
                <w:bCs/>
                <w:color w:val="FFFFFF"/>
                <w:sz w:val="20"/>
                <w:szCs w:val="20"/>
                <w:lang w:val="sk-SK" w:eastAsia="sk-SK"/>
              </w:rPr>
            </w:pPr>
          </w:p>
        </w:tc>
        <w:tc>
          <w:tcPr>
            <w:tcW w:w="154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b/>
                <w:bCs/>
                <w:sz w:val="20"/>
                <w:szCs w:val="20"/>
                <w:lang w:val="sk-SK" w:eastAsia="sk-SK"/>
              </w:rPr>
              <w:t>2021</w:t>
            </w:r>
          </w:p>
        </w:tc>
        <w:tc>
          <w:tcPr>
            <w:tcW w:w="154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b/>
                <w:bCs/>
                <w:sz w:val="20"/>
                <w:szCs w:val="20"/>
                <w:lang w:val="sk-SK" w:eastAsia="sk-SK"/>
              </w:rPr>
              <w:t>2022</w:t>
            </w:r>
          </w:p>
        </w:tc>
        <w:tc>
          <w:tcPr>
            <w:tcW w:w="154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b/>
                <w:bCs/>
                <w:sz w:val="20"/>
                <w:szCs w:val="20"/>
                <w:lang w:val="sk-SK" w:eastAsia="sk-SK"/>
              </w:rPr>
              <w:t>2023</w:t>
            </w:r>
          </w:p>
        </w:tc>
        <w:tc>
          <w:tcPr>
            <w:tcW w:w="1540"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2024</w:t>
            </w:r>
          </w:p>
        </w:tc>
        <w:tc>
          <w:tcPr>
            <w:tcW w:w="2220" w:type="dxa"/>
            <w:vMerge/>
            <w:tcBorders>
              <w:top w:val="single" w:sz="4" w:space="0" w:color="auto"/>
              <w:left w:val="single" w:sz="4" w:space="0" w:color="auto"/>
              <w:bottom w:val="single" w:sz="4" w:space="0" w:color="auto"/>
              <w:right w:val="single" w:sz="4" w:space="0" w:color="auto"/>
            </w:tcBorders>
            <w:vAlign w:val="center"/>
          </w:tcPr>
          <w:p w:rsidR="001F1776" w:rsidRPr="001F1776" w:rsidRDefault="001F1776" w:rsidP="001F1776">
            <w:pPr>
              <w:rPr>
                <w:b/>
                <w:bCs/>
                <w:color w:val="FFFFFF"/>
                <w:lang w:val="sk-SK" w:eastAsia="sk-SK"/>
              </w:rPr>
            </w:pP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b/>
                <w:bCs/>
                <w:sz w:val="20"/>
                <w:szCs w:val="20"/>
                <w:lang w:val="sk-SK" w:eastAsia="sk-SK"/>
              </w:rPr>
            </w:pPr>
            <w:r w:rsidRPr="001F1776">
              <w:rPr>
                <w:b/>
                <w:bCs/>
                <w:sz w:val="20"/>
                <w:szCs w:val="20"/>
                <w:lang w:val="sk-SK" w:eastAsia="sk-SK"/>
              </w:rPr>
              <w:t>Bežné výdavky (600)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rFonts w:ascii="Calibri" w:eastAsia="Calibri" w:hAnsi="Calibri"/>
                <w:b/>
                <w:bCs/>
                <w:lang w:val="sk-SK"/>
              </w:rPr>
              <w:t>65.367,60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rFonts w:ascii="Calibri" w:eastAsia="Calibri" w:hAnsi="Calibri"/>
                <w:b/>
                <w:bCs/>
                <w:lang w:val="sk-SK"/>
              </w:rPr>
              <w:t>132.784,05</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lang w:val="sk-SK" w:eastAsia="sk-SK"/>
              </w:rPr>
            </w:pPr>
            <w:r w:rsidRPr="001F1776">
              <w:rPr>
                <w:rFonts w:ascii="Calibri" w:eastAsia="Calibri" w:hAnsi="Calibri"/>
                <w:b/>
                <w:bCs/>
                <w:lang w:val="sk-SK"/>
              </w:rPr>
              <w:t>135.876,75</w:t>
            </w:r>
            <w:r w:rsidRPr="001F1776">
              <w:rPr>
                <w:b/>
                <w:bCs/>
                <w:lang w:val="sk-SK" w:eastAsia="sk-SK"/>
              </w:rPr>
              <w:t xml:space="preserve">  </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lang w:val="sk-SK" w:eastAsia="sk-SK"/>
              </w:rPr>
            </w:pPr>
            <w:r w:rsidRPr="001F1776">
              <w:rPr>
                <w:sz w:val="20"/>
                <w:szCs w:val="20"/>
                <w:lang w:val="sk-SK"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vertAlign w:val="superscript"/>
                <w:lang w:val="sk-SK" w:eastAsia="sk-SK"/>
              </w:rPr>
            </w:pPr>
            <w:r w:rsidRPr="001F1776">
              <w:rPr>
                <w:sz w:val="20"/>
                <w:szCs w:val="20"/>
                <w:lang w:val="sk-SK" w:eastAsia="sk-SK"/>
              </w:rPr>
              <w:t xml:space="preserve">  Poistné a príspevok do poisťovní (620)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vertAlign w:val="superscript"/>
                <w:lang w:val="sk-SK" w:eastAsia="sk-SK"/>
              </w:rPr>
            </w:pPr>
            <w:r w:rsidRPr="001F1776">
              <w:rPr>
                <w:sz w:val="20"/>
                <w:szCs w:val="20"/>
                <w:lang w:val="sk-SK" w:eastAsia="sk-SK"/>
              </w:rPr>
              <w:t xml:space="preserve">  Tovary a služby (630)</w:t>
            </w:r>
            <w:r w:rsidRPr="001F1776">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vertAlign w:val="superscript"/>
                <w:lang w:val="sk-SK" w:eastAsia="sk-SK"/>
              </w:rPr>
            </w:pPr>
            <w:r w:rsidRPr="001F1776">
              <w:rPr>
                <w:sz w:val="20"/>
                <w:szCs w:val="20"/>
                <w:lang w:val="sk-SK" w:eastAsia="sk-SK"/>
              </w:rPr>
              <w:t xml:space="preserve">  Bežné transfery (640)</w:t>
            </w:r>
            <w:r w:rsidRPr="001F1776">
              <w:rPr>
                <w:sz w:val="20"/>
                <w:szCs w:val="20"/>
                <w:vertAlign w:val="superscript"/>
                <w:lang w:val="sk-SK" w:eastAsia="sk-SK"/>
              </w:rPr>
              <w:t>2</w:t>
            </w:r>
          </w:p>
          <w:p w:rsidR="001F1776" w:rsidRPr="001F1776" w:rsidRDefault="001F1776" w:rsidP="001F1776">
            <w:pPr>
              <w:numPr>
                <w:ilvl w:val="0"/>
                <w:numId w:val="5"/>
              </w:numPr>
              <w:contextualSpacing/>
              <w:rPr>
                <w:sz w:val="20"/>
                <w:szCs w:val="20"/>
                <w:lang w:val="sk-SK" w:eastAsia="sk-SK"/>
              </w:rPr>
            </w:pPr>
            <w:r w:rsidRPr="001F1776">
              <w:rPr>
                <w:bCs/>
                <w:sz w:val="20"/>
                <w:lang w:val="sk-SK"/>
              </w:rPr>
              <w:t>642014 Jednotlivci</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rFonts w:ascii="Calibri" w:eastAsia="Calibri" w:hAnsi="Calibri"/>
                <w:b/>
                <w:bCs/>
                <w:lang w:val="sk-SK"/>
              </w:rPr>
              <w:t>65.367,60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rFonts w:ascii="Calibri" w:eastAsia="Calibri" w:hAnsi="Calibri"/>
                <w:b/>
                <w:bCs/>
                <w:lang w:val="sk-SK"/>
              </w:rPr>
              <w:t>132.784,05</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rFonts w:ascii="Calibri" w:eastAsia="Calibri" w:hAnsi="Calibri"/>
                <w:b/>
                <w:bCs/>
                <w:lang w:val="sk-SK"/>
              </w:rPr>
              <w:t>135.876,75</w:t>
            </w:r>
            <w:r w:rsidRPr="001F1776">
              <w:rPr>
                <w:b/>
                <w:bCs/>
                <w:lang w:val="sk-SK" w:eastAsia="sk-SK"/>
              </w:rPr>
              <w:t xml:space="preserve">  </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vAlign w:val="center"/>
          </w:tcPr>
          <w:p w:rsidR="001F1776" w:rsidRPr="001F1776" w:rsidRDefault="001F1776" w:rsidP="001F1776">
            <w:pPr>
              <w:rPr>
                <w:sz w:val="20"/>
                <w:szCs w:val="20"/>
                <w:lang w:val="sk-SK" w:eastAsia="sk-SK"/>
              </w:rPr>
            </w:pPr>
            <w:r w:rsidRPr="001F1776">
              <w:rPr>
                <w:sz w:val="20"/>
                <w:szCs w:val="20"/>
                <w:lang w:val="sk-SK" w:eastAsia="sk-SK"/>
              </w:rPr>
              <w:t xml:space="preserve">  Splácanie úrokov a ostatné platby súvisiace s </w:t>
            </w:r>
            <w:r w:rsidRPr="001F1776">
              <w:rPr>
                <w:rFonts w:ascii="Calibri" w:eastAsia="Calibri" w:hAnsi="Calibri"/>
                <w:lang w:val="sk-SK"/>
              </w:rPr>
              <w:t xml:space="preserve"> </w:t>
            </w:r>
            <w:r w:rsidRPr="001F1776">
              <w:rPr>
                <w:sz w:val="20"/>
                <w:szCs w:val="20"/>
                <w:lang w:val="sk-SK" w:eastAsia="sk-SK"/>
              </w:rPr>
              <w:t>úverom, pôžičkou, návratnou finančnou výpomocou a finančným prenájmom (650)</w:t>
            </w:r>
            <w:r w:rsidRPr="001F1776">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b/>
                <w:bCs/>
                <w:sz w:val="20"/>
                <w:szCs w:val="20"/>
                <w:lang w:val="sk-SK" w:eastAsia="sk-SK"/>
              </w:rPr>
            </w:pPr>
            <w:r w:rsidRPr="001F1776">
              <w:rPr>
                <w:b/>
                <w:bCs/>
                <w:sz w:val="20"/>
                <w:szCs w:val="20"/>
                <w:lang w:val="sk-SK" w:eastAsia="sk-SK"/>
              </w:rPr>
              <w:t>Kapitálové výdavky (700)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lang w:val="sk-SK" w:eastAsia="sk-SK"/>
              </w:rPr>
            </w:pPr>
            <w:r w:rsidRPr="001F1776">
              <w:rPr>
                <w:sz w:val="20"/>
                <w:szCs w:val="20"/>
                <w:lang w:val="sk-SK" w:eastAsia="sk-SK"/>
              </w:rPr>
              <w:t xml:space="preserve">  Obstarávanie kapitálových aktív (710)</w:t>
            </w:r>
            <w:r w:rsidRPr="001F1776">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sz w:val="20"/>
                <w:szCs w:val="20"/>
                <w:lang w:val="sk-SK" w:eastAsia="sk-SK"/>
              </w:rPr>
            </w:pPr>
            <w:r w:rsidRPr="001F1776">
              <w:rPr>
                <w:sz w:val="20"/>
                <w:szCs w:val="20"/>
                <w:lang w:val="sk-SK" w:eastAsia="sk-SK"/>
              </w:rPr>
              <w:t xml:space="preserve">  Kapitálové transfery (720)</w:t>
            </w:r>
            <w:r w:rsidRPr="001F1776">
              <w:rPr>
                <w:sz w:val="20"/>
                <w:szCs w:val="20"/>
                <w:vertAlign w:val="superscript"/>
                <w:lang w:val="sk-SK" w:eastAsia="sk-SK"/>
              </w:rPr>
              <w:t>2</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1540" w:type="dxa"/>
            <w:tcBorders>
              <w:top w:val="nil"/>
              <w:left w:val="nil"/>
              <w:bottom w:val="single" w:sz="4" w:space="0" w:color="auto"/>
              <w:right w:val="single" w:sz="4" w:space="0" w:color="auto"/>
            </w:tcBorders>
          </w:tcPr>
          <w:p w:rsidR="001F1776" w:rsidRPr="001F1776" w:rsidRDefault="001F1776" w:rsidP="001F1776">
            <w:pPr>
              <w:jc w:val="center"/>
              <w:rPr>
                <w:sz w:val="20"/>
                <w:szCs w:val="20"/>
                <w:lang w:val="sk-SK" w:eastAsia="sk-SK"/>
              </w:rPr>
            </w:pPr>
            <w:r w:rsidRPr="001F1776">
              <w:rPr>
                <w:sz w:val="20"/>
                <w:szCs w:val="20"/>
                <w:lang w:val="sk-SK" w:eastAsia="sk-SK"/>
              </w:rPr>
              <w:t>0</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nil"/>
              <w:left w:val="single" w:sz="4" w:space="0" w:color="auto"/>
              <w:bottom w:val="single" w:sz="4" w:space="0" w:color="auto"/>
              <w:right w:val="single" w:sz="4" w:space="0" w:color="auto"/>
            </w:tcBorders>
          </w:tcPr>
          <w:p w:rsidR="001F1776" w:rsidRPr="001F1776" w:rsidRDefault="001F1776" w:rsidP="001F1776">
            <w:pPr>
              <w:rPr>
                <w:b/>
                <w:bCs/>
                <w:sz w:val="20"/>
                <w:szCs w:val="20"/>
                <w:lang w:val="sk-SK" w:eastAsia="sk-SK"/>
              </w:rPr>
            </w:pPr>
            <w:r w:rsidRPr="001F1776">
              <w:rPr>
                <w:b/>
                <w:bCs/>
                <w:sz w:val="20"/>
                <w:szCs w:val="20"/>
                <w:lang w:val="sk-SK"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sz w:val="20"/>
                <w:szCs w:val="20"/>
                <w:lang w:val="sk-SK" w:eastAsia="sk-SK"/>
              </w:rPr>
            </w:pPr>
            <w:r w:rsidRPr="001F1776">
              <w:rPr>
                <w:b/>
                <w:bCs/>
                <w:sz w:val="20"/>
                <w:szCs w:val="20"/>
                <w:lang w:val="sk-SK" w:eastAsia="sk-SK"/>
              </w:rPr>
              <w:t>0 </w:t>
            </w:r>
          </w:p>
        </w:tc>
        <w:tc>
          <w:tcPr>
            <w:tcW w:w="154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sz w:val="20"/>
                <w:szCs w:val="20"/>
                <w:lang w:val="sk-SK" w:eastAsia="sk-SK"/>
              </w:rPr>
            </w:pPr>
            <w:r w:rsidRPr="001F1776">
              <w:rPr>
                <w:b/>
                <w:bCs/>
                <w:sz w:val="20"/>
                <w:szCs w:val="20"/>
                <w:lang w:val="sk-SK" w:eastAsia="sk-SK"/>
              </w:rPr>
              <w:t> 0</w:t>
            </w:r>
          </w:p>
        </w:tc>
        <w:tc>
          <w:tcPr>
            <w:tcW w:w="154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sz w:val="20"/>
                <w:szCs w:val="20"/>
                <w:lang w:val="sk-SK" w:eastAsia="sk-SK"/>
              </w:rPr>
            </w:pPr>
            <w:r w:rsidRPr="001F1776">
              <w:rPr>
                <w:b/>
                <w:bCs/>
                <w:sz w:val="20"/>
                <w:szCs w:val="20"/>
                <w:lang w:val="sk-SK" w:eastAsia="sk-SK"/>
              </w:rPr>
              <w:t>0 </w:t>
            </w:r>
          </w:p>
        </w:tc>
        <w:tc>
          <w:tcPr>
            <w:tcW w:w="1540" w:type="dxa"/>
            <w:tcBorders>
              <w:top w:val="nil"/>
              <w:left w:val="nil"/>
              <w:bottom w:val="single" w:sz="4" w:space="0" w:color="auto"/>
              <w:right w:val="single" w:sz="4" w:space="0" w:color="auto"/>
            </w:tcBorders>
            <w:shd w:val="clear" w:color="auto" w:fill="FFFF99"/>
          </w:tcPr>
          <w:p w:rsidR="001F1776" w:rsidRPr="001F1776" w:rsidRDefault="001F1776" w:rsidP="001F1776">
            <w:pPr>
              <w:jc w:val="center"/>
              <w:rPr>
                <w:b/>
                <w:bCs/>
                <w:sz w:val="20"/>
                <w:szCs w:val="20"/>
                <w:lang w:val="sk-SK" w:eastAsia="sk-SK"/>
              </w:rPr>
            </w:pPr>
            <w:r w:rsidRPr="001F1776">
              <w:rPr>
                <w:b/>
                <w:bCs/>
                <w:sz w:val="20"/>
                <w:szCs w:val="20"/>
                <w:lang w:val="sk-SK" w:eastAsia="sk-SK"/>
              </w:rPr>
              <w:t>0 </w:t>
            </w:r>
          </w:p>
        </w:tc>
        <w:tc>
          <w:tcPr>
            <w:tcW w:w="2220" w:type="dxa"/>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cPr>
          <w:p w:rsidR="001F1776" w:rsidRPr="001F1776" w:rsidRDefault="001F1776" w:rsidP="001F1776">
            <w:pPr>
              <w:rPr>
                <w:b/>
                <w:bCs/>
                <w:sz w:val="20"/>
                <w:szCs w:val="20"/>
                <w:lang w:val="sk-SK" w:eastAsia="sk-SK"/>
              </w:rPr>
            </w:pPr>
            <w:r w:rsidRPr="001F1776">
              <w:rPr>
                <w:b/>
                <w:bCs/>
                <w:sz w:val="20"/>
                <w:szCs w:val="20"/>
                <w:lang w:val="sk-SK"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b/>
                <w:bCs/>
                <w:sz w:val="20"/>
                <w:szCs w:val="20"/>
                <w:lang w:val="sk-SK" w:eastAsia="sk-SK"/>
              </w:rPr>
              <w:t>0</w:t>
            </w:r>
          </w:p>
        </w:tc>
        <w:tc>
          <w:tcPr>
            <w:tcW w:w="1540" w:type="dxa"/>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rFonts w:ascii="Calibri" w:eastAsia="Calibri" w:hAnsi="Calibri"/>
                <w:b/>
                <w:bCs/>
                <w:lang w:val="sk-SK"/>
              </w:rPr>
              <w:t>65.367,60</w:t>
            </w:r>
          </w:p>
        </w:tc>
        <w:tc>
          <w:tcPr>
            <w:tcW w:w="1540" w:type="dxa"/>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sz w:val="20"/>
                <w:szCs w:val="20"/>
                <w:lang w:val="sk-SK" w:eastAsia="sk-SK"/>
              </w:rPr>
            </w:pPr>
            <w:r w:rsidRPr="001F1776">
              <w:rPr>
                <w:rFonts w:ascii="Calibri" w:eastAsia="Calibri" w:hAnsi="Calibri"/>
                <w:b/>
                <w:bCs/>
                <w:lang w:val="sk-SK"/>
              </w:rPr>
              <w:t>132.784,05</w:t>
            </w:r>
          </w:p>
        </w:tc>
        <w:tc>
          <w:tcPr>
            <w:tcW w:w="1540" w:type="dxa"/>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rFonts w:ascii="Calibri" w:eastAsia="Calibri" w:hAnsi="Calibri"/>
                <w:b/>
                <w:bCs/>
                <w:lang w:val="sk-SK"/>
              </w:rPr>
              <w:t>135.876,75</w:t>
            </w:r>
            <w:r w:rsidRPr="001F1776">
              <w:rPr>
                <w:b/>
                <w:bCs/>
                <w:lang w:val="sk-SK" w:eastAsia="sk-SK"/>
              </w:rPr>
              <w:t xml:space="preserve">  </w:t>
            </w:r>
          </w:p>
        </w:tc>
        <w:tc>
          <w:tcPr>
            <w:tcW w:w="2220" w:type="dxa"/>
            <w:tcBorders>
              <w:top w:val="single" w:sz="4" w:space="0" w:color="auto"/>
              <w:left w:val="nil"/>
              <w:bottom w:val="single" w:sz="4" w:space="0" w:color="auto"/>
              <w:right w:val="single" w:sz="4" w:space="0" w:color="auto"/>
            </w:tcBorders>
            <w:shd w:val="clear" w:color="auto" w:fill="BFBFBF"/>
            <w:noWrap/>
            <w:vAlign w:val="bottom"/>
          </w:tcPr>
          <w:p w:rsidR="001F1776" w:rsidRPr="001F1776" w:rsidRDefault="001F1776" w:rsidP="001F1776">
            <w:pPr>
              <w:rPr>
                <w:lang w:val="sk-SK" w:eastAsia="sk-SK"/>
              </w:rPr>
            </w:pPr>
            <w:r w:rsidRPr="001F1776">
              <w:rPr>
                <w:lang w:val="sk-SK" w:eastAsia="sk-SK"/>
              </w:rPr>
              <w:t> </w:t>
            </w:r>
          </w:p>
        </w:tc>
      </w:tr>
    </w:tbl>
    <w:p w:rsidR="001F1776" w:rsidRPr="001F1776" w:rsidRDefault="001F1776" w:rsidP="001F1776">
      <w:pPr>
        <w:tabs>
          <w:tab w:val="num" w:pos="1080"/>
        </w:tabs>
        <w:ind w:left="-900"/>
        <w:jc w:val="both"/>
        <w:rPr>
          <w:bCs/>
          <w:sz w:val="20"/>
          <w:szCs w:val="20"/>
          <w:lang w:val="sk-SK" w:eastAsia="sk-SK"/>
        </w:rPr>
      </w:pPr>
      <w:r w:rsidRPr="001F1776">
        <w:rPr>
          <w:bCs/>
          <w:sz w:val="20"/>
          <w:szCs w:val="20"/>
          <w:lang w:val="sk-SK" w:eastAsia="sk-SK"/>
        </w:rPr>
        <w:t>2 –  výdavky rozpísať až do položiek platnej ekonomickej klasifikácie</w:t>
      </w:r>
    </w:p>
    <w:p w:rsidR="001F1776" w:rsidRPr="001F1776" w:rsidRDefault="001F1776" w:rsidP="001F1776">
      <w:pPr>
        <w:tabs>
          <w:tab w:val="num" w:pos="1080"/>
        </w:tabs>
        <w:ind w:left="-900"/>
        <w:jc w:val="both"/>
        <w:rPr>
          <w:bCs/>
          <w:szCs w:val="20"/>
          <w:lang w:val="sk-SK" w:eastAsia="sk-SK"/>
        </w:rPr>
      </w:pPr>
    </w:p>
    <w:p w:rsidR="001F1776" w:rsidRPr="001F1776" w:rsidRDefault="001F1776" w:rsidP="001F1776">
      <w:pPr>
        <w:tabs>
          <w:tab w:val="num" w:pos="1080"/>
        </w:tabs>
        <w:ind w:left="-900"/>
        <w:jc w:val="both"/>
        <w:rPr>
          <w:b/>
          <w:bCs/>
          <w:sz w:val="20"/>
          <w:szCs w:val="20"/>
          <w:lang w:val="sk-SK" w:eastAsia="sk-SK"/>
        </w:rPr>
      </w:pPr>
      <w:r w:rsidRPr="001F1776">
        <w:rPr>
          <w:b/>
          <w:bCs/>
          <w:szCs w:val="20"/>
          <w:lang w:val="sk-SK" w:eastAsia="sk-SK"/>
        </w:rPr>
        <w:t>Poznámka:</w:t>
      </w:r>
    </w:p>
    <w:p w:rsidR="001F1776" w:rsidRPr="001F1776" w:rsidRDefault="001F1776" w:rsidP="001F1776">
      <w:pPr>
        <w:tabs>
          <w:tab w:val="num" w:pos="1080"/>
        </w:tabs>
        <w:ind w:left="-900"/>
        <w:jc w:val="both"/>
        <w:rPr>
          <w:bCs/>
          <w:sz w:val="20"/>
          <w:szCs w:val="20"/>
          <w:lang w:val="sk-SK" w:eastAsia="sk-SK"/>
        </w:rPr>
      </w:pPr>
      <w:r w:rsidRPr="001F1776">
        <w:rPr>
          <w:bCs/>
          <w:szCs w:val="20"/>
          <w:lang w:val="sk-SK" w:eastAsia="sk-SK"/>
        </w:rPr>
        <w:t>Ak sa vplyv týka viacerých subjektov verejnej správy, vypĺňa sa samostatná tabuľka za každý subjekt.</w:t>
      </w: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ind w:left="-900"/>
        <w:jc w:val="both"/>
        <w:rPr>
          <w:bCs/>
          <w:sz w:val="20"/>
          <w:szCs w:val="20"/>
          <w:lang w:val="sk-SK" w:eastAsia="sk-SK"/>
        </w:rPr>
      </w:pPr>
    </w:p>
    <w:p w:rsidR="001F1776" w:rsidRPr="001F1776" w:rsidRDefault="001F1776" w:rsidP="001F1776">
      <w:pPr>
        <w:tabs>
          <w:tab w:val="num" w:pos="1080"/>
        </w:tabs>
        <w:jc w:val="right"/>
        <w:rPr>
          <w:bCs/>
          <w:lang w:val="sk-SK" w:eastAsia="sk-SK"/>
        </w:rPr>
      </w:pPr>
      <w:r w:rsidRPr="001F1776">
        <w:rPr>
          <w:bCs/>
          <w:lang w:val="sk-SK" w:eastAsia="sk-SK"/>
        </w:rPr>
        <w:t xml:space="preserve">                 Tabuľka č. 5 </w:t>
      </w:r>
    </w:p>
    <w:p w:rsidR="001F1776" w:rsidRPr="001F1776" w:rsidRDefault="001F1776" w:rsidP="001F1776">
      <w:pPr>
        <w:tabs>
          <w:tab w:val="num" w:pos="1080"/>
        </w:tabs>
        <w:jc w:val="both"/>
        <w:rPr>
          <w:bCs/>
          <w:szCs w:val="20"/>
          <w:lang w:val="sk-SK"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1F1776" w:rsidRPr="001F1776" w:rsidTr="001F177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F1776" w:rsidRPr="001F1776" w:rsidRDefault="001F1776" w:rsidP="001F1776">
            <w:pPr>
              <w:jc w:val="center"/>
              <w:rPr>
                <w:b/>
                <w:bCs/>
                <w:lang w:val="sk-SK" w:eastAsia="sk-SK"/>
              </w:rPr>
            </w:pPr>
            <w:r w:rsidRPr="001F1776">
              <w:rPr>
                <w:b/>
                <w:bCs/>
                <w:lang w:val="sk-SK"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rsidR="001F1776" w:rsidRPr="001F1776" w:rsidRDefault="001F1776" w:rsidP="001F1776">
            <w:pPr>
              <w:jc w:val="center"/>
              <w:rPr>
                <w:b/>
                <w:bCs/>
                <w:lang w:val="sk-SK" w:eastAsia="sk-SK"/>
              </w:rPr>
            </w:pPr>
            <w:r w:rsidRPr="001F1776">
              <w:rPr>
                <w:b/>
                <w:bCs/>
                <w:lang w:val="sk-SK" w:eastAsia="sk-SK"/>
              </w:rPr>
              <w:t>poznámka</w:t>
            </w:r>
          </w:p>
        </w:tc>
      </w:tr>
      <w:tr w:rsidR="001F1776" w:rsidRPr="001F1776" w:rsidTr="001F177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1F1776" w:rsidRPr="001F1776" w:rsidRDefault="001F1776" w:rsidP="001F1776">
            <w:pPr>
              <w:rPr>
                <w:b/>
                <w:bCs/>
                <w:lang w:val="sk-SK" w:eastAsia="sk-SK"/>
              </w:rPr>
            </w:pPr>
          </w:p>
        </w:tc>
        <w:tc>
          <w:tcPr>
            <w:tcW w:w="1698"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2021</w:t>
            </w:r>
          </w:p>
        </w:tc>
        <w:tc>
          <w:tcPr>
            <w:tcW w:w="1788"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2022</w:t>
            </w:r>
          </w:p>
        </w:tc>
        <w:tc>
          <w:tcPr>
            <w:tcW w:w="2418" w:type="dxa"/>
            <w:gridSpan w:val="2"/>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2023</w:t>
            </w:r>
          </w:p>
        </w:tc>
        <w:tc>
          <w:tcPr>
            <w:tcW w:w="1722"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vAlign w:val="center"/>
          </w:tcPr>
          <w:p w:rsidR="001F1776" w:rsidRPr="001F1776" w:rsidRDefault="001F1776" w:rsidP="001F1776">
            <w:pPr>
              <w:rPr>
                <w:b/>
                <w:bCs/>
                <w:color w:val="FFFFFF"/>
                <w:lang w:val="sk-SK" w:eastAsia="sk-SK"/>
              </w:rPr>
            </w:pP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Počet zamestnancov celkom</w:t>
            </w:r>
          </w:p>
        </w:tc>
        <w:tc>
          <w:tcPr>
            <w:tcW w:w="169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tcPr>
          <w:p w:rsidR="001F1776" w:rsidRPr="001F1776" w:rsidRDefault="001F1776" w:rsidP="001F1776">
            <w:pPr>
              <w:rPr>
                <w:lang w:val="sk-SK" w:eastAsia="sk-SK"/>
              </w:rPr>
            </w:pP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tcPr>
          <w:p w:rsidR="001F1776" w:rsidRPr="001F1776" w:rsidRDefault="001F1776" w:rsidP="001F1776">
            <w:pPr>
              <w:rPr>
                <w:lang w:val="sk-SK" w:eastAsia="sk-SK"/>
              </w:rPr>
            </w:pP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tcPr>
          <w:p w:rsidR="001F1776" w:rsidRPr="001F1776" w:rsidRDefault="001F1776" w:rsidP="001F1776">
            <w:pPr>
              <w:rPr>
                <w:lang w:val="sk-SK" w:eastAsia="sk-SK"/>
              </w:rPr>
            </w:pPr>
          </w:p>
        </w:tc>
      </w:tr>
      <w:tr w:rsidR="001F1776" w:rsidRPr="001F1776" w:rsidTr="001F1776">
        <w:trPr>
          <w:trHeight w:val="354"/>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single" w:sz="4" w:space="0" w:color="auto"/>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tcPr>
          <w:p w:rsidR="001F1776" w:rsidRPr="001F1776" w:rsidRDefault="001F1776" w:rsidP="001F1776">
            <w:pPr>
              <w:rPr>
                <w:lang w:val="sk-SK" w:eastAsia="sk-SK"/>
              </w:rPr>
            </w:pP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shd w:val="clear" w:color="auto" w:fill="BFBFBF"/>
          </w:tcPr>
          <w:p w:rsidR="001F1776" w:rsidRPr="001F1776" w:rsidRDefault="001F1776" w:rsidP="001F1776">
            <w:pPr>
              <w:rPr>
                <w:b/>
                <w:bCs/>
                <w:lang w:val="sk-SK" w:eastAsia="sk-SK"/>
              </w:rPr>
            </w:pPr>
            <w:r w:rsidRPr="001F1776">
              <w:rPr>
                <w:b/>
                <w:bCs/>
                <w:lang w:val="sk-SK" w:eastAsia="sk-SK"/>
              </w:rPr>
              <w:t>Osobné výdavky celkom (v eurách)</w:t>
            </w:r>
          </w:p>
        </w:tc>
        <w:tc>
          <w:tcPr>
            <w:tcW w:w="1698"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788"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722" w:type="dxa"/>
            <w:tcBorders>
              <w:top w:val="nil"/>
              <w:left w:val="nil"/>
              <w:bottom w:val="single" w:sz="4" w:space="0" w:color="auto"/>
              <w:right w:val="single" w:sz="4" w:space="0" w:color="auto"/>
            </w:tcBorders>
            <w:shd w:val="clear" w:color="auto" w:fill="BFBFBF"/>
          </w:tcPr>
          <w:p w:rsidR="001F1776" w:rsidRPr="001F1776" w:rsidRDefault="001F1776" w:rsidP="001F1776">
            <w:pPr>
              <w:jc w:val="center"/>
              <w:rPr>
                <w:b/>
                <w:bCs/>
                <w:lang w:val="sk-SK" w:eastAsia="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shd w:val="clear" w:color="auto" w:fill="BFBFBF"/>
            <w:noWrap/>
            <w:vAlign w:val="bottom"/>
          </w:tcPr>
          <w:p w:rsidR="001F1776" w:rsidRPr="001F1776" w:rsidRDefault="001F1776" w:rsidP="001F1776">
            <w:pPr>
              <w:rPr>
                <w:b/>
                <w:bCs/>
                <w:lang w:val="sk-SK" w:eastAsia="sk-SK"/>
              </w:rPr>
            </w:pPr>
            <w:r w:rsidRPr="001F1776">
              <w:rPr>
                <w:b/>
                <w:bCs/>
                <w:lang w:val="sk-SK" w:eastAsia="sk-SK"/>
              </w:rPr>
              <w:t> </w:t>
            </w: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vAlign w:val="bottom"/>
          </w:tcPr>
          <w:p w:rsidR="001F1776" w:rsidRPr="001F1776" w:rsidRDefault="001F1776" w:rsidP="001F1776">
            <w:pPr>
              <w:rPr>
                <w:b/>
                <w:bCs/>
                <w:lang w:val="sk-SK" w:eastAsia="sk-SK"/>
              </w:rPr>
            </w:pPr>
            <w:r w:rsidRPr="001F1776">
              <w:rPr>
                <w:b/>
                <w:bCs/>
                <w:lang w:val="sk-SK" w:eastAsia="sk-SK"/>
              </w:rPr>
              <w:t> </w:t>
            </w: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lang w:val="sk-SK" w:eastAsia="sk-SK"/>
              </w:rPr>
            </w:pPr>
            <w:r w:rsidRPr="001F1776">
              <w:rPr>
                <w:b/>
                <w:bCs/>
                <w:lang w:val="sk-SK" w:eastAsia="sk-SK"/>
              </w:rPr>
              <w:t xml:space="preserve">   z toho vplyv na ŠR</w:t>
            </w:r>
          </w:p>
        </w:tc>
        <w:tc>
          <w:tcPr>
            <w:tcW w:w="169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b/>
                <w:bCs/>
                <w:lang w:val="sk-SK" w:eastAsia="sk-SK"/>
              </w:rPr>
            </w:pPr>
            <w:r w:rsidRPr="001F1776">
              <w:rPr>
                <w:b/>
                <w:bCs/>
                <w:lang w:val="sk-SK" w:eastAsia="sk-SK"/>
              </w:rPr>
              <w:t>Poistné a príspevok do poisťovní (620)</w:t>
            </w:r>
          </w:p>
        </w:tc>
        <w:tc>
          <w:tcPr>
            <w:tcW w:w="169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vAlign w:val="bottom"/>
          </w:tcPr>
          <w:p w:rsidR="001F1776" w:rsidRPr="001F1776" w:rsidRDefault="001F1776" w:rsidP="001F1776">
            <w:pPr>
              <w:rPr>
                <w:b/>
                <w:bCs/>
                <w:lang w:val="sk-SK" w:eastAsia="sk-SK"/>
              </w:rPr>
            </w:pPr>
            <w:r w:rsidRPr="001F1776">
              <w:rPr>
                <w:b/>
                <w:bCs/>
                <w:lang w:val="sk-SK" w:eastAsia="sk-SK"/>
              </w:rPr>
              <w:t> </w:t>
            </w:r>
          </w:p>
        </w:tc>
      </w:tr>
      <w:tr w:rsidR="001F1776" w:rsidRPr="001F1776" w:rsidTr="001F1776">
        <w:trPr>
          <w:trHeight w:val="255"/>
        </w:trPr>
        <w:tc>
          <w:tcPr>
            <w:tcW w:w="6188" w:type="dxa"/>
            <w:tcBorders>
              <w:top w:val="nil"/>
              <w:left w:val="single" w:sz="4" w:space="0" w:color="auto"/>
              <w:bottom w:val="single" w:sz="4" w:space="0" w:color="auto"/>
              <w:right w:val="single" w:sz="4" w:space="0" w:color="auto"/>
            </w:tcBorders>
          </w:tcPr>
          <w:p w:rsidR="001F1776" w:rsidRPr="001F1776" w:rsidRDefault="001F1776" w:rsidP="001F1776">
            <w:pPr>
              <w:rPr>
                <w:lang w:val="sk-SK" w:eastAsia="sk-SK"/>
              </w:rPr>
            </w:pPr>
            <w:r w:rsidRPr="001F1776">
              <w:rPr>
                <w:b/>
                <w:bCs/>
                <w:lang w:val="sk-SK" w:eastAsia="sk-SK"/>
              </w:rPr>
              <w:t xml:space="preserve">   z toho vplyv na ŠR</w:t>
            </w:r>
          </w:p>
        </w:tc>
        <w:tc>
          <w:tcPr>
            <w:tcW w:w="169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88"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2418" w:type="dxa"/>
            <w:gridSpan w:val="2"/>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722" w:type="dxa"/>
            <w:tcBorders>
              <w:top w:val="nil"/>
              <w:left w:val="nil"/>
              <w:bottom w:val="single" w:sz="4" w:space="0" w:color="auto"/>
              <w:right w:val="single" w:sz="4" w:space="0" w:color="auto"/>
            </w:tcBorders>
          </w:tcPr>
          <w:p w:rsidR="001F1776" w:rsidRPr="001F1776" w:rsidRDefault="001F1776" w:rsidP="001F1776">
            <w:pPr>
              <w:jc w:val="center"/>
              <w:rPr>
                <w:rFonts w:ascii="Calibri" w:eastAsia="Calibri" w:hAnsi="Calibri"/>
                <w:lang w:val="sk-SK"/>
              </w:rPr>
            </w:pPr>
            <w:r w:rsidRPr="001F1776">
              <w:rPr>
                <w:b/>
                <w:bCs/>
                <w:lang w:val="sk-SK" w:eastAsia="sk-SK"/>
              </w:rPr>
              <w:t>0</w:t>
            </w:r>
          </w:p>
        </w:tc>
        <w:tc>
          <w:tcPr>
            <w:tcW w:w="1620" w:type="dxa"/>
            <w:gridSpan w:val="2"/>
            <w:tcBorders>
              <w:top w:val="nil"/>
              <w:left w:val="nil"/>
              <w:bottom w:val="single" w:sz="4" w:space="0" w:color="auto"/>
              <w:right w:val="single" w:sz="4" w:space="0" w:color="auto"/>
            </w:tcBorders>
            <w:noWrap/>
            <w:vAlign w:val="bottom"/>
          </w:tcPr>
          <w:p w:rsidR="001F1776" w:rsidRPr="001F1776" w:rsidRDefault="001F1776" w:rsidP="001F1776">
            <w:pPr>
              <w:rPr>
                <w:lang w:val="sk-SK" w:eastAsia="sk-SK"/>
              </w:rPr>
            </w:pPr>
            <w:r w:rsidRPr="001F1776">
              <w:rPr>
                <w:lang w:val="sk-SK" w:eastAsia="sk-SK"/>
              </w:rPr>
              <w:t> </w:t>
            </w:r>
          </w:p>
        </w:tc>
      </w:tr>
      <w:tr w:rsidR="001F1776" w:rsidRPr="001F1776" w:rsidTr="001F1776">
        <w:trPr>
          <w:trHeight w:val="255"/>
        </w:trPr>
        <w:tc>
          <w:tcPr>
            <w:tcW w:w="6188" w:type="dxa"/>
            <w:tcBorders>
              <w:top w:val="nil"/>
              <w:left w:val="nil"/>
              <w:bottom w:val="nil"/>
              <w:right w:val="nil"/>
            </w:tcBorders>
            <w:noWrap/>
            <w:vAlign w:val="bottom"/>
          </w:tcPr>
          <w:p w:rsidR="001F1776" w:rsidRPr="001F1776" w:rsidRDefault="001F1776" w:rsidP="001F1776">
            <w:pPr>
              <w:rPr>
                <w:lang w:val="sk-SK" w:eastAsia="sk-SK"/>
              </w:rPr>
            </w:pPr>
          </w:p>
        </w:tc>
        <w:tc>
          <w:tcPr>
            <w:tcW w:w="1698" w:type="dxa"/>
            <w:tcBorders>
              <w:top w:val="nil"/>
              <w:left w:val="nil"/>
              <w:bottom w:val="nil"/>
              <w:right w:val="nil"/>
            </w:tcBorders>
            <w:noWrap/>
            <w:vAlign w:val="bottom"/>
          </w:tcPr>
          <w:p w:rsidR="001F1776" w:rsidRPr="001F1776" w:rsidRDefault="001F1776" w:rsidP="001F1776">
            <w:pPr>
              <w:rPr>
                <w:lang w:val="sk-SK" w:eastAsia="sk-SK"/>
              </w:rPr>
            </w:pPr>
          </w:p>
        </w:tc>
        <w:tc>
          <w:tcPr>
            <w:tcW w:w="1788" w:type="dxa"/>
            <w:tcBorders>
              <w:top w:val="nil"/>
              <w:left w:val="nil"/>
              <w:bottom w:val="nil"/>
              <w:right w:val="nil"/>
            </w:tcBorders>
            <w:noWrap/>
            <w:vAlign w:val="bottom"/>
          </w:tcPr>
          <w:p w:rsidR="001F1776" w:rsidRPr="001F1776" w:rsidRDefault="001F1776" w:rsidP="001F1776">
            <w:pPr>
              <w:rPr>
                <w:lang w:val="sk-SK" w:eastAsia="sk-SK"/>
              </w:rPr>
            </w:pPr>
          </w:p>
        </w:tc>
        <w:tc>
          <w:tcPr>
            <w:tcW w:w="2418" w:type="dxa"/>
            <w:gridSpan w:val="2"/>
            <w:tcBorders>
              <w:top w:val="nil"/>
              <w:left w:val="nil"/>
              <w:bottom w:val="nil"/>
              <w:right w:val="nil"/>
            </w:tcBorders>
            <w:noWrap/>
            <w:vAlign w:val="bottom"/>
          </w:tcPr>
          <w:p w:rsidR="001F1776" w:rsidRPr="001F1776" w:rsidRDefault="001F1776" w:rsidP="001F1776">
            <w:pPr>
              <w:rPr>
                <w:lang w:val="sk-SK" w:eastAsia="sk-SK"/>
              </w:rPr>
            </w:pPr>
          </w:p>
        </w:tc>
        <w:tc>
          <w:tcPr>
            <w:tcW w:w="1722" w:type="dxa"/>
            <w:tcBorders>
              <w:top w:val="nil"/>
              <w:left w:val="nil"/>
              <w:bottom w:val="nil"/>
              <w:right w:val="nil"/>
            </w:tcBorders>
            <w:noWrap/>
            <w:vAlign w:val="bottom"/>
          </w:tcPr>
          <w:p w:rsidR="001F1776" w:rsidRPr="001F1776" w:rsidRDefault="001F1776" w:rsidP="001F1776">
            <w:pPr>
              <w:rPr>
                <w:lang w:val="sk-SK" w:eastAsia="sk-SK"/>
              </w:rPr>
            </w:pPr>
          </w:p>
        </w:tc>
        <w:tc>
          <w:tcPr>
            <w:tcW w:w="1620" w:type="dxa"/>
            <w:gridSpan w:val="2"/>
            <w:tcBorders>
              <w:top w:val="nil"/>
              <w:left w:val="nil"/>
              <w:bottom w:val="nil"/>
              <w:right w:val="nil"/>
            </w:tcBorders>
            <w:noWrap/>
            <w:vAlign w:val="bottom"/>
          </w:tcPr>
          <w:p w:rsidR="001F1776" w:rsidRPr="001F1776" w:rsidRDefault="001F1776" w:rsidP="001F1776">
            <w:pPr>
              <w:rPr>
                <w:lang w:val="sk-SK" w:eastAsia="sk-SK"/>
              </w:rPr>
            </w:pPr>
          </w:p>
        </w:tc>
      </w:tr>
      <w:tr w:rsidR="001F1776" w:rsidRPr="001F1776" w:rsidTr="001F1776">
        <w:trPr>
          <w:trHeight w:val="255"/>
        </w:trPr>
        <w:tc>
          <w:tcPr>
            <w:tcW w:w="6188" w:type="dxa"/>
            <w:tcBorders>
              <w:top w:val="nil"/>
              <w:left w:val="nil"/>
              <w:bottom w:val="nil"/>
              <w:right w:val="nil"/>
            </w:tcBorders>
          </w:tcPr>
          <w:p w:rsidR="001F1776" w:rsidRPr="001F1776" w:rsidRDefault="001F1776" w:rsidP="001F1776">
            <w:pPr>
              <w:rPr>
                <w:b/>
                <w:bCs/>
                <w:lang w:val="sk-SK" w:eastAsia="sk-SK"/>
              </w:rPr>
            </w:pPr>
            <w:r w:rsidRPr="001F1776">
              <w:rPr>
                <w:b/>
                <w:bCs/>
                <w:lang w:val="sk-SK" w:eastAsia="sk-SK"/>
              </w:rPr>
              <w:t>Poznámky:</w:t>
            </w:r>
          </w:p>
        </w:tc>
        <w:tc>
          <w:tcPr>
            <w:tcW w:w="1698" w:type="dxa"/>
            <w:tcBorders>
              <w:top w:val="nil"/>
              <w:left w:val="nil"/>
              <w:bottom w:val="nil"/>
              <w:right w:val="nil"/>
            </w:tcBorders>
            <w:noWrap/>
            <w:vAlign w:val="bottom"/>
          </w:tcPr>
          <w:p w:rsidR="001F1776" w:rsidRPr="001F1776" w:rsidRDefault="001F1776" w:rsidP="001F1776">
            <w:pPr>
              <w:rPr>
                <w:lang w:val="sk-SK" w:eastAsia="sk-SK"/>
              </w:rPr>
            </w:pPr>
          </w:p>
        </w:tc>
        <w:tc>
          <w:tcPr>
            <w:tcW w:w="1788" w:type="dxa"/>
            <w:tcBorders>
              <w:top w:val="nil"/>
              <w:left w:val="nil"/>
              <w:bottom w:val="nil"/>
              <w:right w:val="nil"/>
            </w:tcBorders>
            <w:noWrap/>
            <w:vAlign w:val="bottom"/>
          </w:tcPr>
          <w:p w:rsidR="001F1776" w:rsidRPr="001F1776" w:rsidRDefault="001F1776" w:rsidP="001F1776">
            <w:pPr>
              <w:rPr>
                <w:lang w:val="sk-SK" w:eastAsia="sk-SK"/>
              </w:rPr>
            </w:pPr>
          </w:p>
        </w:tc>
        <w:tc>
          <w:tcPr>
            <w:tcW w:w="2418" w:type="dxa"/>
            <w:gridSpan w:val="2"/>
            <w:tcBorders>
              <w:top w:val="nil"/>
              <w:left w:val="nil"/>
              <w:bottom w:val="nil"/>
              <w:right w:val="nil"/>
            </w:tcBorders>
            <w:noWrap/>
            <w:vAlign w:val="bottom"/>
          </w:tcPr>
          <w:p w:rsidR="001F1776" w:rsidRPr="001F1776" w:rsidRDefault="001F1776" w:rsidP="001F1776">
            <w:pPr>
              <w:rPr>
                <w:lang w:val="sk-SK" w:eastAsia="sk-SK"/>
              </w:rPr>
            </w:pPr>
          </w:p>
        </w:tc>
        <w:tc>
          <w:tcPr>
            <w:tcW w:w="1722" w:type="dxa"/>
            <w:tcBorders>
              <w:top w:val="nil"/>
              <w:left w:val="nil"/>
              <w:bottom w:val="nil"/>
              <w:right w:val="nil"/>
            </w:tcBorders>
            <w:noWrap/>
            <w:vAlign w:val="bottom"/>
          </w:tcPr>
          <w:p w:rsidR="001F1776" w:rsidRPr="001F1776" w:rsidRDefault="001F1776" w:rsidP="001F1776">
            <w:pPr>
              <w:rPr>
                <w:lang w:val="sk-SK" w:eastAsia="sk-SK"/>
              </w:rPr>
            </w:pPr>
          </w:p>
        </w:tc>
        <w:tc>
          <w:tcPr>
            <w:tcW w:w="1620" w:type="dxa"/>
            <w:gridSpan w:val="2"/>
            <w:tcBorders>
              <w:top w:val="nil"/>
              <w:left w:val="nil"/>
              <w:bottom w:val="nil"/>
              <w:right w:val="nil"/>
            </w:tcBorders>
            <w:noWrap/>
            <w:vAlign w:val="bottom"/>
          </w:tcPr>
          <w:p w:rsidR="001F1776" w:rsidRPr="001F1776" w:rsidRDefault="001F1776" w:rsidP="001F1776">
            <w:pPr>
              <w:rPr>
                <w:lang w:val="sk-SK" w:eastAsia="sk-SK"/>
              </w:rPr>
            </w:pPr>
          </w:p>
        </w:tc>
      </w:tr>
      <w:tr w:rsidR="001F1776" w:rsidRPr="001F1776" w:rsidTr="001F1776">
        <w:trPr>
          <w:trHeight w:val="255"/>
        </w:trPr>
        <w:tc>
          <w:tcPr>
            <w:tcW w:w="13814" w:type="dxa"/>
            <w:gridSpan w:val="6"/>
            <w:tcBorders>
              <w:top w:val="nil"/>
              <w:left w:val="nil"/>
              <w:bottom w:val="nil"/>
              <w:right w:val="nil"/>
            </w:tcBorders>
            <w:noWrap/>
          </w:tcPr>
          <w:p w:rsidR="001F1776" w:rsidRPr="001F1776" w:rsidRDefault="001F1776" w:rsidP="001F1776">
            <w:pPr>
              <w:tabs>
                <w:tab w:val="num" w:pos="1080"/>
              </w:tabs>
              <w:jc w:val="both"/>
              <w:rPr>
                <w:bCs/>
                <w:szCs w:val="20"/>
                <w:lang w:val="sk-SK" w:eastAsia="sk-SK"/>
              </w:rPr>
            </w:pPr>
            <w:r w:rsidRPr="001F1776">
              <w:rPr>
                <w:bCs/>
                <w:szCs w:val="20"/>
                <w:lang w:val="sk-SK"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1F1776" w:rsidRPr="001F1776" w:rsidRDefault="001F1776" w:rsidP="001F1776">
            <w:pPr>
              <w:rPr>
                <w:lang w:val="sk-SK" w:eastAsia="sk-SK"/>
              </w:rPr>
            </w:pPr>
            <w:r w:rsidRPr="001F1776">
              <w:rPr>
                <w:lang w:val="sk-SK"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1F1776" w:rsidRPr="001F1776" w:rsidRDefault="001F1776" w:rsidP="001F1776">
            <w:pPr>
              <w:rPr>
                <w:lang w:val="sk-SK" w:eastAsia="sk-SK"/>
              </w:rPr>
            </w:pPr>
          </w:p>
        </w:tc>
      </w:tr>
      <w:tr w:rsidR="001F1776" w:rsidRPr="001F1776" w:rsidTr="001F1776">
        <w:trPr>
          <w:trHeight w:val="255"/>
        </w:trPr>
        <w:tc>
          <w:tcPr>
            <w:tcW w:w="10394" w:type="dxa"/>
            <w:gridSpan w:val="4"/>
            <w:tcBorders>
              <w:top w:val="nil"/>
              <w:left w:val="nil"/>
              <w:bottom w:val="nil"/>
              <w:right w:val="nil"/>
            </w:tcBorders>
            <w:noWrap/>
            <w:vAlign w:val="bottom"/>
          </w:tcPr>
          <w:p w:rsidR="001F1776" w:rsidRPr="001F1776" w:rsidRDefault="001F1776" w:rsidP="001F1776">
            <w:pPr>
              <w:rPr>
                <w:lang w:val="sk-SK" w:eastAsia="sk-SK"/>
              </w:rPr>
            </w:pPr>
            <w:r w:rsidRPr="001F1776">
              <w:rPr>
                <w:lang w:val="sk-SK"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1F1776" w:rsidRPr="001F1776" w:rsidRDefault="001F1776" w:rsidP="001F1776">
            <w:pPr>
              <w:rPr>
                <w:lang w:val="sk-SK" w:eastAsia="sk-SK"/>
              </w:rPr>
            </w:pPr>
          </w:p>
        </w:tc>
        <w:tc>
          <w:tcPr>
            <w:tcW w:w="2352" w:type="dxa"/>
            <w:gridSpan w:val="2"/>
            <w:tcBorders>
              <w:top w:val="nil"/>
              <w:left w:val="nil"/>
              <w:bottom w:val="nil"/>
              <w:right w:val="nil"/>
            </w:tcBorders>
            <w:noWrap/>
            <w:vAlign w:val="bottom"/>
          </w:tcPr>
          <w:p w:rsidR="001F1776" w:rsidRPr="001F1776" w:rsidRDefault="001F1776" w:rsidP="001F1776">
            <w:pPr>
              <w:rPr>
                <w:lang w:val="sk-SK" w:eastAsia="sk-SK"/>
              </w:rPr>
            </w:pPr>
          </w:p>
        </w:tc>
        <w:tc>
          <w:tcPr>
            <w:tcW w:w="990" w:type="dxa"/>
            <w:tcBorders>
              <w:top w:val="nil"/>
              <w:left w:val="nil"/>
              <w:bottom w:val="nil"/>
              <w:right w:val="nil"/>
            </w:tcBorders>
            <w:noWrap/>
            <w:vAlign w:val="bottom"/>
          </w:tcPr>
          <w:p w:rsidR="001F1776" w:rsidRPr="001F1776" w:rsidRDefault="001F1776" w:rsidP="001F1776">
            <w:pPr>
              <w:rPr>
                <w:lang w:val="sk-SK" w:eastAsia="sk-SK"/>
              </w:rPr>
            </w:pPr>
          </w:p>
        </w:tc>
      </w:tr>
    </w:tbl>
    <w:p w:rsidR="001F1776" w:rsidRPr="001F1776" w:rsidRDefault="001F1776" w:rsidP="001F1776">
      <w:pPr>
        <w:spacing w:after="200"/>
        <w:rPr>
          <w:rFonts w:ascii="Calibri" w:eastAsia="Calibri" w:hAnsi="Calibri"/>
          <w:lang w:val="sk-SK"/>
        </w:rPr>
      </w:pPr>
    </w:p>
    <w:p w:rsidR="001F1776" w:rsidRPr="001F1776" w:rsidRDefault="001F1776" w:rsidP="001F1776">
      <w:pPr>
        <w:rPr>
          <w:lang w:val="sk-SK"/>
        </w:rPr>
        <w:sectPr w:rsidR="001F1776" w:rsidRPr="001F1776" w:rsidSect="001F1776">
          <w:footerReference w:type="default" r:id="rId18"/>
          <w:pgSz w:w="16838" w:h="11906" w:orient="landscape"/>
          <w:pgMar w:top="1417" w:right="1417" w:bottom="1417" w:left="1417" w:header="708" w:footer="708" w:gutter="0"/>
          <w:cols w:space="708"/>
          <w:docGrid w:linePitch="360"/>
        </w:sect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1F1776" w:rsidRPr="001F1776" w:rsidTr="001F1776">
        <w:trPr>
          <w:trHeight w:val="534"/>
          <w:jc w:val="center"/>
        </w:trPr>
        <w:tc>
          <w:tcPr>
            <w:tcW w:w="5000" w:type="pct"/>
            <w:gridSpan w:val="3"/>
            <w:tcBorders>
              <w:bottom w:val="single" w:sz="4" w:space="0" w:color="auto"/>
            </w:tcBorders>
            <w:shd w:val="clear" w:color="auto" w:fill="808080" w:themeFill="background1" w:themeFillShade="80"/>
          </w:tcPr>
          <w:p w:rsidR="001F1776" w:rsidRPr="001F1776" w:rsidRDefault="001F1776" w:rsidP="001F1776">
            <w:pPr>
              <w:ind w:left="-284" w:firstLine="284"/>
              <w:jc w:val="center"/>
              <w:rPr>
                <w:rFonts w:eastAsia="Calibri"/>
                <w:b/>
                <w:lang w:val="sk-SK" w:eastAsia="sk-SK"/>
              </w:rPr>
            </w:pPr>
            <w:r w:rsidRPr="001F1776">
              <w:rPr>
                <w:rFonts w:eastAsia="Calibri"/>
                <w:b/>
                <w:sz w:val="28"/>
                <w:lang w:val="sk-SK" w:eastAsia="sk-SK"/>
              </w:rPr>
              <w:lastRenderedPageBreak/>
              <w:t>Analýza sociálnych vplyvov</w:t>
            </w:r>
          </w:p>
          <w:p w:rsidR="001F1776" w:rsidRPr="001F1776" w:rsidRDefault="001F1776" w:rsidP="001F1776">
            <w:pPr>
              <w:jc w:val="center"/>
              <w:rPr>
                <w:rFonts w:eastAsia="Calibri"/>
                <w:b/>
                <w:lang w:val="sk-SK" w:eastAsia="sk-SK"/>
              </w:rPr>
            </w:pPr>
            <w:r w:rsidRPr="001F1776">
              <w:rPr>
                <w:rFonts w:eastAsia="Calibri"/>
                <w:b/>
                <w:lang w:val="sk-SK" w:eastAsia="sk-SK"/>
              </w:rPr>
              <w:t>Vplyvy na hospodárenie domácností, prístup k zdrojom, právam, tovarom a službám, sociálnu inklúziu, rovnosť príležitostí a rovnosť žien a mužov a vplyvy na zamestnanosť</w:t>
            </w:r>
          </w:p>
          <w:p w:rsidR="001F1776" w:rsidRPr="001F1776" w:rsidRDefault="001F1776" w:rsidP="001F1776">
            <w:pPr>
              <w:jc w:val="both"/>
              <w:rPr>
                <w:rFonts w:eastAsia="Calibri"/>
                <w:b/>
                <w:lang w:val="sk-SK" w:eastAsia="sk-SK"/>
              </w:rPr>
            </w:pPr>
            <w:r w:rsidRPr="001F1776">
              <w:rPr>
                <w:rFonts w:eastAsia="Calibri"/>
                <w:b/>
                <w:sz w:val="18"/>
                <w:lang w:val="sk-SK" w:eastAsia="sk-SK"/>
              </w:rPr>
              <w:t>(</w:t>
            </w:r>
            <w:r w:rsidRPr="001F1776">
              <w:rPr>
                <w:rFonts w:eastAsia="Calibri"/>
                <w:sz w:val="18"/>
                <w:lang w:val="sk-SK" w:eastAsia="sk-SK"/>
              </w:rPr>
              <w:t>Ak v niektorej z hodnotených oblastí sociálnych vplyvov (bodov 4.1 až 4.4) nebol identifikovaný vplyv, uveďte v príslušnom riadku analýzy poznámku „Bez vplyvu.“.)</w:t>
            </w:r>
          </w:p>
        </w:tc>
      </w:tr>
      <w:tr w:rsidR="001F1776" w:rsidRPr="001F1776" w:rsidTr="001F1776">
        <w:trPr>
          <w:jc w:val="center"/>
        </w:trPr>
        <w:tc>
          <w:tcPr>
            <w:tcW w:w="5000" w:type="pct"/>
            <w:gridSpan w:val="3"/>
            <w:tcBorders>
              <w:bottom w:val="single" w:sz="4" w:space="0" w:color="auto"/>
            </w:tcBorders>
            <w:shd w:val="clear" w:color="auto" w:fill="A6A6A6" w:themeFill="background1" w:themeFillShade="A6"/>
          </w:tcPr>
          <w:p w:rsidR="001F1776" w:rsidRPr="001F1776" w:rsidRDefault="001F1776" w:rsidP="001F1776">
            <w:pPr>
              <w:rPr>
                <w:rFonts w:eastAsia="Calibri"/>
                <w:b/>
                <w:lang w:val="sk-SK" w:eastAsia="sk-SK"/>
              </w:rPr>
            </w:pPr>
            <w:r w:rsidRPr="001F1776">
              <w:rPr>
                <w:rFonts w:eastAsia="Calibri"/>
                <w:b/>
                <w:lang w:val="sk-SK" w:eastAsia="sk-SK"/>
              </w:rPr>
              <w:t>4.1 Identifikujte, popíšte a kvantifikujte vplyv na hospodárenie domácností a špecifikujte ovplyvnené skupiny domácností, ktoré budú pozitívne/negatívne ovplyvnené.</w:t>
            </w:r>
          </w:p>
        </w:tc>
      </w:tr>
      <w:tr w:rsidR="001F1776" w:rsidRPr="001F1776" w:rsidTr="001F1776">
        <w:trPr>
          <w:jc w:val="center"/>
        </w:trPr>
        <w:tc>
          <w:tcPr>
            <w:tcW w:w="5000" w:type="pct"/>
            <w:gridSpan w:val="3"/>
            <w:tcBorders>
              <w:bottom w:val="single" w:sz="4" w:space="0" w:color="auto"/>
            </w:tcBorders>
            <w:shd w:val="clear" w:color="auto" w:fill="F2F2F2"/>
          </w:tcPr>
          <w:p w:rsidR="001F1776" w:rsidRPr="001F1776" w:rsidRDefault="001F1776" w:rsidP="001F1776">
            <w:pPr>
              <w:rPr>
                <w:rFonts w:eastAsia="Calibri"/>
                <w:i/>
                <w:sz w:val="20"/>
                <w:lang w:val="sk-SK" w:eastAsia="sk-SK"/>
              </w:rPr>
            </w:pPr>
            <w:r w:rsidRPr="001F1776">
              <w:rPr>
                <w:rFonts w:eastAsia="Calibri"/>
                <w:i/>
                <w:sz w:val="20"/>
                <w:lang w:val="sk-SK" w:eastAsia="sk-SK"/>
              </w:rPr>
              <w:t xml:space="preserve">Vedie návrh k zvýšeniu alebo zníženiu príjmov alebo výdavkov domácností? </w:t>
            </w:r>
          </w:p>
          <w:p w:rsidR="001F1776" w:rsidRPr="001F1776" w:rsidRDefault="001F1776" w:rsidP="001F1776">
            <w:pPr>
              <w:rPr>
                <w:rFonts w:eastAsia="Calibri"/>
                <w:i/>
                <w:sz w:val="20"/>
                <w:lang w:val="sk-SK" w:eastAsia="sk-SK"/>
              </w:rPr>
            </w:pPr>
            <w:r w:rsidRPr="001F1776">
              <w:rPr>
                <w:rFonts w:eastAsia="Calibri"/>
                <w:i/>
                <w:sz w:val="20"/>
                <w:lang w:val="sk-SK" w:eastAsia="sk-SK"/>
              </w:rPr>
              <w:t xml:space="preserve">Ktoré skupiny domácností/obyvateľstva sú takto ovplyvnené a akým spôsobom? </w:t>
            </w:r>
          </w:p>
          <w:p w:rsidR="001F1776" w:rsidRPr="001F1776" w:rsidRDefault="001F1776" w:rsidP="001F1776">
            <w:pPr>
              <w:rPr>
                <w:rFonts w:eastAsia="Calibri"/>
                <w:i/>
                <w:sz w:val="20"/>
                <w:lang w:val="sk-SK" w:eastAsia="sk-SK"/>
              </w:rPr>
            </w:pPr>
            <w:r w:rsidRPr="001F1776">
              <w:rPr>
                <w:rFonts w:eastAsia="Calibri"/>
                <w:i/>
                <w:sz w:val="20"/>
                <w:lang w:val="sk-SK" w:eastAsia="sk-SK"/>
              </w:rPr>
              <w:t>Sú medzi potenciálne ovplyvnenými skupinami skupiny v riziku chudoby alebo sociálneho vylúčenia?</w:t>
            </w:r>
          </w:p>
          <w:p w:rsidR="001F1776" w:rsidRPr="001F1776" w:rsidRDefault="001F1776" w:rsidP="001F1776">
            <w:pPr>
              <w:rPr>
                <w:rFonts w:eastAsia="Calibri"/>
                <w:b/>
                <w:sz w:val="18"/>
                <w:lang w:val="sk-SK" w:eastAsia="sk-SK"/>
              </w:rPr>
            </w:pPr>
            <w:r w:rsidRPr="001F1776">
              <w:rPr>
                <w:rFonts w:eastAsia="Calibri"/>
                <w:b/>
                <w:sz w:val="18"/>
                <w:lang w:val="sk-SK" w:eastAsia="sk-SK"/>
              </w:rPr>
              <w:t>(V prípade vyššieho počtu hodnotených opatrení doplňte podľa potreby do tabuľky pred bod 4.2 ďalšie sekcie - 4.1.1 Pozitívny vplyv/4.1.2 Negatívny vplyv).</w:t>
            </w:r>
          </w:p>
        </w:tc>
      </w:tr>
      <w:tr w:rsidR="001F1776" w:rsidRPr="001F1776" w:rsidTr="001F1776">
        <w:trPr>
          <w:trHeight w:val="170"/>
          <w:jc w:val="center"/>
        </w:trPr>
        <w:tc>
          <w:tcPr>
            <w:tcW w:w="129" w:type="pct"/>
            <w:tcBorders>
              <w:top w:val="single" w:sz="4" w:space="0" w:color="auto"/>
              <w:bottom w:val="single" w:sz="4" w:space="0" w:color="auto"/>
            </w:tcBorders>
            <w:shd w:val="clear" w:color="auto" w:fill="DDDDDD"/>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a)</w:t>
            </w:r>
          </w:p>
        </w:tc>
        <w:tc>
          <w:tcPr>
            <w:tcW w:w="4871" w:type="pct"/>
            <w:gridSpan w:val="2"/>
            <w:tcBorders>
              <w:top w:val="single" w:sz="4" w:space="0" w:color="auto"/>
              <w:bottom w:val="single" w:sz="4" w:space="0" w:color="auto"/>
            </w:tcBorders>
            <w:shd w:val="clear" w:color="auto" w:fill="DDDDDD"/>
            <w:vAlign w:val="center"/>
          </w:tcPr>
          <w:p w:rsidR="001F1776" w:rsidRPr="001F1776" w:rsidRDefault="001F1776" w:rsidP="001F1776">
            <w:pPr>
              <w:jc w:val="center"/>
              <w:rPr>
                <w:rFonts w:eastAsia="Calibri"/>
                <w:b/>
                <w:sz w:val="20"/>
                <w:szCs w:val="20"/>
                <w:lang w:val="sk-SK" w:eastAsia="sk-SK"/>
              </w:rPr>
            </w:pPr>
            <w:r w:rsidRPr="001F1776">
              <w:rPr>
                <w:rFonts w:eastAsia="Calibri"/>
                <w:b/>
                <w:i/>
                <w:sz w:val="20"/>
                <w:szCs w:val="20"/>
                <w:lang w:val="sk-SK" w:eastAsia="sk-SK"/>
              </w:rPr>
              <w:t>4.1.1 Pozitívny vplyv</w:t>
            </w:r>
          </w:p>
        </w:tc>
      </w:tr>
      <w:tr w:rsidR="001F1776" w:rsidRPr="001F1776" w:rsidTr="001F1776">
        <w:trPr>
          <w:trHeight w:val="759"/>
          <w:jc w:val="center"/>
        </w:trPr>
        <w:tc>
          <w:tcPr>
            <w:tcW w:w="129" w:type="pct"/>
            <w:tcBorders>
              <w:top w:val="single" w:sz="4" w:space="0" w:color="auto"/>
              <w:bottom w:val="single" w:sz="4" w:space="0" w:color="auto"/>
            </w:tcBorders>
            <w:shd w:val="clear" w:color="auto" w:fill="auto"/>
            <w:vAlign w:val="center"/>
          </w:tcPr>
          <w:p w:rsidR="001F1776" w:rsidRPr="001F1776" w:rsidRDefault="001F1776" w:rsidP="001F1776">
            <w:pPr>
              <w:contextualSpacing/>
              <w:jc w:val="center"/>
              <w:rPr>
                <w:rFonts w:eastAsia="Calibri"/>
                <w:i/>
                <w:sz w:val="18"/>
                <w:szCs w:val="18"/>
                <w:lang w:val="sk-SK" w:eastAsia="sk-SK"/>
              </w:rPr>
            </w:pPr>
            <w:r w:rsidRPr="001F1776">
              <w:rPr>
                <w:rFonts w:eastAsia="Calibri"/>
                <w:i/>
                <w:sz w:val="18"/>
                <w:szCs w:val="18"/>
                <w:lang w:val="sk-SK" w:eastAsia="sk-SK"/>
              </w:rPr>
              <w:t>b)</w:t>
            </w:r>
          </w:p>
        </w:tc>
        <w:tc>
          <w:tcPr>
            <w:tcW w:w="1642" w:type="pct"/>
            <w:tcBorders>
              <w:top w:val="single" w:sz="4" w:space="0" w:color="auto"/>
              <w:bottom w:val="single" w:sz="4" w:space="0" w:color="auto"/>
            </w:tcBorders>
            <w:shd w:val="clear" w:color="auto" w:fill="auto"/>
            <w:vAlign w:val="center"/>
          </w:tcPr>
          <w:p w:rsidR="001F1776" w:rsidRPr="001F1776" w:rsidRDefault="001F1776" w:rsidP="001F1776">
            <w:pPr>
              <w:jc w:val="both"/>
              <w:rPr>
                <w:rFonts w:eastAsia="Calibri"/>
                <w:i/>
                <w:sz w:val="20"/>
                <w:szCs w:val="20"/>
                <w:lang w:val="sk-SK" w:eastAsia="sk-SK"/>
              </w:rPr>
            </w:pPr>
            <w:r w:rsidRPr="001F1776">
              <w:rPr>
                <w:rFonts w:eastAsia="Calibri"/>
                <w:b/>
                <w:i/>
                <w:sz w:val="20"/>
                <w:szCs w:val="20"/>
                <w:lang w:val="sk-SK" w:eastAsia="sk-SK"/>
              </w:rPr>
              <w:t xml:space="preserve">Popíšte </w:t>
            </w:r>
            <w:r w:rsidRPr="001F1776">
              <w:rPr>
                <w:rFonts w:eastAsia="Calibri"/>
                <w:i/>
                <w:sz w:val="20"/>
                <w:szCs w:val="20"/>
                <w:lang w:val="sk-SK"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1F1776" w:rsidRPr="001F1776" w:rsidRDefault="001F1776" w:rsidP="001F1776">
            <w:pPr>
              <w:contextualSpacing/>
              <w:jc w:val="both"/>
              <w:rPr>
                <w:rFonts w:eastAsia="Calibri"/>
                <w:i/>
                <w:sz w:val="20"/>
                <w:szCs w:val="20"/>
                <w:lang w:val="sk-SK" w:eastAsia="sk-SK"/>
              </w:rPr>
            </w:pPr>
            <w:r w:rsidRPr="001F1776">
              <w:rPr>
                <w:rFonts w:eastAsia="Calibri"/>
                <w:i/>
                <w:sz w:val="20"/>
                <w:szCs w:val="20"/>
                <w:lang w:val="sk-SK" w:eastAsia="sk-SK"/>
              </w:rPr>
              <w:t xml:space="preserve">Uvedený návrh bude mať pozitívny dopad na ovplyvnené skupiny, tým, že dôjde k  zavedeniu jednorazového príspevku v rovnakej výške ako pre azylantov aj pre cudzincov, ktorým sa poskytla doplnková ochrana a tiež zavedením integračného príspevku pre obe spomínané ovplyvnené skupiny. Pozitívny vplyv na žiadateľov o udelenie azylu bude mať skrátenie lehoty vstupu na pracovný trh na 6 mesiacov od začatia konania. </w:t>
            </w:r>
          </w:p>
        </w:tc>
      </w:tr>
      <w:tr w:rsidR="001F1776" w:rsidRPr="001F1776" w:rsidTr="001F1776">
        <w:trPr>
          <w:trHeight w:val="397"/>
          <w:jc w:val="center"/>
        </w:trPr>
        <w:tc>
          <w:tcPr>
            <w:tcW w:w="129" w:type="pct"/>
            <w:vMerge w:val="restart"/>
            <w:tcBorders>
              <w:top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c)</w:t>
            </w:r>
          </w:p>
        </w:tc>
        <w:tc>
          <w:tcPr>
            <w:tcW w:w="1642" w:type="pct"/>
            <w:tcBorders>
              <w:top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 xml:space="preserve">Špecifikujte </w:t>
            </w:r>
            <w:r w:rsidRPr="001F1776">
              <w:rPr>
                <w:rFonts w:eastAsia="Calibri"/>
                <w:i/>
                <w:sz w:val="20"/>
                <w:szCs w:val="20"/>
                <w:lang w:val="sk-SK" w:eastAsia="sk-SK"/>
              </w:rPr>
              <w:t>ovplyvnené skupiny:</w:t>
            </w:r>
          </w:p>
        </w:tc>
        <w:tc>
          <w:tcPr>
            <w:tcW w:w="3229" w:type="pct"/>
            <w:tcBorders>
              <w:top w:val="single" w:sz="4" w:space="0" w:color="auto"/>
            </w:tcBorders>
            <w:shd w:val="clear" w:color="auto" w:fill="auto"/>
          </w:tcPr>
          <w:p w:rsidR="001F1776" w:rsidRPr="001F1776" w:rsidRDefault="001F1776" w:rsidP="001F1776">
            <w:pPr>
              <w:jc w:val="both"/>
              <w:rPr>
                <w:rFonts w:eastAsia="Calibri"/>
                <w:i/>
                <w:sz w:val="18"/>
                <w:szCs w:val="20"/>
                <w:lang w:val="sk-SK" w:eastAsia="sk-SK"/>
              </w:rPr>
            </w:pPr>
            <w:r w:rsidRPr="001F1776">
              <w:rPr>
                <w:rFonts w:eastAsia="Calibri"/>
                <w:i/>
                <w:sz w:val="18"/>
                <w:szCs w:val="20"/>
                <w:lang w:val="sk-SK" w:eastAsia="sk-SK"/>
              </w:rPr>
              <w:t>Ovplyvnená skupina č. 1 azylanti</w:t>
            </w:r>
          </w:p>
        </w:tc>
      </w:tr>
      <w:tr w:rsidR="001F1776" w:rsidRPr="001F1776" w:rsidTr="001F1776">
        <w:trPr>
          <w:trHeight w:val="397"/>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r w:rsidRPr="001F1776">
              <w:rPr>
                <w:rFonts w:eastAsia="Calibri"/>
                <w:i/>
                <w:sz w:val="18"/>
                <w:szCs w:val="20"/>
                <w:lang w:val="sk-SK" w:eastAsia="sk-SK"/>
              </w:rPr>
              <w:t xml:space="preserve">Ovplyvnená skupina </w:t>
            </w:r>
          </w:p>
        </w:tc>
        <w:tc>
          <w:tcPr>
            <w:tcW w:w="3229" w:type="pct"/>
            <w:tcBorders>
              <w:top w:val="dotted" w:sz="4" w:space="0" w:color="auto"/>
            </w:tcBorders>
            <w:shd w:val="clear" w:color="auto" w:fill="auto"/>
          </w:tcPr>
          <w:p w:rsidR="001F1776" w:rsidRPr="001F1776" w:rsidRDefault="001F1776" w:rsidP="001F1776">
            <w:pPr>
              <w:jc w:val="both"/>
              <w:rPr>
                <w:rFonts w:eastAsia="Calibri"/>
                <w:sz w:val="18"/>
                <w:szCs w:val="20"/>
                <w:lang w:val="sk-SK" w:eastAsia="sk-SK"/>
              </w:rPr>
            </w:pPr>
            <w:r w:rsidRPr="001F1776">
              <w:rPr>
                <w:rFonts w:eastAsia="Calibri"/>
                <w:i/>
                <w:sz w:val="18"/>
                <w:szCs w:val="20"/>
                <w:lang w:val="sk-SK" w:eastAsia="sk-SK"/>
              </w:rPr>
              <w:t>Ovplyvnená skupina č. 2 cudzinci, ktorým sa poskytla doplnková ochrana</w:t>
            </w:r>
          </w:p>
        </w:tc>
      </w:tr>
      <w:tr w:rsidR="001F1776" w:rsidRPr="001F1776" w:rsidTr="001F1776">
        <w:trPr>
          <w:trHeight w:val="397"/>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18"/>
                <w:szCs w:val="20"/>
                <w:lang w:val="sk-SK" w:eastAsia="sk-SK"/>
              </w:rPr>
            </w:pPr>
          </w:p>
        </w:tc>
        <w:tc>
          <w:tcPr>
            <w:tcW w:w="3229" w:type="pct"/>
            <w:tcBorders>
              <w:top w:val="dotted" w:sz="4" w:space="0" w:color="auto"/>
            </w:tcBorders>
            <w:shd w:val="clear" w:color="auto" w:fill="auto"/>
          </w:tcPr>
          <w:p w:rsidR="001F1776" w:rsidRPr="001F1776" w:rsidRDefault="001F1776" w:rsidP="001F1776">
            <w:pPr>
              <w:jc w:val="both"/>
              <w:rPr>
                <w:rFonts w:eastAsia="Calibri"/>
                <w:i/>
                <w:sz w:val="18"/>
                <w:szCs w:val="20"/>
                <w:lang w:val="sk-SK" w:eastAsia="sk-SK"/>
              </w:rPr>
            </w:pPr>
            <w:r w:rsidRPr="001F1776">
              <w:rPr>
                <w:rFonts w:eastAsia="Calibri"/>
                <w:i/>
                <w:sz w:val="18"/>
                <w:szCs w:val="20"/>
                <w:lang w:val="sk-SK" w:eastAsia="sk-SK"/>
              </w:rPr>
              <w:t>Ovplyvnená skupina č. 3 žiadatelia o udelenie azylu</w:t>
            </w:r>
          </w:p>
        </w:tc>
      </w:tr>
      <w:tr w:rsidR="001F1776" w:rsidRPr="001F1776" w:rsidTr="001F1776">
        <w:trPr>
          <w:trHeight w:val="454"/>
          <w:jc w:val="center"/>
        </w:trPr>
        <w:tc>
          <w:tcPr>
            <w:tcW w:w="129" w:type="pct"/>
            <w:tcBorders>
              <w:top w:val="dotted" w:sz="4" w:space="0" w:color="auto"/>
            </w:tcBorders>
            <w:shd w:val="clear" w:color="auto" w:fill="F2F2F2"/>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d)</w:t>
            </w:r>
          </w:p>
        </w:tc>
        <w:tc>
          <w:tcPr>
            <w:tcW w:w="4871" w:type="pct"/>
            <w:gridSpan w:val="2"/>
            <w:tcBorders>
              <w:top w:val="dotted" w:sz="4" w:space="0" w:color="auto"/>
            </w:tcBorders>
            <w:shd w:val="clear" w:color="auto" w:fill="F2F2F2"/>
            <w:vAlign w:val="center"/>
          </w:tcPr>
          <w:p w:rsidR="001F1776" w:rsidRPr="001F1776" w:rsidRDefault="001F1776" w:rsidP="001F1776">
            <w:pPr>
              <w:rPr>
                <w:rFonts w:eastAsia="Calibri"/>
                <w:sz w:val="20"/>
                <w:szCs w:val="20"/>
                <w:lang w:val="sk-SK" w:eastAsia="sk-SK"/>
              </w:rPr>
            </w:pPr>
            <w:r w:rsidRPr="001F1776">
              <w:rPr>
                <w:rFonts w:eastAsia="Calibri"/>
                <w:b/>
                <w:i/>
                <w:sz w:val="20"/>
                <w:szCs w:val="20"/>
                <w:lang w:val="sk-SK" w:eastAsia="sk-SK"/>
              </w:rPr>
              <w:t>Kvantifikujte</w:t>
            </w:r>
            <w:r w:rsidRPr="001F1776">
              <w:rPr>
                <w:rFonts w:eastAsia="Calibri"/>
                <w:i/>
                <w:sz w:val="20"/>
                <w:szCs w:val="20"/>
                <w:lang w:val="sk-SK" w:eastAsia="sk-SK"/>
              </w:rPr>
              <w:t xml:space="preserve"> rast príjmov alebo pokles výdavkov </w:t>
            </w:r>
            <w:r w:rsidRPr="001F1776">
              <w:rPr>
                <w:rFonts w:eastAsia="Calibri"/>
                <w:b/>
                <w:i/>
                <w:sz w:val="20"/>
                <w:szCs w:val="20"/>
                <w:lang w:val="sk-SK" w:eastAsia="sk-SK"/>
              </w:rPr>
              <w:t>za jednotlivé</w:t>
            </w:r>
            <w:r w:rsidRPr="001F1776">
              <w:rPr>
                <w:rFonts w:eastAsia="Calibri"/>
                <w:i/>
                <w:sz w:val="20"/>
                <w:szCs w:val="20"/>
                <w:lang w:val="sk-SK" w:eastAsia="sk-SK"/>
              </w:rPr>
              <w:t xml:space="preserve"> </w:t>
            </w:r>
            <w:r w:rsidRPr="001F1776">
              <w:rPr>
                <w:rFonts w:eastAsia="Calibri"/>
                <w:b/>
                <w:i/>
                <w:sz w:val="20"/>
                <w:szCs w:val="20"/>
                <w:lang w:val="sk-SK" w:eastAsia="sk-SK"/>
              </w:rPr>
              <w:t>ovplyvnené</w:t>
            </w:r>
            <w:r w:rsidRPr="001F1776">
              <w:rPr>
                <w:rFonts w:eastAsia="Calibri"/>
                <w:i/>
                <w:sz w:val="20"/>
                <w:szCs w:val="20"/>
                <w:lang w:val="sk-SK" w:eastAsia="sk-SK"/>
              </w:rPr>
              <w:t xml:space="preserve"> </w:t>
            </w:r>
            <w:r w:rsidRPr="001F1776">
              <w:rPr>
                <w:rFonts w:eastAsia="Calibri"/>
                <w:b/>
                <w:i/>
                <w:sz w:val="20"/>
                <w:szCs w:val="20"/>
                <w:lang w:val="sk-SK" w:eastAsia="sk-SK"/>
              </w:rPr>
              <w:t>skupiny</w:t>
            </w:r>
            <w:r w:rsidRPr="001F1776">
              <w:rPr>
                <w:rFonts w:eastAsia="Calibri"/>
                <w:i/>
                <w:sz w:val="20"/>
                <w:szCs w:val="20"/>
                <w:lang w:val="sk-SK" w:eastAsia="sk-SK"/>
              </w:rPr>
              <w:t xml:space="preserve"> domácností / skupiny jednotlivcov a počet obyvateľstva/domácností ovplyvnených predkladaným návrhom.</w:t>
            </w:r>
          </w:p>
        </w:tc>
      </w:tr>
      <w:tr w:rsidR="001F1776" w:rsidRPr="001F1776" w:rsidTr="001F1776">
        <w:trPr>
          <w:trHeight w:val="680"/>
          <w:jc w:val="center"/>
        </w:trPr>
        <w:tc>
          <w:tcPr>
            <w:tcW w:w="129" w:type="pct"/>
            <w:vMerge w:val="restar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e)</w:t>
            </w:r>
          </w:p>
        </w:tc>
        <w:tc>
          <w:tcPr>
            <w:tcW w:w="1642" w:type="pct"/>
            <w:tcBorders>
              <w:top w:val="dotted" w:sz="4" w:space="0" w:color="auto"/>
            </w:tcBorders>
            <w:shd w:val="clear" w:color="auto" w:fill="auto"/>
          </w:tcPr>
          <w:p w:rsidR="001F1776" w:rsidRPr="001F1776" w:rsidRDefault="001F1776" w:rsidP="001F1776">
            <w:pPr>
              <w:numPr>
                <w:ilvl w:val="0"/>
                <w:numId w:val="8"/>
              </w:numPr>
              <w:contextualSpacing/>
              <w:jc w:val="both"/>
              <w:rPr>
                <w:rFonts w:eastAsia="Calibri"/>
                <w:i/>
                <w:sz w:val="18"/>
                <w:szCs w:val="20"/>
                <w:lang w:val="sk-SK" w:eastAsia="sk-SK"/>
              </w:rPr>
            </w:pPr>
            <w:r w:rsidRPr="001F1776">
              <w:rPr>
                <w:rFonts w:eastAsia="Calibri"/>
                <w:i/>
                <w:sz w:val="18"/>
                <w:szCs w:val="20"/>
                <w:lang w:val="sk-SK" w:eastAsia="sk-SK"/>
              </w:rPr>
              <w:t>priemerný rast príjmov/ pokles výdavkov v skupine v eurách a/alebo v % / obdobie:</w:t>
            </w:r>
          </w:p>
          <w:p w:rsidR="001F1776" w:rsidRPr="001F1776" w:rsidRDefault="001F1776" w:rsidP="001F1776">
            <w:pPr>
              <w:numPr>
                <w:ilvl w:val="0"/>
                <w:numId w:val="8"/>
              </w:numPr>
              <w:contextualSpacing/>
              <w:jc w:val="both"/>
              <w:rPr>
                <w:rFonts w:eastAsia="Calibri"/>
                <w:i/>
                <w:sz w:val="20"/>
                <w:szCs w:val="20"/>
                <w:lang w:val="sk-SK" w:eastAsia="sk-SK"/>
              </w:rPr>
            </w:pPr>
            <w:r w:rsidRPr="001F1776">
              <w:rPr>
                <w:rFonts w:eastAsia="Calibri"/>
                <w:i/>
                <w:sz w:val="18"/>
                <w:szCs w:val="20"/>
                <w:lang w:val="sk-SK" w:eastAsia="sk-SK"/>
              </w:rPr>
              <w:t>veľkosť skupiny (počet obyvateľov):</w:t>
            </w:r>
          </w:p>
        </w:tc>
        <w:tc>
          <w:tcPr>
            <w:tcW w:w="3229" w:type="pct"/>
            <w:tcBorders>
              <w:top w:val="dotted" w:sz="4" w:space="0" w:color="auto"/>
            </w:tcBorders>
            <w:shd w:val="clear" w:color="auto" w:fill="auto"/>
          </w:tcPr>
          <w:p w:rsidR="001F1776" w:rsidRPr="001F1776" w:rsidRDefault="001F1776" w:rsidP="001F1776">
            <w:pPr>
              <w:jc w:val="both"/>
              <w:rPr>
                <w:rFonts w:eastAsia="Calibri"/>
                <w:sz w:val="18"/>
                <w:szCs w:val="20"/>
                <w:lang w:val="sk-SK" w:eastAsia="sk-SK"/>
              </w:rPr>
            </w:pPr>
            <w:r w:rsidRPr="001F1776">
              <w:rPr>
                <w:rFonts w:eastAsia="Calibri"/>
                <w:i/>
                <w:sz w:val="18"/>
                <w:szCs w:val="20"/>
                <w:lang w:val="sk-SK" w:eastAsia="sk-SK"/>
              </w:rPr>
              <w:t>Ovplyvnená skupina č. 1 azylanti –pri integračnom príspevku ide nárast v sume 401,38 eur počas obdobia 6 mesiacov v roku 2022</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r w:rsidRPr="001F1776">
              <w:rPr>
                <w:rFonts w:eastAsia="Calibri"/>
                <w:i/>
                <w:sz w:val="18"/>
                <w:szCs w:val="20"/>
                <w:lang w:val="sk-SK" w:eastAsia="sk-SK"/>
              </w:rPr>
              <w:t xml:space="preserve">Ovplyvnená skupina </w:t>
            </w:r>
          </w:p>
        </w:tc>
        <w:tc>
          <w:tcPr>
            <w:tcW w:w="3229" w:type="pct"/>
            <w:tcBorders>
              <w:top w:val="dotted" w:sz="4" w:space="0" w:color="auto"/>
            </w:tcBorders>
            <w:shd w:val="clear" w:color="auto" w:fill="auto"/>
          </w:tcPr>
          <w:p w:rsidR="001F1776" w:rsidRPr="001F1776" w:rsidRDefault="001F1776" w:rsidP="001F1776">
            <w:pPr>
              <w:jc w:val="both"/>
              <w:rPr>
                <w:rFonts w:eastAsia="Calibri"/>
                <w:sz w:val="18"/>
                <w:szCs w:val="20"/>
                <w:lang w:val="sk-SK" w:eastAsia="sk-SK"/>
              </w:rPr>
            </w:pPr>
            <w:r w:rsidRPr="001F1776">
              <w:rPr>
                <w:rFonts w:eastAsia="Calibri"/>
                <w:i/>
                <w:sz w:val="18"/>
                <w:szCs w:val="20"/>
                <w:lang w:val="sk-SK" w:eastAsia="sk-SK"/>
              </w:rPr>
              <w:t>Ovplyvnená skupina č. 2 cudzinci, ktorým sa poskytla doplnková ochrana – v prípade jednorazového príspevku ide o sumu 344,04 eur a pri integračnom príspevku ide o sumu 401,38 eur počas obdobia 6 mesiacov v roku 2022.</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18"/>
                <w:szCs w:val="20"/>
                <w:lang w:val="sk-SK" w:eastAsia="sk-SK"/>
              </w:rPr>
            </w:pPr>
          </w:p>
        </w:tc>
        <w:tc>
          <w:tcPr>
            <w:tcW w:w="3229" w:type="pct"/>
            <w:tcBorders>
              <w:top w:val="dotted" w:sz="4" w:space="0" w:color="auto"/>
            </w:tcBorders>
            <w:shd w:val="clear" w:color="auto" w:fill="auto"/>
          </w:tcPr>
          <w:p w:rsidR="001F1776" w:rsidRPr="001F1776" w:rsidRDefault="001F1776" w:rsidP="001F1776">
            <w:pPr>
              <w:jc w:val="both"/>
              <w:rPr>
                <w:rFonts w:eastAsia="Calibri"/>
                <w:i/>
                <w:sz w:val="18"/>
                <w:szCs w:val="20"/>
                <w:lang w:val="sk-SK" w:eastAsia="sk-SK"/>
              </w:rPr>
            </w:pPr>
            <w:r w:rsidRPr="001F1776">
              <w:rPr>
                <w:rFonts w:eastAsia="Calibri"/>
                <w:i/>
                <w:sz w:val="18"/>
                <w:szCs w:val="20"/>
                <w:lang w:val="sk-SK" w:eastAsia="sk-SK"/>
              </w:rPr>
              <w:t>Ovplyvnená skupina č. 3 žiadatelia o udelenie azylu budú mať  skrátenú lehotu na vstup na trh práce z 9 na 6 mesiacov od začatia konania o udelenie azylu.</w:t>
            </w:r>
          </w:p>
        </w:tc>
      </w:tr>
      <w:tr w:rsidR="001F1776" w:rsidRPr="001F1776" w:rsidTr="001F1776">
        <w:trPr>
          <w:trHeight w:val="397"/>
          <w:jc w:val="center"/>
        </w:trPr>
        <w:tc>
          <w:tcPr>
            <w:tcW w:w="129" w:type="pc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f)</w:t>
            </w:r>
          </w:p>
        </w:tc>
        <w:tc>
          <w:tcPr>
            <w:tcW w:w="1642" w:type="pct"/>
            <w:tcBorders>
              <w:top w:val="dotted"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i/>
                <w:sz w:val="20"/>
                <w:szCs w:val="20"/>
                <w:lang w:val="sk-SK" w:eastAsia="sk-SK"/>
              </w:rPr>
              <w:t>Dôvod chýbajúcej kvantifikácie:</w:t>
            </w: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sz w:val="20"/>
                <w:szCs w:val="20"/>
                <w:lang w:val="sk-SK" w:eastAsia="sk-SK"/>
              </w:rPr>
              <w:t xml:space="preserve"> – </w:t>
            </w:r>
          </w:p>
        </w:tc>
      </w:tr>
      <w:tr w:rsidR="001F1776" w:rsidRPr="001F1776" w:rsidTr="001F1776">
        <w:trPr>
          <w:trHeight w:val="170"/>
          <w:jc w:val="center"/>
        </w:trPr>
        <w:tc>
          <w:tcPr>
            <w:tcW w:w="129" w:type="pct"/>
            <w:tcBorders>
              <w:top w:val="nil"/>
              <w:bottom w:val="single" w:sz="4" w:space="0" w:color="auto"/>
            </w:tcBorders>
            <w:shd w:val="clear" w:color="auto" w:fill="F2F2F2"/>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g)</w:t>
            </w:r>
          </w:p>
        </w:tc>
        <w:tc>
          <w:tcPr>
            <w:tcW w:w="4871" w:type="pct"/>
            <w:gridSpan w:val="2"/>
            <w:tcBorders>
              <w:top w:val="nil"/>
              <w:bottom w:val="single" w:sz="4" w:space="0" w:color="auto"/>
            </w:tcBorders>
            <w:shd w:val="clear" w:color="auto" w:fill="F2F2F2"/>
            <w:vAlign w:val="center"/>
          </w:tcPr>
          <w:p w:rsidR="001F1776" w:rsidRPr="001F1776" w:rsidRDefault="001F1776" w:rsidP="001F1776">
            <w:pPr>
              <w:rPr>
                <w:rFonts w:eastAsia="Calibri"/>
                <w:b/>
                <w:i/>
                <w:sz w:val="20"/>
                <w:szCs w:val="20"/>
                <w:lang w:val="sk-SK" w:eastAsia="sk-SK"/>
              </w:rPr>
            </w:pPr>
            <w:r w:rsidRPr="001F1776">
              <w:rPr>
                <w:rFonts w:eastAsia="Calibri"/>
                <w:b/>
                <w:i/>
                <w:sz w:val="20"/>
                <w:szCs w:val="20"/>
                <w:lang w:val="sk-SK" w:eastAsia="sk-SK"/>
              </w:rPr>
              <w:t>4.1.1.1</w:t>
            </w:r>
            <w:r w:rsidRPr="001F1776">
              <w:rPr>
                <w:rFonts w:eastAsia="Calibri"/>
                <w:i/>
                <w:sz w:val="20"/>
                <w:szCs w:val="20"/>
                <w:lang w:val="sk-SK" w:eastAsia="sk-SK"/>
              </w:rPr>
              <w:t xml:space="preserve"> </w:t>
            </w:r>
            <w:r w:rsidRPr="001F1776">
              <w:rPr>
                <w:rFonts w:eastAsia="Calibri"/>
                <w:b/>
                <w:i/>
                <w:sz w:val="20"/>
                <w:szCs w:val="20"/>
                <w:lang w:val="sk-SK" w:eastAsia="sk-SK"/>
              </w:rPr>
              <w:t>Z toho pozitívny vplyv na skupiny v riziku chudoby alebo sociálneho vylúčenia</w:t>
            </w:r>
          </w:p>
          <w:p w:rsidR="001F1776" w:rsidRPr="001F1776" w:rsidRDefault="001F1776" w:rsidP="001F1776">
            <w:pPr>
              <w:rPr>
                <w:rFonts w:eastAsia="Calibri"/>
                <w:b/>
                <w:sz w:val="20"/>
                <w:szCs w:val="20"/>
                <w:lang w:val="sk-SK" w:eastAsia="sk-SK"/>
              </w:rPr>
            </w:pPr>
            <w:r w:rsidRPr="001F1776">
              <w:rPr>
                <w:rFonts w:eastAsia="Calibri"/>
                <w:i/>
                <w:sz w:val="18"/>
                <w:szCs w:val="20"/>
                <w:lang w:val="sk-SK"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1F1776" w:rsidRPr="001F1776" w:rsidTr="001F1776">
        <w:trPr>
          <w:trHeight w:val="759"/>
          <w:jc w:val="center"/>
        </w:trPr>
        <w:tc>
          <w:tcPr>
            <w:tcW w:w="129" w:type="pct"/>
            <w:tcBorders>
              <w:top w:val="single" w:sz="4" w:space="0" w:color="auto"/>
              <w:bottom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h)</w:t>
            </w:r>
          </w:p>
        </w:tc>
        <w:tc>
          <w:tcPr>
            <w:tcW w:w="1642" w:type="pct"/>
            <w:tcBorders>
              <w:top w:val="single" w:sz="4" w:space="0" w:color="auto"/>
              <w:bottom w:val="single" w:sz="4" w:space="0" w:color="auto"/>
            </w:tcBorders>
            <w:shd w:val="clear" w:color="auto" w:fill="auto"/>
          </w:tcPr>
          <w:p w:rsidR="001F1776" w:rsidRPr="001F1776" w:rsidRDefault="001F1776" w:rsidP="001F1776">
            <w:pPr>
              <w:jc w:val="both"/>
              <w:rPr>
                <w:rFonts w:eastAsia="Calibri"/>
                <w:i/>
                <w:sz w:val="20"/>
                <w:szCs w:val="20"/>
                <w:lang w:val="sk-SK" w:eastAsia="sk-SK"/>
              </w:rPr>
            </w:pPr>
            <w:r w:rsidRPr="001F1776">
              <w:rPr>
                <w:rFonts w:eastAsia="Calibri"/>
                <w:b/>
                <w:i/>
                <w:sz w:val="20"/>
                <w:szCs w:val="20"/>
                <w:lang w:val="sk-SK" w:eastAsia="sk-SK"/>
              </w:rPr>
              <w:t xml:space="preserve">Popíšte </w:t>
            </w:r>
            <w:r w:rsidRPr="001F1776">
              <w:rPr>
                <w:rFonts w:eastAsia="Calibri"/>
                <w:i/>
                <w:sz w:val="20"/>
                <w:szCs w:val="20"/>
                <w:lang w:val="sk-SK"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1F1776" w:rsidRPr="001F1776" w:rsidRDefault="001F1776" w:rsidP="001F1776">
            <w:pPr>
              <w:jc w:val="both"/>
              <w:rPr>
                <w:rFonts w:eastAsia="Calibri"/>
                <w:i/>
                <w:sz w:val="20"/>
                <w:szCs w:val="20"/>
                <w:lang w:val="sk-SK" w:eastAsia="sk-SK"/>
              </w:rPr>
            </w:pPr>
            <w:r w:rsidRPr="001F1776">
              <w:rPr>
                <w:rFonts w:eastAsia="Calibri"/>
                <w:i/>
                <w:sz w:val="20"/>
                <w:szCs w:val="20"/>
                <w:lang w:val="sk-SK" w:eastAsia="sk-SK"/>
              </w:rPr>
              <w:t>Všetky ovplyvnené skupiny patria medzi zraniteľné skupiny, ktoré môžu byť ohrozené rizikom chudoby a/alebo sociálneho vylúčenia, preto budú mať navrhované opatrenia pozitívny vplyv.</w:t>
            </w:r>
          </w:p>
        </w:tc>
      </w:tr>
      <w:tr w:rsidR="001F1776" w:rsidRPr="001F1776" w:rsidTr="001F1776">
        <w:trPr>
          <w:trHeight w:val="535"/>
          <w:jc w:val="center"/>
        </w:trPr>
        <w:tc>
          <w:tcPr>
            <w:tcW w:w="129" w:type="pct"/>
            <w:vMerge w:val="restart"/>
            <w:tcBorders>
              <w:top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i)</w:t>
            </w:r>
          </w:p>
        </w:tc>
        <w:tc>
          <w:tcPr>
            <w:tcW w:w="1642" w:type="pct"/>
            <w:tcBorders>
              <w:top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 xml:space="preserve">Špecifikujte </w:t>
            </w:r>
            <w:r w:rsidRPr="001F1776">
              <w:rPr>
                <w:rFonts w:eastAsia="Calibri"/>
                <w:i/>
                <w:sz w:val="20"/>
                <w:szCs w:val="20"/>
                <w:lang w:val="sk-SK" w:eastAsia="sk-SK"/>
              </w:rPr>
              <w:t>ovplyvnené skupiny:</w:t>
            </w:r>
          </w:p>
        </w:tc>
        <w:tc>
          <w:tcPr>
            <w:tcW w:w="3229" w:type="pct"/>
            <w:tcBorders>
              <w:top w:val="single" w:sz="4" w:space="0" w:color="auto"/>
            </w:tcBorders>
            <w:shd w:val="clear" w:color="auto" w:fill="auto"/>
          </w:tcPr>
          <w:p w:rsidR="001F1776" w:rsidRPr="001F1776" w:rsidRDefault="001F1776" w:rsidP="001F1776">
            <w:pPr>
              <w:jc w:val="both"/>
              <w:rPr>
                <w:rFonts w:eastAsia="Calibri"/>
                <w:i/>
                <w:sz w:val="18"/>
                <w:szCs w:val="20"/>
                <w:lang w:val="sk-SK" w:eastAsia="sk-SK"/>
              </w:rPr>
            </w:pPr>
            <w:r w:rsidRPr="001F1776">
              <w:rPr>
                <w:rFonts w:eastAsia="Calibri"/>
                <w:i/>
                <w:sz w:val="20"/>
                <w:szCs w:val="20"/>
                <w:lang w:val="sk-SK" w:eastAsia="sk-SK"/>
              </w:rPr>
              <w:t>Ovplyvnená skupina č. 1, Ovplyvnená skupina č. 2, Ovplyvnená skupina č. 3</w:t>
            </w:r>
          </w:p>
        </w:tc>
      </w:tr>
      <w:tr w:rsidR="001F1776" w:rsidRPr="001F1776" w:rsidTr="001F1776">
        <w:trPr>
          <w:trHeight w:val="397"/>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p>
        </w:tc>
      </w:tr>
      <w:tr w:rsidR="001F1776" w:rsidRPr="001F1776" w:rsidTr="001F1776">
        <w:trPr>
          <w:trHeight w:val="397"/>
          <w:jc w:val="center"/>
        </w:trPr>
        <w:tc>
          <w:tcPr>
            <w:tcW w:w="129" w:type="pct"/>
            <w:tcBorders>
              <w:top w:val="dotted" w:sz="4" w:space="0" w:color="auto"/>
            </w:tcBorders>
            <w:shd w:val="clear" w:color="auto" w:fill="F2F2F2"/>
            <w:vAlign w:val="center"/>
          </w:tcPr>
          <w:p w:rsidR="001F1776" w:rsidRPr="001F1776" w:rsidRDefault="001F1776" w:rsidP="001F1776">
            <w:pPr>
              <w:jc w:val="center"/>
              <w:rPr>
                <w:rFonts w:eastAsia="Calibri"/>
                <w:sz w:val="18"/>
                <w:szCs w:val="18"/>
                <w:lang w:val="sk-SK" w:eastAsia="sk-SK"/>
              </w:rPr>
            </w:pPr>
            <w:r w:rsidRPr="001F1776">
              <w:rPr>
                <w:rFonts w:eastAsia="Calibri"/>
                <w:i/>
                <w:sz w:val="18"/>
                <w:szCs w:val="18"/>
                <w:lang w:val="sk-SK" w:eastAsia="sk-SK"/>
              </w:rPr>
              <w:t>j</w:t>
            </w:r>
            <w:r w:rsidRPr="001F1776">
              <w:rPr>
                <w:rFonts w:eastAsia="Calibri"/>
                <w:sz w:val="18"/>
                <w:szCs w:val="18"/>
                <w:lang w:val="sk-SK" w:eastAsia="sk-SK"/>
              </w:rPr>
              <w:t>)</w:t>
            </w:r>
          </w:p>
        </w:tc>
        <w:tc>
          <w:tcPr>
            <w:tcW w:w="4871" w:type="pct"/>
            <w:gridSpan w:val="2"/>
            <w:tcBorders>
              <w:top w:val="dotted" w:sz="4" w:space="0" w:color="auto"/>
            </w:tcBorders>
            <w:shd w:val="clear" w:color="auto" w:fill="F2F2F2"/>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 xml:space="preserve">Kvantifikujte </w:t>
            </w:r>
            <w:r w:rsidRPr="001F1776">
              <w:rPr>
                <w:rFonts w:eastAsia="Calibri"/>
                <w:i/>
                <w:sz w:val="20"/>
                <w:szCs w:val="20"/>
                <w:lang w:val="sk-SK" w:eastAsia="sk-SK"/>
              </w:rPr>
              <w:t xml:space="preserve">rast príjmov alebo pokles výdavkov </w:t>
            </w:r>
            <w:r w:rsidRPr="001F1776">
              <w:rPr>
                <w:rFonts w:eastAsia="Calibri"/>
                <w:b/>
                <w:i/>
                <w:sz w:val="20"/>
                <w:szCs w:val="20"/>
                <w:lang w:val="sk-SK" w:eastAsia="sk-SK"/>
              </w:rPr>
              <w:t>za jednotlivé ovplyvnené skupiny</w:t>
            </w:r>
            <w:r w:rsidRPr="001F1776">
              <w:rPr>
                <w:rFonts w:eastAsia="Calibri"/>
                <w:i/>
                <w:sz w:val="20"/>
                <w:szCs w:val="20"/>
                <w:lang w:val="sk-SK" w:eastAsia="sk-SK"/>
              </w:rPr>
              <w:t xml:space="preserve"> domácností / skupiny jednotlivcov a počet obyvateľstva/domácností ovplyvnených predkladaným návrhom.</w:t>
            </w:r>
          </w:p>
        </w:tc>
      </w:tr>
      <w:tr w:rsidR="001F1776" w:rsidRPr="001F1776" w:rsidTr="001F1776">
        <w:trPr>
          <w:trHeight w:val="680"/>
          <w:jc w:val="center"/>
        </w:trPr>
        <w:tc>
          <w:tcPr>
            <w:tcW w:w="129" w:type="pct"/>
            <w:vMerge w:val="restar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k)</w:t>
            </w:r>
          </w:p>
        </w:tc>
        <w:tc>
          <w:tcPr>
            <w:tcW w:w="1642" w:type="pct"/>
            <w:vMerge w:val="restart"/>
            <w:tcBorders>
              <w:top w:val="dotted" w:sz="4" w:space="0" w:color="auto"/>
            </w:tcBorders>
            <w:shd w:val="clear" w:color="auto" w:fill="auto"/>
          </w:tcPr>
          <w:p w:rsidR="001F1776" w:rsidRPr="001F1776" w:rsidRDefault="001F1776" w:rsidP="001F1776">
            <w:pPr>
              <w:numPr>
                <w:ilvl w:val="0"/>
                <w:numId w:val="8"/>
              </w:numPr>
              <w:contextualSpacing/>
              <w:rPr>
                <w:rFonts w:eastAsia="Calibri"/>
                <w:i/>
                <w:sz w:val="18"/>
                <w:szCs w:val="20"/>
                <w:lang w:val="sk-SK" w:eastAsia="sk-SK"/>
              </w:rPr>
            </w:pPr>
            <w:r w:rsidRPr="001F1776">
              <w:rPr>
                <w:rFonts w:eastAsia="Calibri"/>
                <w:i/>
                <w:sz w:val="18"/>
                <w:szCs w:val="20"/>
                <w:lang w:val="sk-SK" w:eastAsia="sk-SK"/>
              </w:rPr>
              <w:t>priemerný rast príjmov/ pokles výdavkov v skupine v eurách a/alebo v % / obdobie:</w:t>
            </w:r>
          </w:p>
          <w:p w:rsidR="001F1776" w:rsidRPr="001F1776" w:rsidRDefault="001F1776" w:rsidP="001F1776">
            <w:pPr>
              <w:numPr>
                <w:ilvl w:val="0"/>
                <w:numId w:val="8"/>
              </w:numPr>
              <w:contextualSpacing/>
              <w:rPr>
                <w:rFonts w:eastAsia="Calibri"/>
                <w:i/>
                <w:sz w:val="20"/>
                <w:szCs w:val="20"/>
                <w:lang w:val="sk-SK" w:eastAsia="sk-SK"/>
              </w:rPr>
            </w:pPr>
            <w:r w:rsidRPr="001F1776">
              <w:rPr>
                <w:rFonts w:eastAsia="Calibri"/>
                <w:i/>
                <w:sz w:val="18"/>
                <w:szCs w:val="20"/>
                <w:lang w:val="sk-SK" w:eastAsia="sk-SK"/>
              </w:rPr>
              <w:t>veľkosť skupiny (počet obyvateľov):</w:t>
            </w:r>
          </w:p>
        </w:tc>
        <w:tc>
          <w:tcPr>
            <w:tcW w:w="3229" w:type="pct"/>
            <w:tcBorders>
              <w:top w:val="dotted" w:sz="4" w:space="0" w:color="auto"/>
            </w:tcBorders>
            <w:shd w:val="clear" w:color="auto" w:fill="auto"/>
          </w:tcPr>
          <w:p w:rsidR="001F1776" w:rsidRPr="001F1776" w:rsidRDefault="001F1776" w:rsidP="001F1776">
            <w:pPr>
              <w:jc w:val="both"/>
              <w:rPr>
                <w:rFonts w:eastAsia="Calibri"/>
                <w:i/>
                <w:sz w:val="18"/>
                <w:szCs w:val="20"/>
                <w:lang w:val="sk-SK" w:eastAsia="sk-SK"/>
              </w:rPr>
            </w:pPr>
            <w:r w:rsidRPr="001F1776">
              <w:rPr>
                <w:rFonts w:eastAsia="Calibri"/>
                <w:i/>
                <w:sz w:val="18"/>
                <w:szCs w:val="20"/>
                <w:lang w:val="sk-SK" w:eastAsia="sk-SK"/>
              </w:rPr>
              <w:t>Ovplyvnená skupina č. 1 azylanti – pri integračnom príspevku ide o sumu 401,38 eur počas obdobia 6 mesiacov. Ovplyvnená skupina č. 2 cudzinci, ktorým sa poskytla doplnková ochrana – v prípade jednorazového príspevku ide o sumu 344,04 eur a pri integračnom príspevku ide o sumu 401,38 eur počas obdobia 6 mesiacov.</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vMerge/>
            <w:shd w:val="clear" w:color="auto" w:fill="auto"/>
          </w:tcPr>
          <w:p w:rsidR="001F1776" w:rsidRPr="001F1776" w:rsidRDefault="001F1776" w:rsidP="001F1776">
            <w:pPr>
              <w:rPr>
                <w:rFonts w:eastAsia="Calibri"/>
                <w:i/>
                <w:sz w:val="18"/>
                <w:szCs w:val="20"/>
                <w:lang w:val="sk-SK" w:eastAsia="sk-SK"/>
              </w:rPr>
            </w:pPr>
          </w:p>
        </w:tc>
        <w:tc>
          <w:tcPr>
            <w:tcW w:w="3229" w:type="pct"/>
            <w:tcBorders>
              <w:top w:val="dotted" w:sz="4" w:space="0" w:color="auto"/>
            </w:tcBorders>
            <w:shd w:val="clear" w:color="auto" w:fill="auto"/>
          </w:tcPr>
          <w:p w:rsidR="001F1776" w:rsidRPr="001F1776" w:rsidRDefault="001F1776" w:rsidP="001F1776">
            <w:pPr>
              <w:jc w:val="both"/>
              <w:rPr>
                <w:rFonts w:eastAsia="Calibri"/>
                <w:sz w:val="18"/>
                <w:szCs w:val="20"/>
                <w:lang w:val="sk-SK" w:eastAsia="sk-SK"/>
              </w:rPr>
            </w:pPr>
            <w:r w:rsidRPr="001F1776">
              <w:rPr>
                <w:rFonts w:eastAsia="Calibri"/>
                <w:sz w:val="18"/>
                <w:szCs w:val="20"/>
                <w:lang w:val="sk-SK" w:eastAsia="sk-SK"/>
              </w:rPr>
              <w:t>Predpokladaná veľkosť skupiny (spolu za skupinu č. 1 a č. 2) je v roku 2022 25 osôb a v roku 2023 a 2024 50 osôb.</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r w:rsidRPr="001F1776">
              <w:rPr>
                <w:rFonts w:eastAsia="Calibri"/>
                <w:i/>
                <w:sz w:val="18"/>
                <w:szCs w:val="20"/>
                <w:lang w:val="sk-SK" w:eastAsia="sk-SK"/>
              </w:rPr>
              <w:t xml:space="preserve">Ovplyvnená skupina </w:t>
            </w:r>
          </w:p>
        </w:tc>
        <w:tc>
          <w:tcPr>
            <w:tcW w:w="3229" w:type="pct"/>
            <w:tcBorders>
              <w:top w:val="dotted" w:sz="4" w:space="0" w:color="auto"/>
            </w:tcBorders>
            <w:shd w:val="clear" w:color="auto" w:fill="auto"/>
          </w:tcPr>
          <w:p w:rsidR="001F1776" w:rsidRPr="001F1776" w:rsidRDefault="001F1776" w:rsidP="001F1776">
            <w:pPr>
              <w:jc w:val="both"/>
              <w:rPr>
                <w:rFonts w:eastAsia="Calibri"/>
                <w:sz w:val="20"/>
                <w:szCs w:val="20"/>
                <w:lang w:val="sk-SK" w:eastAsia="sk-SK"/>
              </w:rPr>
            </w:pPr>
            <w:r w:rsidRPr="001F1776">
              <w:rPr>
                <w:rFonts w:eastAsia="Calibri"/>
                <w:i/>
                <w:sz w:val="18"/>
                <w:szCs w:val="20"/>
                <w:lang w:val="sk-SK" w:eastAsia="sk-SK"/>
              </w:rPr>
              <w:t>Ovplyvnená skupina č. 1, Ovplyvnená skupina č. 2, Ovplyvnená skupina č. 3</w:t>
            </w:r>
          </w:p>
        </w:tc>
      </w:tr>
      <w:tr w:rsidR="001F1776" w:rsidRPr="001F1776" w:rsidTr="001F1776">
        <w:trPr>
          <w:trHeight w:val="350"/>
          <w:jc w:val="center"/>
        </w:trPr>
        <w:tc>
          <w:tcPr>
            <w:tcW w:w="129" w:type="pct"/>
            <w:tcBorders>
              <w:top w:val="dotted" w:sz="4" w:space="0" w:color="auto"/>
              <w:bottom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lastRenderedPageBreak/>
              <w:t>l)</w:t>
            </w:r>
          </w:p>
        </w:tc>
        <w:tc>
          <w:tcPr>
            <w:tcW w:w="1642" w:type="pct"/>
            <w:tcBorders>
              <w:top w:val="dotted" w:sz="4" w:space="0" w:color="auto"/>
              <w:bottom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i/>
                <w:sz w:val="20"/>
                <w:szCs w:val="20"/>
                <w:lang w:val="sk-SK" w:eastAsia="sk-SK"/>
              </w:rPr>
              <w:t>Dôvod chýbajúcej kvantifikácie:</w:t>
            </w:r>
          </w:p>
        </w:tc>
        <w:tc>
          <w:tcPr>
            <w:tcW w:w="3229" w:type="pct"/>
            <w:tcBorders>
              <w:top w:val="dotted" w:sz="4" w:space="0" w:color="auto"/>
              <w:bottom w:val="single" w:sz="4" w:space="0" w:color="auto"/>
            </w:tcBorders>
            <w:shd w:val="clear" w:color="auto" w:fill="auto"/>
          </w:tcPr>
          <w:p w:rsidR="001F1776" w:rsidRPr="001F1776" w:rsidRDefault="001F1776" w:rsidP="001F1776">
            <w:pPr>
              <w:jc w:val="both"/>
              <w:rPr>
                <w:rFonts w:eastAsia="Calibri"/>
                <w:sz w:val="20"/>
                <w:szCs w:val="20"/>
                <w:lang w:val="sk-SK" w:eastAsia="sk-SK"/>
              </w:rPr>
            </w:pPr>
            <w:r w:rsidRPr="001F1776">
              <w:rPr>
                <w:rFonts w:eastAsia="Calibri"/>
                <w:sz w:val="20"/>
                <w:szCs w:val="20"/>
                <w:lang w:val="sk-SK" w:eastAsia="sk-SK"/>
              </w:rPr>
              <w:t xml:space="preserve"> – </w:t>
            </w:r>
          </w:p>
        </w:tc>
      </w:tr>
      <w:tr w:rsidR="001F1776" w:rsidRPr="001F1776" w:rsidTr="001F1776">
        <w:trPr>
          <w:trHeight w:val="170"/>
          <w:jc w:val="center"/>
        </w:trPr>
        <w:tc>
          <w:tcPr>
            <w:tcW w:w="129" w:type="pct"/>
            <w:tcBorders>
              <w:top w:val="single" w:sz="4" w:space="0" w:color="auto"/>
              <w:bottom w:val="single" w:sz="4" w:space="0" w:color="auto"/>
            </w:tcBorders>
            <w:shd w:val="clear" w:color="auto" w:fill="DDDDDD"/>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a)</w:t>
            </w:r>
          </w:p>
        </w:tc>
        <w:tc>
          <w:tcPr>
            <w:tcW w:w="4871" w:type="pct"/>
            <w:gridSpan w:val="2"/>
            <w:tcBorders>
              <w:top w:val="single" w:sz="4" w:space="0" w:color="auto"/>
              <w:bottom w:val="single" w:sz="4" w:space="0" w:color="auto"/>
            </w:tcBorders>
            <w:shd w:val="clear" w:color="auto" w:fill="DDDDDD"/>
            <w:vAlign w:val="center"/>
          </w:tcPr>
          <w:p w:rsidR="001F1776" w:rsidRPr="001F1776" w:rsidRDefault="001F1776" w:rsidP="001F1776">
            <w:pPr>
              <w:jc w:val="center"/>
              <w:rPr>
                <w:rFonts w:eastAsia="Calibri"/>
                <w:b/>
                <w:color w:val="0070C0"/>
                <w:sz w:val="20"/>
                <w:szCs w:val="20"/>
                <w:lang w:val="sk-SK" w:eastAsia="sk-SK"/>
              </w:rPr>
            </w:pPr>
            <w:r w:rsidRPr="001F1776">
              <w:rPr>
                <w:rFonts w:eastAsia="Calibri"/>
                <w:b/>
                <w:i/>
                <w:sz w:val="20"/>
                <w:szCs w:val="20"/>
                <w:lang w:val="sk-SK" w:eastAsia="sk-SK"/>
              </w:rPr>
              <w:t>4.1.2 Negatívny vplyv</w:t>
            </w:r>
          </w:p>
        </w:tc>
      </w:tr>
      <w:tr w:rsidR="001F1776" w:rsidRPr="001F1776" w:rsidTr="001F1776">
        <w:trPr>
          <w:trHeight w:val="759"/>
          <w:jc w:val="center"/>
        </w:trPr>
        <w:tc>
          <w:tcPr>
            <w:tcW w:w="129" w:type="pct"/>
            <w:tcBorders>
              <w:top w:val="single" w:sz="4" w:space="0" w:color="auto"/>
              <w:bottom w:val="single" w:sz="4" w:space="0" w:color="auto"/>
            </w:tcBorders>
            <w:shd w:val="clear" w:color="auto" w:fill="auto"/>
            <w:vAlign w:val="center"/>
          </w:tcPr>
          <w:p w:rsidR="001F1776" w:rsidRPr="001F1776" w:rsidRDefault="001F1776" w:rsidP="001F1776">
            <w:pPr>
              <w:contextualSpacing/>
              <w:jc w:val="center"/>
              <w:rPr>
                <w:rFonts w:eastAsia="Calibri"/>
                <w:i/>
                <w:sz w:val="18"/>
                <w:szCs w:val="18"/>
                <w:lang w:val="sk-SK" w:eastAsia="sk-SK"/>
              </w:rPr>
            </w:pPr>
            <w:r w:rsidRPr="001F1776">
              <w:rPr>
                <w:rFonts w:eastAsia="Calibri"/>
                <w:i/>
                <w:sz w:val="18"/>
                <w:szCs w:val="18"/>
                <w:lang w:val="sk-SK" w:eastAsia="sk-SK"/>
              </w:rPr>
              <w:t>b)</w:t>
            </w:r>
          </w:p>
          <w:p w:rsidR="001F1776" w:rsidRPr="001F1776" w:rsidRDefault="001F1776" w:rsidP="001F1776">
            <w:pPr>
              <w:ind w:left="360"/>
              <w:contextualSpacing/>
              <w:jc w:val="center"/>
              <w:rPr>
                <w:rFonts w:eastAsia="Calibri"/>
                <w:i/>
                <w:sz w:val="18"/>
                <w:szCs w:val="18"/>
                <w:lang w:val="sk-SK" w:eastAsia="sk-SK"/>
              </w:rPr>
            </w:pPr>
          </w:p>
        </w:tc>
        <w:tc>
          <w:tcPr>
            <w:tcW w:w="1642" w:type="pct"/>
            <w:tcBorders>
              <w:top w:val="single" w:sz="4" w:space="0" w:color="auto"/>
              <w:bottom w:val="single" w:sz="4" w:space="0" w:color="auto"/>
            </w:tcBorders>
            <w:shd w:val="clear" w:color="auto" w:fill="auto"/>
            <w:vAlign w:val="center"/>
          </w:tcPr>
          <w:p w:rsidR="001F1776" w:rsidRPr="001F1776" w:rsidRDefault="001F1776" w:rsidP="001F1776">
            <w:pPr>
              <w:jc w:val="both"/>
              <w:rPr>
                <w:rFonts w:eastAsia="Calibri"/>
                <w:i/>
                <w:sz w:val="20"/>
                <w:szCs w:val="20"/>
                <w:lang w:val="sk-SK" w:eastAsia="sk-SK"/>
              </w:rPr>
            </w:pPr>
            <w:r w:rsidRPr="001F1776">
              <w:rPr>
                <w:rFonts w:eastAsia="Calibri"/>
                <w:b/>
                <w:i/>
                <w:sz w:val="20"/>
                <w:szCs w:val="20"/>
                <w:lang w:val="sk-SK" w:eastAsia="sk-SK"/>
              </w:rPr>
              <w:t xml:space="preserve">Popíšte </w:t>
            </w:r>
            <w:r w:rsidRPr="001F1776">
              <w:rPr>
                <w:rFonts w:eastAsia="Calibri"/>
                <w:i/>
                <w:sz w:val="20"/>
                <w:szCs w:val="20"/>
                <w:lang w:val="sk-SK"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1F1776" w:rsidRPr="001F1776" w:rsidRDefault="001F1776" w:rsidP="001F1776">
            <w:pPr>
              <w:contextualSpacing/>
              <w:jc w:val="both"/>
              <w:rPr>
                <w:rFonts w:eastAsia="Calibri"/>
                <w:i/>
                <w:sz w:val="18"/>
                <w:szCs w:val="18"/>
                <w:lang w:val="sk-SK" w:eastAsia="sk-SK"/>
              </w:rPr>
            </w:pPr>
            <w:r w:rsidRPr="001F1776">
              <w:rPr>
                <w:rFonts w:eastAsia="Calibri"/>
                <w:i/>
                <w:sz w:val="18"/>
                <w:szCs w:val="18"/>
                <w:lang w:val="sk-SK" w:eastAsia="sk-SK"/>
              </w:rPr>
              <w:t>Opatrenia nemajú negatívny sociálny vplyv</w:t>
            </w:r>
          </w:p>
        </w:tc>
      </w:tr>
      <w:tr w:rsidR="001F1776" w:rsidRPr="001F1776" w:rsidTr="001F1776">
        <w:trPr>
          <w:trHeight w:val="397"/>
          <w:jc w:val="center"/>
        </w:trPr>
        <w:tc>
          <w:tcPr>
            <w:tcW w:w="129" w:type="pct"/>
            <w:vMerge w:val="restart"/>
            <w:tcBorders>
              <w:top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c)</w:t>
            </w:r>
          </w:p>
        </w:tc>
        <w:tc>
          <w:tcPr>
            <w:tcW w:w="1642" w:type="pct"/>
            <w:tcBorders>
              <w:top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Špecifikujte</w:t>
            </w:r>
            <w:r w:rsidRPr="001F1776">
              <w:rPr>
                <w:rFonts w:eastAsia="Calibri"/>
                <w:i/>
                <w:sz w:val="20"/>
                <w:szCs w:val="20"/>
                <w:lang w:val="sk-SK" w:eastAsia="sk-SK"/>
              </w:rPr>
              <w:t xml:space="preserve"> ovplyvnené skupiny:</w:t>
            </w:r>
          </w:p>
        </w:tc>
        <w:tc>
          <w:tcPr>
            <w:tcW w:w="3229" w:type="pct"/>
            <w:tcBorders>
              <w:top w:val="single" w:sz="4" w:space="0" w:color="auto"/>
            </w:tcBorders>
            <w:shd w:val="clear" w:color="auto" w:fill="auto"/>
          </w:tcPr>
          <w:p w:rsidR="001F1776" w:rsidRPr="001F1776" w:rsidRDefault="001F1776" w:rsidP="001F1776">
            <w:pPr>
              <w:jc w:val="both"/>
              <w:rPr>
                <w:rFonts w:eastAsia="Calibri"/>
                <w:i/>
                <w:sz w:val="20"/>
                <w:szCs w:val="20"/>
                <w:lang w:val="sk-SK" w:eastAsia="sk-SK"/>
              </w:rPr>
            </w:pPr>
          </w:p>
        </w:tc>
      </w:tr>
      <w:tr w:rsidR="001F1776" w:rsidRPr="001F1776" w:rsidTr="001F1776">
        <w:trPr>
          <w:trHeight w:val="397"/>
          <w:jc w:val="center"/>
        </w:trPr>
        <w:tc>
          <w:tcPr>
            <w:tcW w:w="129" w:type="pct"/>
            <w:vMerge/>
            <w:tcBorders>
              <w:bottom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tcBorders>
              <w:bottom w:val="single" w:sz="4" w:space="0" w:color="auto"/>
            </w:tcBorders>
            <w:shd w:val="clear" w:color="auto" w:fill="auto"/>
          </w:tcPr>
          <w:p w:rsidR="001F1776" w:rsidRPr="001F1776" w:rsidRDefault="001F1776" w:rsidP="001F1776">
            <w:pPr>
              <w:rPr>
                <w:rFonts w:eastAsia="Calibri"/>
                <w:i/>
                <w:sz w:val="20"/>
                <w:szCs w:val="20"/>
                <w:lang w:val="sk-SK" w:eastAsia="sk-SK"/>
              </w:rPr>
            </w:pPr>
          </w:p>
        </w:tc>
        <w:tc>
          <w:tcPr>
            <w:tcW w:w="3229" w:type="pct"/>
            <w:tcBorders>
              <w:top w:val="dotted" w:sz="4" w:space="0" w:color="auto"/>
              <w:bottom w:val="single" w:sz="4" w:space="0" w:color="auto"/>
            </w:tcBorders>
            <w:shd w:val="clear" w:color="auto" w:fill="auto"/>
          </w:tcPr>
          <w:p w:rsidR="001F1776" w:rsidRPr="001F1776" w:rsidRDefault="001F1776" w:rsidP="001F1776">
            <w:pPr>
              <w:rPr>
                <w:rFonts w:eastAsia="Calibri"/>
                <w:sz w:val="20"/>
                <w:szCs w:val="20"/>
                <w:lang w:val="sk-SK" w:eastAsia="sk-SK"/>
              </w:rPr>
            </w:pPr>
          </w:p>
        </w:tc>
      </w:tr>
      <w:tr w:rsidR="001F1776" w:rsidRPr="001F1776" w:rsidTr="001F1776">
        <w:trPr>
          <w:trHeight w:val="397"/>
          <w:jc w:val="center"/>
        </w:trPr>
        <w:tc>
          <w:tcPr>
            <w:tcW w:w="129" w:type="pct"/>
            <w:tcBorders>
              <w:top w:val="single" w:sz="4" w:space="0" w:color="auto"/>
            </w:tcBorders>
            <w:shd w:val="clear" w:color="auto" w:fill="F2F2F2"/>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d)</w:t>
            </w:r>
          </w:p>
        </w:tc>
        <w:tc>
          <w:tcPr>
            <w:tcW w:w="4871" w:type="pct"/>
            <w:gridSpan w:val="2"/>
            <w:tcBorders>
              <w:top w:val="single" w:sz="4" w:space="0" w:color="auto"/>
            </w:tcBorders>
            <w:shd w:val="clear" w:color="auto" w:fill="F2F2F2"/>
            <w:vAlign w:val="center"/>
          </w:tcPr>
          <w:p w:rsidR="001F1776" w:rsidRPr="001F1776" w:rsidRDefault="001F1776" w:rsidP="001F1776">
            <w:pPr>
              <w:rPr>
                <w:rFonts w:eastAsia="Calibri"/>
                <w:sz w:val="20"/>
                <w:szCs w:val="20"/>
                <w:lang w:val="sk-SK" w:eastAsia="sk-SK"/>
              </w:rPr>
            </w:pPr>
            <w:r w:rsidRPr="001F1776">
              <w:rPr>
                <w:rFonts w:eastAsia="Calibri"/>
                <w:b/>
                <w:i/>
                <w:sz w:val="20"/>
                <w:szCs w:val="20"/>
                <w:lang w:val="sk-SK" w:eastAsia="sk-SK"/>
              </w:rPr>
              <w:t>Kvantifikujte</w:t>
            </w:r>
            <w:r w:rsidRPr="001F1776">
              <w:rPr>
                <w:rFonts w:eastAsia="Calibri"/>
                <w:i/>
                <w:sz w:val="20"/>
                <w:szCs w:val="20"/>
                <w:lang w:val="sk-SK" w:eastAsia="sk-SK"/>
              </w:rPr>
              <w:t xml:space="preserve"> pokles príjmov alebo rast výdavkov </w:t>
            </w:r>
            <w:r w:rsidRPr="001F1776">
              <w:rPr>
                <w:rFonts w:eastAsia="Calibri"/>
                <w:b/>
                <w:i/>
                <w:sz w:val="20"/>
                <w:szCs w:val="20"/>
                <w:lang w:val="sk-SK" w:eastAsia="sk-SK"/>
              </w:rPr>
              <w:t>za jednotlivé</w:t>
            </w:r>
            <w:r w:rsidRPr="001F1776">
              <w:rPr>
                <w:rFonts w:eastAsia="Calibri"/>
                <w:i/>
                <w:sz w:val="20"/>
                <w:szCs w:val="20"/>
                <w:lang w:val="sk-SK" w:eastAsia="sk-SK"/>
              </w:rPr>
              <w:t xml:space="preserve"> </w:t>
            </w:r>
            <w:r w:rsidRPr="001F1776">
              <w:rPr>
                <w:rFonts w:eastAsia="Calibri"/>
                <w:b/>
                <w:i/>
                <w:sz w:val="20"/>
                <w:szCs w:val="20"/>
                <w:lang w:val="sk-SK" w:eastAsia="sk-SK"/>
              </w:rPr>
              <w:t>ovplyvnené</w:t>
            </w:r>
            <w:r w:rsidRPr="001F1776">
              <w:rPr>
                <w:rFonts w:eastAsia="Calibri"/>
                <w:i/>
                <w:sz w:val="20"/>
                <w:szCs w:val="20"/>
                <w:lang w:val="sk-SK" w:eastAsia="sk-SK"/>
              </w:rPr>
              <w:t xml:space="preserve"> </w:t>
            </w:r>
            <w:r w:rsidRPr="001F1776">
              <w:rPr>
                <w:rFonts w:eastAsia="Calibri"/>
                <w:b/>
                <w:i/>
                <w:sz w:val="20"/>
                <w:szCs w:val="20"/>
                <w:lang w:val="sk-SK" w:eastAsia="sk-SK"/>
              </w:rPr>
              <w:t>skupiny</w:t>
            </w:r>
            <w:r w:rsidRPr="001F1776">
              <w:rPr>
                <w:rFonts w:eastAsia="Calibri"/>
                <w:i/>
                <w:sz w:val="20"/>
                <w:szCs w:val="20"/>
                <w:lang w:val="sk-SK" w:eastAsia="sk-SK"/>
              </w:rPr>
              <w:t xml:space="preserve"> domácností / skupiny jednotlivcov a počet obyvateľstva/domácností ovplyvnených predkladaným návrhom.</w:t>
            </w:r>
          </w:p>
        </w:tc>
      </w:tr>
      <w:tr w:rsidR="001F1776" w:rsidRPr="001F1776" w:rsidTr="001F1776">
        <w:trPr>
          <w:trHeight w:val="680"/>
          <w:jc w:val="center"/>
        </w:trPr>
        <w:tc>
          <w:tcPr>
            <w:tcW w:w="129" w:type="pct"/>
            <w:vMerge w:val="restar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e)</w:t>
            </w:r>
          </w:p>
        </w:tc>
        <w:tc>
          <w:tcPr>
            <w:tcW w:w="1642" w:type="pct"/>
            <w:tcBorders>
              <w:top w:val="dotted" w:sz="4" w:space="0" w:color="auto"/>
            </w:tcBorders>
            <w:shd w:val="clear" w:color="auto" w:fill="auto"/>
          </w:tcPr>
          <w:p w:rsidR="001F1776" w:rsidRPr="001F1776" w:rsidRDefault="001F1776" w:rsidP="001F1776">
            <w:pPr>
              <w:numPr>
                <w:ilvl w:val="0"/>
                <w:numId w:val="8"/>
              </w:numPr>
              <w:contextualSpacing/>
              <w:jc w:val="both"/>
              <w:rPr>
                <w:rFonts w:eastAsia="Calibri"/>
                <w:i/>
                <w:sz w:val="18"/>
                <w:szCs w:val="20"/>
                <w:lang w:val="sk-SK" w:eastAsia="sk-SK"/>
              </w:rPr>
            </w:pPr>
            <w:r w:rsidRPr="001F1776">
              <w:rPr>
                <w:rFonts w:eastAsia="Calibri"/>
                <w:i/>
                <w:sz w:val="18"/>
                <w:szCs w:val="20"/>
                <w:lang w:val="sk-SK" w:eastAsia="sk-SK"/>
              </w:rPr>
              <w:t>priemerný pokles príjmov/ rast výdavkov v skupine v eurách a/alebo v % / obdobie:</w:t>
            </w:r>
          </w:p>
          <w:p w:rsidR="001F1776" w:rsidRPr="001F1776" w:rsidRDefault="001F1776" w:rsidP="001F1776">
            <w:pPr>
              <w:numPr>
                <w:ilvl w:val="0"/>
                <w:numId w:val="8"/>
              </w:numPr>
              <w:contextualSpacing/>
              <w:jc w:val="both"/>
              <w:rPr>
                <w:rFonts w:eastAsia="Calibri"/>
                <w:i/>
                <w:sz w:val="18"/>
                <w:szCs w:val="20"/>
                <w:lang w:val="sk-SK" w:eastAsia="sk-SK"/>
              </w:rPr>
            </w:pPr>
            <w:r w:rsidRPr="001F1776">
              <w:rPr>
                <w:rFonts w:eastAsia="Calibri"/>
                <w:i/>
                <w:sz w:val="18"/>
                <w:szCs w:val="20"/>
                <w:lang w:val="sk-SK" w:eastAsia="sk-SK"/>
              </w:rPr>
              <w:t>veľkosť skupiny (počet obyvateľov):</w:t>
            </w: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i/>
                <w:sz w:val="18"/>
                <w:szCs w:val="20"/>
                <w:lang w:val="sk-SK" w:eastAsia="sk-SK"/>
              </w:rPr>
              <w:t xml:space="preserve"> – </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r w:rsidRPr="001F1776">
              <w:rPr>
                <w:rFonts w:eastAsia="Calibri"/>
                <w:i/>
                <w:sz w:val="18"/>
                <w:szCs w:val="20"/>
                <w:lang w:val="sk-SK" w:eastAsia="sk-SK"/>
              </w:rPr>
              <w:t>Ovplyvnená skupina</w:t>
            </w:r>
          </w:p>
        </w:tc>
        <w:tc>
          <w:tcPr>
            <w:tcW w:w="3229" w:type="pct"/>
            <w:tcBorders>
              <w:top w:val="dotted" w:sz="4" w:space="0" w:color="auto"/>
            </w:tcBorders>
            <w:shd w:val="clear" w:color="auto" w:fill="auto"/>
          </w:tcPr>
          <w:p w:rsidR="001F1776" w:rsidRPr="001F1776" w:rsidRDefault="001F1776" w:rsidP="001F1776">
            <w:pPr>
              <w:jc w:val="both"/>
              <w:rPr>
                <w:rFonts w:eastAsia="Calibri"/>
                <w:sz w:val="20"/>
                <w:szCs w:val="20"/>
                <w:lang w:val="sk-SK" w:eastAsia="sk-SK"/>
              </w:rPr>
            </w:pPr>
          </w:p>
        </w:tc>
      </w:tr>
      <w:tr w:rsidR="001F1776" w:rsidRPr="001F1776" w:rsidTr="001F1776">
        <w:trPr>
          <w:trHeight w:val="397"/>
          <w:jc w:val="center"/>
        </w:trPr>
        <w:tc>
          <w:tcPr>
            <w:tcW w:w="129" w:type="pc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f)</w:t>
            </w:r>
          </w:p>
        </w:tc>
        <w:tc>
          <w:tcPr>
            <w:tcW w:w="1642" w:type="pct"/>
            <w:tcBorders>
              <w:top w:val="dotted"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i/>
                <w:sz w:val="20"/>
                <w:szCs w:val="20"/>
                <w:lang w:val="sk-SK" w:eastAsia="sk-SK"/>
              </w:rPr>
              <w:t>Dôvod chýbajúcej kvantifikácie:</w:t>
            </w: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sz w:val="20"/>
                <w:szCs w:val="20"/>
                <w:lang w:val="sk-SK" w:eastAsia="sk-SK"/>
              </w:rPr>
              <w:t xml:space="preserve"> – </w:t>
            </w:r>
          </w:p>
        </w:tc>
      </w:tr>
      <w:tr w:rsidR="001F1776" w:rsidRPr="001F1776" w:rsidTr="001F1776">
        <w:trPr>
          <w:trHeight w:val="227"/>
          <w:jc w:val="center"/>
        </w:trPr>
        <w:tc>
          <w:tcPr>
            <w:tcW w:w="129" w:type="pct"/>
            <w:tcBorders>
              <w:top w:val="nil"/>
              <w:bottom w:val="single" w:sz="4" w:space="0" w:color="auto"/>
            </w:tcBorders>
            <w:shd w:val="clear" w:color="auto" w:fill="F2F2F2"/>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g)</w:t>
            </w:r>
          </w:p>
        </w:tc>
        <w:tc>
          <w:tcPr>
            <w:tcW w:w="4871" w:type="pct"/>
            <w:gridSpan w:val="2"/>
            <w:tcBorders>
              <w:top w:val="nil"/>
              <w:bottom w:val="single" w:sz="4" w:space="0" w:color="auto"/>
            </w:tcBorders>
            <w:shd w:val="clear" w:color="auto" w:fill="F2F2F2"/>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4.1.2.1</w:t>
            </w:r>
            <w:r w:rsidRPr="001F1776">
              <w:rPr>
                <w:rFonts w:eastAsia="Calibri"/>
                <w:i/>
                <w:sz w:val="20"/>
                <w:szCs w:val="20"/>
                <w:lang w:val="sk-SK" w:eastAsia="sk-SK"/>
              </w:rPr>
              <w:t xml:space="preserve"> </w:t>
            </w:r>
            <w:r w:rsidRPr="001F1776">
              <w:rPr>
                <w:rFonts w:eastAsia="Calibri"/>
                <w:b/>
                <w:i/>
                <w:sz w:val="20"/>
                <w:szCs w:val="20"/>
                <w:lang w:val="sk-SK" w:eastAsia="sk-SK"/>
              </w:rPr>
              <w:t>Z toho negatívny vplyv na skupiny v riziku chudoby alebo sociálneho vylúčenia</w:t>
            </w:r>
          </w:p>
          <w:p w:rsidR="001F1776" w:rsidRPr="001F1776" w:rsidRDefault="001F1776" w:rsidP="001F1776">
            <w:pPr>
              <w:rPr>
                <w:rFonts w:eastAsia="Calibri"/>
                <w:b/>
                <w:sz w:val="20"/>
                <w:szCs w:val="20"/>
                <w:lang w:val="sk-SK" w:eastAsia="sk-SK"/>
              </w:rPr>
            </w:pPr>
            <w:r w:rsidRPr="001F1776">
              <w:rPr>
                <w:rFonts w:eastAsia="Calibri"/>
                <w:i/>
                <w:sz w:val="20"/>
                <w:szCs w:val="20"/>
                <w:lang w:val="sk-SK" w:eastAsia="sk-SK"/>
              </w:rPr>
              <w:t>(</w:t>
            </w:r>
            <w:r w:rsidRPr="001F1776">
              <w:rPr>
                <w:rFonts w:eastAsia="Calibri"/>
                <w:i/>
                <w:sz w:val="18"/>
                <w:szCs w:val="20"/>
                <w:lang w:val="sk-SK"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1F1776">
              <w:rPr>
                <w:rFonts w:eastAsia="Calibri"/>
                <w:i/>
                <w:sz w:val="20"/>
                <w:szCs w:val="20"/>
                <w:lang w:val="sk-SK" w:eastAsia="sk-SK"/>
              </w:rPr>
              <w:t>)</w:t>
            </w:r>
          </w:p>
        </w:tc>
      </w:tr>
      <w:tr w:rsidR="001F1776" w:rsidRPr="001F1776" w:rsidTr="001F1776">
        <w:trPr>
          <w:trHeight w:val="759"/>
          <w:jc w:val="center"/>
        </w:trPr>
        <w:tc>
          <w:tcPr>
            <w:tcW w:w="129" w:type="pct"/>
            <w:tcBorders>
              <w:top w:val="single" w:sz="4" w:space="0" w:color="auto"/>
              <w:bottom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h)</w:t>
            </w:r>
          </w:p>
        </w:tc>
        <w:tc>
          <w:tcPr>
            <w:tcW w:w="1642" w:type="pct"/>
            <w:tcBorders>
              <w:top w:val="single" w:sz="4" w:space="0" w:color="auto"/>
              <w:bottom w:val="single" w:sz="4" w:space="0" w:color="auto"/>
            </w:tcBorders>
            <w:shd w:val="clear" w:color="auto" w:fill="auto"/>
          </w:tcPr>
          <w:p w:rsidR="001F1776" w:rsidRPr="001F1776" w:rsidRDefault="001F1776" w:rsidP="001F1776">
            <w:pPr>
              <w:jc w:val="both"/>
              <w:rPr>
                <w:rFonts w:eastAsia="Calibri"/>
                <w:i/>
                <w:sz w:val="20"/>
                <w:szCs w:val="20"/>
                <w:lang w:val="sk-SK" w:eastAsia="sk-SK"/>
              </w:rPr>
            </w:pPr>
            <w:r w:rsidRPr="001F1776">
              <w:rPr>
                <w:rFonts w:eastAsia="Calibri"/>
                <w:b/>
                <w:i/>
                <w:sz w:val="20"/>
                <w:szCs w:val="20"/>
                <w:lang w:val="sk-SK" w:eastAsia="sk-SK"/>
              </w:rPr>
              <w:t>Popíšte</w:t>
            </w:r>
            <w:r w:rsidRPr="001F1776">
              <w:rPr>
                <w:rFonts w:eastAsia="Calibri"/>
                <w:i/>
                <w:sz w:val="20"/>
                <w:szCs w:val="20"/>
                <w:lang w:val="sk-SK"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sz w:val="20"/>
                <w:szCs w:val="20"/>
                <w:lang w:val="sk-SK" w:eastAsia="sk-SK"/>
              </w:rPr>
              <w:t xml:space="preserve">– </w:t>
            </w:r>
          </w:p>
        </w:tc>
      </w:tr>
      <w:tr w:rsidR="001F1776" w:rsidRPr="001F1776" w:rsidTr="001F1776">
        <w:trPr>
          <w:trHeight w:val="397"/>
          <w:jc w:val="center"/>
        </w:trPr>
        <w:tc>
          <w:tcPr>
            <w:tcW w:w="129" w:type="pct"/>
            <w:vMerge w:val="restart"/>
            <w:tcBorders>
              <w:top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i)</w:t>
            </w:r>
          </w:p>
        </w:tc>
        <w:tc>
          <w:tcPr>
            <w:tcW w:w="1642" w:type="pct"/>
            <w:tcBorders>
              <w:top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 xml:space="preserve">Špecifikujte </w:t>
            </w:r>
            <w:r w:rsidRPr="001F1776">
              <w:rPr>
                <w:rFonts w:eastAsia="Calibri"/>
                <w:i/>
                <w:sz w:val="20"/>
                <w:szCs w:val="20"/>
                <w:lang w:val="sk-SK" w:eastAsia="sk-SK"/>
              </w:rPr>
              <w:t>ovplyvnené skupiny:</w:t>
            </w:r>
          </w:p>
        </w:tc>
        <w:tc>
          <w:tcPr>
            <w:tcW w:w="3229" w:type="pct"/>
            <w:tcBorders>
              <w:top w:val="single" w:sz="4" w:space="0" w:color="auto"/>
            </w:tcBorders>
            <w:shd w:val="clear" w:color="auto" w:fill="auto"/>
          </w:tcPr>
          <w:p w:rsidR="001F1776" w:rsidRPr="001F1776" w:rsidRDefault="001F1776" w:rsidP="001F1776">
            <w:pPr>
              <w:jc w:val="both"/>
              <w:rPr>
                <w:rFonts w:eastAsia="Calibri"/>
                <w:i/>
                <w:sz w:val="18"/>
                <w:szCs w:val="20"/>
                <w:lang w:val="sk-SK" w:eastAsia="sk-SK"/>
              </w:rPr>
            </w:pPr>
          </w:p>
        </w:tc>
      </w:tr>
      <w:tr w:rsidR="001F1776" w:rsidRPr="001F1776" w:rsidTr="001F1776">
        <w:trPr>
          <w:trHeight w:val="397"/>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p>
        </w:tc>
      </w:tr>
      <w:tr w:rsidR="001F1776" w:rsidRPr="001F1776" w:rsidTr="001F1776">
        <w:trPr>
          <w:trHeight w:val="454"/>
          <w:jc w:val="center"/>
        </w:trPr>
        <w:tc>
          <w:tcPr>
            <w:tcW w:w="129" w:type="pct"/>
            <w:tcBorders>
              <w:top w:val="dotted" w:sz="4" w:space="0" w:color="auto"/>
            </w:tcBorders>
            <w:shd w:val="clear" w:color="auto" w:fill="F2F2F2"/>
            <w:vAlign w:val="center"/>
          </w:tcPr>
          <w:p w:rsidR="001F1776" w:rsidRPr="001F1776" w:rsidRDefault="001F1776" w:rsidP="001F1776">
            <w:pPr>
              <w:jc w:val="center"/>
              <w:rPr>
                <w:rFonts w:eastAsia="Calibri"/>
                <w:sz w:val="18"/>
                <w:szCs w:val="18"/>
                <w:lang w:val="sk-SK" w:eastAsia="sk-SK"/>
              </w:rPr>
            </w:pPr>
            <w:r w:rsidRPr="001F1776">
              <w:rPr>
                <w:rFonts w:eastAsia="Calibri"/>
                <w:i/>
                <w:sz w:val="18"/>
                <w:szCs w:val="18"/>
                <w:lang w:val="sk-SK" w:eastAsia="sk-SK"/>
              </w:rPr>
              <w:t>j</w:t>
            </w:r>
            <w:r w:rsidRPr="001F1776">
              <w:rPr>
                <w:rFonts w:eastAsia="Calibri"/>
                <w:sz w:val="18"/>
                <w:szCs w:val="18"/>
                <w:lang w:val="sk-SK" w:eastAsia="sk-SK"/>
              </w:rPr>
              <w:t>)</w:t>
            </w:r>
          </w:p>
        </w:tc>
        <w:tc>
          <w:tcPr>
            <w:tcW w:w="4871" w:type="pct"/>
            <w:gridSpan w:val="2"/>
            <w:tcBorders>
              <w:top w:val="dotted" w:sz="4" w:space="0" w:color="auto"/>
            </w:tcBorders>
            <w:shd w:val="clear" w:color="auto" w:fill="F2F2F2"/>
            <w:vAlign w:val="center"/>
          </w:tcPr>
          <w:p w:rsidR="001F1776" w:rsidRPr="001F1776" w:rsidRDefault="001F1776" w:rsidP="001F1776">
            <w:pPr>
              <w:rPr>
                <w:rFonts w:eastAsia="Calibri"/>
                <w:i/>
                <w:sz w:val="20"/>
                <w:szCs w:val="20"/>
                <w:lang w:val="sk-SK" w:eastAsia="sk-SK"/>
              </w:rPr>
            </w:pPr>
            <w:r w:rsidRPr="001F1776">
              <w:rPr>
                <w:rFonts w:eastAsia="Calibri"/>
                <w:b/>
                <w:i/>
                <w:sz w:val="20"/>
                <w:szCs w:val="20"/>
                <w:lang w:val="sk-SK" w:eastAsia="sk-SK"/>
              </w:rPr>
              <w:t>Kvantifikujte</w:t>
            </w:r>
            <w:r w:rsidRPr="001F1776">
              <w:rPr>
                <w:rFonts w:eastAsia="Calibri"/>
                <w:i/>
                <w:sz w:val="20"/>
                <w:szCs w:val="20"/>
                <w:lang w:val="sk-SK" w:eastAsia="sk-SK"/>
              </w:rPr>
              <w:t xml:space="preserve"> pokles príjmov alebo rast výdavkov </w:t>
            </w:r>
            <w:r w:rsidRPr="001F1776">
              <w:rPr>
                <w:rFonts w:eastAsia="Calibri"/>
                <w:b/>
                <w:i/>
                <w:sz w:val="20"/>
                <w:szCs w:val="20"/>
                <w:lang w:val="sk-SK" w:eastAsia="sk-SK"/>
              </w:rPr>
              <w:t>za jednotlivé ovplyvnené skupiny</w:t>
            </w:r>
            <w:r w:rsidRPr="001F1776">
              <w:rPr>
                <w:rFonts w:eastAsia="Calibri"/>
                <w:i/>
                <w:sz w:val="20"/>
                <w:szCs w:val="20"/>
                <w:lang w:val="sk-SK" w:eastAsia="sk-SK"/>
              </w:rPr>
              <w:t xml:space="preserve"> domácností / skupiny jednotlivcov a počet obyvateľstva/domácností ovplyvnených predkladaným návrhom.</w:t>
            </w:r>
          </w:p>
        </w:tc>
      </w:tr>
      <w:tr w:rsidR="001F1776" w:rsidRPr="001F1776" w:rsidTr="001F1776">
        <w:trPr>
          <w:trHeight w:val="680"/>
          <w:jc w:val="center"/>
        </w:trPr>
        <w:tc>
          <w:tcPr>
            <w:tcW w:w="129" w:type="pct"/>
            <w:vMerge w:val="restart"/>
            <w:tcBorders>
              <w:top w:val="dotted"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k)</w:t>
            </w:r>
          </w:p>
        </w:tc>
        <w:tc>
          <w:tcPr>
            <w:tcW w:w="1642" w:type="pct"/>
            <w:tcBorders>
              <w:top w:val="dotted" w:sz="4" w:space="0" w:color="auto"/>
            </w:tcBorders>
            <w:shd w:val="clear" w:color="auto" w:fill="auto"/>
          </w:tcPr>
          <w:p w:rsidR="001F1776" w:rsidRPr="001F1776" w:rsidRDefault="001F1776" w:rsidP="001F1776">
            <w:pPr>
              <w:numPr>
                <w:ilvl w:val="0"/>
                <w:numId w:val="8"/>
              </w:numPr>
              <w:contextualSpacing/>
              <w:rPr>
                <w:rFonts w:eastAsia="Calibri"/>
                <w:i/>
                <w:sz w:val="18"/>
                <w:szCs w:val="20"/>
                <w:lang w:val="sk-SK" w:eastAsia="sk-SK"/>
              </w:rPr>
            </w:pPr>
            <w:r w:rsidRPr="001F1776">
              <w:rPr>
                <w:rFonts w:eastAsia="Calibri"/>
                <w:i/>
                <w:sz w:val="18"/>
                <w:szCs w:val="20"/>
                <w:lang w:val="sk-SK" w:eastAsia="sk-SK"/>
              </w:rPr>
              <w:t>priemerný pokles príjmov/ rast výdavkov v skupine v eurách a/alebo v % / obdobie:</w:t>
            </w:r>
          </w:p>
          <w:p w:rsidR="001F1776" w:rsidRPr="001F1776" w:rsidRDefault="001F1776" w:rsidP="001F1776">
            <w:pPr>
              <w:numPr>
                <w:ilvl w:val="0"/>
                <w:numId w:val="8"/>
              </w:numPr>
              <w:contextualSpacing/>
              <w:rPr>
                <w:rFonts w:eastAsia="Calibri"/>
                <w:i/>
                <w:sz w:val="20"/>
                <w:szCs w:val="20"/>
                <w:lang w:val="sk-SK" w:eastAsia="sk-SK"/>
              </w:rPr>
            </w:pPr>
            <w:r w:rsidRPr="001F1776">
              <w:rPr>
                <w:rFonts w:eastAsia="Calibri"/>
                <w:i/>
                <w:sz w:val="18"/>
                <w:szCs w:val="20"/>
                <w:lang w:val="sk-SK" w:eastAsia="sk-SK"/>
              </w:rPr>
              <w:t>veľkosť skupiny (počet obyvateľov):</w:t>
            </w:r>
          </w:p>
        </w:tc>
        <w:tc>
          <w:tcPr>
            <w:tcW w:w="3229" w:type="pct"/>
            <w:tcBorders>
              <w:top w:val="dotted"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sz w:val="20"/>
                <w:szCs w:val="20"/>
                <w:lang w:val="sk-SK" w:eastAsia="sk-SK"/>
              </w:rPr>
              <w:t xml:space="preserve">– </w:t>
            </w:r>
          </w:p>
        </w:tc>
      </w:tr>
      <w:tr w:rsidR="001F1776" w:rsidRPr="001F1776" w:rsidTr="001F1776">
        <w:trPr>
          <w:trHeight w:val="680"/>
          <w:jc w:val="center"/>
        </w:trPr>
        <w:tc>
          <w:tcPr>
            <w:tcW w:w="129" w:type="pct"/>
            <w:vMerge/>
            <w:shd w:val="clear" w:color="auto" w:fill="auto"/>
            <w:vAlign w:val="center"/>
          </w:tcPr>
          <w:p w:rsidR="001F1776" w:rsidRPr="001F1776" w:rsidRDefault="001F1776" w:rsidP="001F1776">
            <w:pPr>
              <w:jc w:val="center"/>
              <w:rPr>
                <w:rFonts w:eastAsia="Calibri"/>
                <w:i/>
                <w:sz w:val="18"/>
                <w:szCs w:val="18"/>
                <w:lang w:val="sk-SK" w:eastAsia="sk-SK"/>
              </w:rPr>
            </w:pPr>
          </w:p>
        </w:tc>
        <w:tc>
          <w:tcPr>
            <w:tcW w:w="1642" w:type="pct"/>
            <w:shd w:val="clear" w:color="auto" w:fill="auto"/>
          </w:tcPr>
          <w:p w:rsidR="001F1776" w:rsidRPr="001F1776" w:rsidRDefault="001F1776" w:rsidP="001F1776">
            <w:pPr>
              <w:rPr>
                <w:rFonts w:eastAsia="Calibri"/>
                <w:i/>
                <w:sz w:val="20"/>
                <w:szCs w:val="20"/>
                <w:lang w:val="sk-SK" w:eastAsia="sk-SK"/>
              </w:rPr>
            </w:pPr>
            <w:r w:rsidRPr="001F1776">
              <w:rPr>
                <w:rFonts w:eastAsia="Calibri"/>
                <w:i/>
                <w:sz w:val="18"/>
                <w:szCs w:val="20"/>
                <w:lang w:val="sk-SK" w:eastAsia="sk-SK"/>
              </w:rPr>
              <w:t>Ovplyvnená skupina</w:t>
            </w:r>
          </w:p>
        </w:tc>
        <w:tc>
          <w:tcPr>
            <w:tcW w:w="3229" w:type="pct"/>
            <w:tcBorders>
              <w:top w:val="dotted" w:sz="4" w:space="0" w:color="auto"/>
            </w:tcBorders>
            <w:shd w:val="clear" w:color="auto" w:fill="auto"/>
          </w:tcPr>
          <w:p w:rsidR="001F1776" w:rsidRPr="001F1776" w:rsidRDefault="001F1776" w:rsidP="001F1776">
            <w:pPr>
              <w:jc w:val="both"/>
              <w:rPr>
                <w:rFonts w:eastAsia="Calibri"/>
                <w:sz w:val="20"/>
                <w:szCs w:val="20"/>
                <w:lang w:val="sk-SK" w:eastAsia="sk-SK"/>
              </w:rPr>
            </w:pPr>
          </w:p>
        </w:tc>
      </w:tr>
      <w:tr w:rsidR="001F1776" w:rsidRPr="001F1776" w:rsidTr="001F1776">
        <w:trPr>
          <w:trHeight w:val="454"/>
          <w:jc w:val="center"/>
        </w:trPr>
        <w:tc>
          <w:tcPr>
            <w:tcW w:w="129" w:type="pct"/>
            <w:tcBorders>
              <w:top w:val="dotted" w:sz="4" w:space="0" w:color="auto"/>
              <w:bottom w:val="single" w:sz="4" w:space="0" w:color="auto"/>
            </w:tcBorders>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l)</w:t>
            </w:r>
          </w:p>
        </w:tc>
        <w:tc>
          <w:tcPr>
            <w:tcW w:w="1642" w:type="pct"/>
            <w:tcBorders>
              <w:top w:val="dotted" w:sz="4" w:space="0" w:color="auto"/>
              <w:bottom w:val="single" w:sz="4" w:space="0" w:color="auto"/>
            </w:tcBorders>
            <w:shd w:val="clear" w:color="auto" w:fill="auto"/>
          </w:tcPr>
          <w:p w:rsidR="001F1776" w:rsidRPr="001F1776" w:rsidRDefault="001F1776" w:rsidP="001F1776">
            <w:pPr>
              <w:rPr>
                <w:rFonts w:eastAsia="Calibri"/>
                <w:i/>
                <w:sz w:val="20"/>
                <w:szCs w:val="20"/>
                <w:lang w:val="sk-SK" w:eastAsia="sk-SK"/>
              </w:rPr>
            </w:pPr>
            <w:r w:rsidRPr="001F1776">
              <w:rPr>
                <w:rFonts w:eastAsia="Calibri"/>
                <w:i/>
                <w:sz w:val="20"/>
                <w:szCs w:val="20"/>
                <w:lang w:val="sk-SK" w:eastAsia="sk-SK"/>
              </w:rPr>
              <w:t>Dôvod chýbajúcej kvantifikácie:</w:t>
            </w:r>
          </w:p>
        </w:tc>
        <w:tc>
          <w:tcPr>
            <w:tcW w:w="3229" w:type="pct"/>
            <w:tcBorders>
              <w:top w:val="dotted" w:sz="4" w:space="0" w:color="auto"/>
              <w:bottom w:val="single" w:sz="4" w:space="0" w:color="auto"/>
            </w:tcBorders>
            <w:shd w:val="clear" w:color="auto" w:fill="auto"/>
          </w:tcPr>
          <w:p w:rsidR="001F1776" w:rsidRPr="001F1776" w:rsidRDefault="001F1776" w:rsidP="001F1776">
            <w:pPr>
              <w:rPr>
                <w:rFonts w:eastAsia="Calibri"/>
                <w:sz w:val="20"/>
                <w:szCs w:val="20"/>
                <w:lang w:val="sk-SK" w:eastAsia="sk-SK"/>
              </w:rPr>
            </w:pPr>
            <w:r w:rsidRPr="001F1776">
              <w:rPr>
                <w:rFonts w:eastAsia="Calibri"/>
                <w:sz w:val="20"/>
                <w:szCs w:val="20"/>
                <w:lang w:val="sk-SK" w:eastAsia="sk-SK"/>
              </w:rPr>
              <w:t xml:space="preserve">– </w:t>
            </w:r>
          </w:p>
        </w:tc>
      </w:tr>
    </w:tbl>
    <w:p w:rsidR="001F1776" w:rsidRPr="001F1776" w:rsidRDefault="001F1776" w:rsidP="001F1776">
      <w:pPr>
        <w:rPr>
          <w:lang w:val="sk-SK"/>
        </w:rPr>
      </w:pPr>
      <w:r w:rsidRPr="001F1776">
        <w:rPr>
          <w:lang w:val="sk-SK"/>
        </w:rPr>
        <w:br w:type="page"/>
      </w:r>
    </w:p>
    <w:p w:rsidR="001F1776" w:rsidRPr="001F1776" w:rsidRDefault="001F1776" w:rsidP="001F1776">
      <w:pPr>
        <w:rPr>
          <w:lang w:val="sk-SK"/>
        </w:rPr>
        <w:sectPr w:rsidR="001F1776" w:rsidRPr="001F1776" w:rsidSect="001F1776">
          <w:headerReference w:type="default" r:id="rId19"/>
          <w:footerReference w:type="default" r:id="rId20"/>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1F1776" w:rsidRPr="001F1776" w:rsidTr="001F1776">
        <w:trPr>
          <w:trHeight w:val="339"/>
          <w:jc w:val="center"/>
        </w:trPr>
        <w:tc>
          <w:tcPr>
            <w:tcW w:w="4998" w:type="pct"/>
            <w:gridSpan w:val="4"/>
            <w:tcBorders>
              <w:bottom w:val="single" w:sz="4" w:space="0" w:color="auto"/>
            </w:tcBorders>
            <w:shd w:val="clear" w:color="auto" w:fill="D9D9D9"/>
          </w:tcPr>
          <w:p w:rsidR="001F1776" w:rsidRPr="001F1776" w:rsidRDefault="001F1776" w:rsidP="001F1776">
            <w:pPr>
              <w:rPr>
                <w:rFonts w:eastAsia="Calibri"/>
                <w:b/>
                <w:lang w:val="sk-SK" w:eastAsia="sk-SK"/>
              </w:rPr>
            </w:pPr>
            <w:r w:rsidRPr="001F1776">
              <w:rPr>
                <w:rFonts w:eastAsia="Calibri"/>
                <w:b/>
                <w:lang w:val="sk-SK" w:eastAsia="sk-SK"/>
              </w:rPr>
              <w:lastRenderedPageBreak/>
              <w:t>4.2 Identifikujte, popíšte a kvantifikujte vplyvy na prístup k zdrojom, právam, tovarom a službám u jednotlivých ovplyvnených skupín obyvateľstva a vplyv na sociálnu inklúziu.</w:t>
            </w:r>
          </w:p>
        </w:tc>
      </w:tr>
      <w:tr w:rsidR="001F1776" w:rsidRPr="001F1776" w:rsidTr="001F1776">
        <w:trPr>
          <w:trHeight w:val="290"/>
          <w:jc w:val="center"/>
        </w:trPr>
        <w:tc>
          <w:tcPr>
            <w:tcW w:w="4998" w:type="pct"/>
            <w:gridSpan w:val="4"/>
            <w:tcBorders>
              <w:bottom w:val="single" w:sz="4" w:space="0" w:color="auto"/>
            </w:tcBorders>
            <w:shd w:val="clear" w:color="auto" w:fill="F2F2F2"/>
            <w:vAlign w:val="center"/>
          </w:tcPr>
          <w:p w:rsidR="001F1776" w:rsidRPr="001F1776" w:rsidRDefault="001F1776" w:rsidP="001F1776">
            <w:pPr>
              <w:jc w:val="both"/>
              <w:rPr>
                <w:rFonts w:eastAsia="Calibri"/>
                <w:i/>
                <w:sz w:val="20"/>
                <w:lang w:val="sk-SK" w:eastAsia="sk-SK"/>
              </w:rPr>
            </w:pPr>
            <w:r w:rsidRPr="001F1776">
              <w:rPr>
                <w:rFonts w:eastAsia="Calibri"/>
                <w:i/>
                <w:sz w:val="20"/>
                <w:lang w:val="sk-SK" w:eastAsia="sk-SK"/>
              </w:rPr>
              <w:t xml:space="preserve">Má návrh vplyv na prístup k zdrojom, právam, tovarom a službám? </w:t>
            </w:r>
          </w:p>
          <w:p w:rsidR="001F1776" w:rsidRPr="001F1776" w:rsidRDefault="001F1776" w:rsidP="001F1776">
            <w:pPr>
              <w:jc w:val="both"/>
              <w:rPr>
                <w:rFonts w:ascii="Calibri" w:eastAsia="Calibri" w:hAnsi="Calibri"/>
                <w:i/>
                <w:lang w:val="sk-SK" w:eastAsia="sk-SK"/>
              </w:rPr>
            </w:pPr>
            <w:r w:rsidRPr="001F1776">
              <w:rPr>
                <w:rFonts w:eastAsia="Calibri"/>
                <w:i/>
                <w:sz w:val="20"/>
                <w:lang w:val="sk-SK"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1F1776" w:rsidRPr="001F1776" w:rsidTr="001F1776">
        <w:tblPrEx>
          <w:tblBorders>
            <w:top w:val="none" w:sz="0" w:space="0" w:color="auto"/>
            <w:bottom w:val="none" w:sz="0" w:space="0" w:color="auto"/>
          </w:tblBorders>
        </w:tblPrEx>
        <w:trPr>
          <w:trHeight w:val="557"/>
          <w:jc w:val="center"/>
        </w:trPr>
        <w:tc>
          <w:tcPr>
            <w:tcW w:w="180" w:type="pct"/>
            <w:shd w:val="clear" w:color="auto" w:fill="auto"/>
            <w:vAlign w:val="center"/>
          </w:tcPr>
          <w:p w:rsidR="001F1776" w:rsidRPr="001F1776" w:rsidRDefault="001F1776" w:rsidP="001F1776">
            <w:pPr>
              <w:jc w:val="center"/>
              <w:rPr>
                <w:rFonts w:eastAsia="Calibri"/>
                <w:i/>
                <w:sz w:val="18"/>
                <w:szCs w:val="18"/>
                <w:lang w:val="sk-SK" w:eastAsia="sk-SK"/>
              </w:rPr>
            </w:pPr>
            <w:r w:rsidRPr="001F1776">
              <w:rPr>
                <w:rFonts w:eastAsia="Calibri"/>
                <w:i/>
                <w:sz w:val="18"/>
                <w:szCs w:val="18"/>
                <w:lang w:val="sk-SK" w:eastAsia="sk-SK"/>
              </w:rPr>
              <w:t>a)</w:t>
            </w:r>
          </w:p>
        </w:tc>
        <w:tc>
          <w:tcPr>
            <w:tcW w:w="1893" w:type="pct"/>
            <w:gridSpan w:val="2"/>
            <w:shd w:val="clear" w:color="auto" w:fill="auto"/>
          </w:tcPr>
          <w:p w:rsidR="001F1776" w:rsidRPr="001F1776" w:rsidRDefault="001F1776" w:rsidP="001F1776">
            <w:pPr>
              <w:jc w:val="both"/>
              <w:rPr>
                <w:rFonts w:eastAsia="Calibri"/>
                <w:i/>
                <w:sz w:val="18"/>
                <w:szCs w:val="18"/>
                <w:lang w:val="sk-SK" w:eastAsia="sk-SK"/>
              </w:rPr>
            </w:pPr>
            <w:r w:rsidRPr="001F1776">
              <w:rPr>
                <w:rFonts w:eastAsia="Calibri"/>
                <w:i/>
                <w:sz w:val="18"/>
                <w:szCs w:val="18"/>
                <w:lang w:val="sk-SK" w:eastAsia="sk-SK"/>
              </w:rPr>
              <w:t>Rozumie sa najmä na prístup k:</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 xml:space="preserve">sociálnej ochrane, sociálno-právnej ochrane, sociálnym službám (vrátane služieb starostlivosti o deti, starších ľudí a ľudí so    zdravotným postihnutím), </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kvalitnej práci, ochrane zdravia, dôstojnosti a bezpečnosti pri práci pre zamestnancov a existujúcim zamestnaneckým právam,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 xml:space="preserve">pomoci pri úhrade výdavkov súvisiacich so zdravotným postihnutím, </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zamestnaniu, na trh práce (napr. uľahčenie zosúladenia rodinných a pracovných povinností, služby zamestnanosti), k školeniam, odbornému vzdelávaniu a príprave na trh práce,</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 xml:space="preserve">zdravotnej starostlivosti vrátane cenovo dostupných pomôcok pre občanov so zdravotným postihnutím, </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k formálnemu i neformálnemu vzdelávaniu a celo</w:t>
            </w:r>
            <w:r w:rsidRPr="001F1776">
              <w:rPr>
                <w:rFonts w:eastAsia="Calibri"/>
                <w:i/>
                <w:sz w:val="18"/>
                <w:szCs w:val="18"/>
                <w:lang w:val="sk-SK" w:eastAsia="sk-SK"/>
              </w:rPr>
              <w:softHyphen/>
              <w:t xml:space="preserve">životnému vzdelávaniu, </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bývaniu a súvisiacim základným komunálnym službám,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doprave,</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ďalším službám najmä službám všeobecného záujmu a tovarom,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spravodlivosti, právnej ochrane, právnym službám,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informáciám,</w:t>
            </w:r>
          </w:p>
          <w:p w:rsidR="001F1776" w:rsidRPr="001F1776" w:rsidRDefault="001F1776" w:rsidP="001F1776">
            <w:pPr>
              <w:numPr>
                <w:ilvl w:val="0"/>
                <w:numId w:val="6"/>
              </w:numPr>
              <w:ind w:left="170" w:hanging="170"/>
              <w:jc w:val="both"/>
              <w:rPr>
                <w:rFonts w:ascii="Calibri" w:eastAsia="Calibri" w:hAnsi="Calibri"/>
                <w:i/>
                <w:sz w:val="20"/>
                <w:szCs w:val="20"/>
                <w:lang w:val="sk-SK" w:eastAsia="sk-SK"/>
              </w:rPr>
            </w:pPr>
            <w:r w:rsidRPr="001F1776">
              <w:rPr>
                <w:rFonts w:eastAsia="Calibri"/>
                <w:i/>
                <w:sz w:val="18"/>
                <w:szCs w:val="18"/>
                <w:lang w:val="sk-SK" w:eastAsia="sk-SK"/>
              </w:rPr>
              <w:t>k iným právam (napr. politickým).</w:t>
            </w:r>
          </w:p>
        </w:tc>
        <w:tc>
          <w:tcPr>
            <w:tcW w:w="2926" w:type="pct"/>
            <w:shd w:val="clear" w:color="auto" w:fill="auto"/>
          </w:tcPr>
          <w:p w:rsidR="001F1776" w:rsidRPr="001F1776" w:rsidRDefault="001F1776" w:rsidP="001F1776">
            <w:pPr>
              <w:jc w:val="both"/>
              <w:rPr>
                <w:rFonts w:eastAsia="Calibri"/>
                <w:i/>
                <w:sz w:val="18"/>
                <w:szCs w:val="18"/>
                <w:lang w:val="sk-SK" w:eastAsia="sk-SK"/>
              </w:rPr>
            </w:pPr>
            <w:r w:rsidRPr="001F1776">
              <w:rPr>
                <w:rFonts w:eastAsia="Calibri"/>
                <w:i/>
                <w:sz w:val="18"/>
                <w:szCs w:val="18"/>
                <w:lang w:val="sk-SK" w:eastAsia="sk-SK"/>
              </w:rPr>
              <w:t>Uvedený návrh systémovo upravuje prvotnú integráciu azylantov a cudzincov, ktorým sa poskytla doplnková ochrana a okrem príspevkov zabezpečuje pre dotknuté skupiny sociálne poradenstvo, psychologické poradenstvo alebo iné poradenstvo a kurz kultúrnej orientácie na základe ich individuálnych potrieb. Spomínané služby sú poskytované aj v súčasnosti v rámci integračného projektu financovaného z prostriedkov Fondu pre azyl, migráciu a integráciu. Z praxe vyplýva potreba naďalej zabezpečovať tieto služby pre uvedené skupiny, nakoľko sú kľúčové pre ich integráciu do spoločnosti. Uvedený návrh teda zabezpečí plynulé pokračovanie služieb aj v prípade, ak by financovanie z prostriedkov spomínaného fondu nebolo možné. Tiež umožňuje ubytovať v integračnom stredisku cudzincov, ktorým sa poskytla doplnková ochrana (nielen azylantov ako je tomu v súčasnosti). Všetky uvedené opatrenia majú pozitívny vplyv na azylantov a cudzincov, ktorým sa poskytla doplnková ochrana, ktorí zároveň patria do skupiny ohrozenej rizikom chudoby a sociálneho vylúčenia.</w:t>
            </w:r>
          </w:p>
          <w:p w:rsidR="001F1776" w:rsidRPr="001F1776" w:rsidRDefault="001F1776" w:rsidP="001F1776">
            <w:pPr>
              <w:jc w:val="both"/>
              <w:rPr>
                <w:rFonts w:eastAsia="Calibri"/>
                <w:i/>
                <w:sz w:val="18"/>
                <w:szCs w:val="18"/>
                <w:lang w:val="sk-SK" w:eastAsia="sk-SK"/>
              </w:rPr>
            </w:pPr>
            <w:r w:rsidRPr="001F1776">
              <w:rPr>
                <w:rFonts w:eastAsia="Calibri"/>
                <w:i/>
                <w:sz w:val="18"/>
                <w:szCs w:val="18"/>
                <w:lang w:val="sk-SK" w:eastAsia="sk-SK"/>
              </w:rPr>
              <w:t>Uvedený návrh tiež ustanovuje zabezpečenie sociálneho poradenstva, psychologického poradenstva alebo iného poradenstva a kurzu kultúrnej orientácie aj pre žiadateľov o udelenie azylu. Aj v prípade žiadateľov o udelenie azyl nejde o nové služby, ale z praxe vyplýva potreba ich zakotvenia priamo v zákone, nakoľko v súčasnosti sú taktiež poskytované z Fondu pre azyl, migráciu a integráciu. Na žiadateľov o udelenie azylu má pozitívny vplyv aj skrátenie lehoty vstupu na pracovný trh z 9 mesiacov na 6 mesiacov od začatia konania o udelenie azylu.</w:t>
            </w:r>
          </w:p>
          <w:p w:rsidR="001F1776" w:rsidRPr="001F1776" w:rsidRDefault="001F1776" w:rsidP="001F1776">
            <w:pPr>
              <w:jc w:val="both"/>
              <w:rPr>
                <w:rFonts w:eastAsia="Calibri"/>
                <w:sz w:val="20"/>
                <w:szCs w:val="20"/>
                <w:lang w:val="sk-SK" w:eastAsia="sk-SK"/>
              </w:rPr>
            </w:pPr>
          </w:p>
        </w:tc>
      </w:tr>
      <w:tr w:rsidR="001F1776" w:rsidRPr="001F1776" w:rsidTr="001F1776">
        <w:trPr>
          <w:jc w:val="center"/>
        </w:trPr>
        <w:tc>
          <w:tcPr>
            <w:tcW w:w="180" w:type="pct"/>
            <w:tcBorders>
              <w:bottom w:val="single" w:sz="4" w:space="0" w:color="auto"/>
            </w:tcBorders>
            <w:shd w:val="clear" w:color="auto" w:fill="F2F2F2"/>
            <w:vAlign w:val="center"/>
          </w:tcPr>
          <w:p w:rsidR="001F1776" w:rsidRPr="001F1776" w:rsidRDefault="001F1776" w:rsidP="001F1776">
            <w:pPr>
              <w:rPr>
                <w:rFonts w:eastAsia="Calibri"/>
                <w:i/>
                <w:sz w:val="18"/>
                <w:lang w:val="sk-SK" w:eastAsia="sk-SK"/>
              </w:rPr>
            </w:pPr>
            <w:r w:rsidRPr="001F1776">
              <w:rPr>
                <w:rFonts w:eastAsia="Calibri"/>
                <w:i/>
                <w:sz w:val="18"/>
                <w:lang w:val="sk-SK" w:eastAsia="sk-SK"/>
              </w:rPr>
              <w:t>b)</w:t>
            </w:r>
          </w:p>
        </w:tc>
        <w:tc>
          <w:tcPr>
            <w:tcW w:w="4819" w:type="pct"/>
            <w:gridSpan w:val="3"/>
            <w:tcBorders>
              <w:bottom w:val="single" w:sz="4" w:space="0" w:color="auto"/>
            </w:tcBorders>
            <w:shd w:val="clear" w:color="auto" w:fill="F2F2F2"/>
          </w:tcPr>
          <w:p w:rsidR="001F1776" w:rsidRPr="001F1776" w:rsidRDefault="001F1776" w:rsidP="001F1776">
            <w:pPr>
              <w:jc w:val="both"/>
              <w:rPr>
                <w:rFonts w:eastAsia="Calibri"/>
                <w:i/>
                <w:sz w:val="20"/>
                <w:szCs w:val="20"/>
                <w:lang w:val="sk-SK" w:eastAsia="sk-SK"/>
              </w:rPr>
            </w:pPr>
            <w:r w:rsidRPr="001F1776">
              <w:rPr>
                <w:rFonts w:eastAsia="Calibri"/>
                <w:i/>
                <w:sz w:val="20"/>
                <w:szCs w:val="20"/>
                <w:lang w:val="sk-SK" w:eastAsia="sk-SK"/>
              </w:rPr>
              <w:t xml:space="preserve">Má návrh významný vplyv na niektorú zo zraniteľných skupín obyvateľstva alebo skupín v riziku chudoby alebo sociálneho vylúčenia? </w:t>
            </w:r>
          </w:p>
          <w:p w:rsidR="001F1776" w:rsidRPr="001F1776" w:rsidRDefault="001F1776" w:rsidP="001F1776">
            <w:pPr>
              <w:jc w:val="both"/>
              <w:rPr>
                <w:rFonts w:ascii="Calibri" w:eastAsia="Calibri" w:hAnsi="Calibri"/>
                <w:i/>
                <w:lang w:val="sk-SK" w:eastAsia="sk-SK"/>
              </w:rPr>
            </w:pPr>
            <w:r w:rsidRPr="001F1776">
              <w:rPr>
                <w:rFonts w:eastAsia="Calibri"/>
                <w:i/>
                <w:sz w:val="20"/>
                <w:szCs w:val="20"/>
                <w:lang w:val="sk-SK" w:eastAsia="sk-SK"/>
              </w:rPr>
              <w:t>Špecifikujte ovplyvnené skupiny v riziku chudoby a sociálneho vylúčenia a popíšte vplyv na ne. Je tento vplyv väčší ako vplyv na iné skupiny či subjekty? Uveďte veľkosť jednotlivých ovplyvnených skupín.</w:t>
            </w:r>
          </w:p>
        </w:tc>
      </w:tr>
      <w:tr w:rsidR="001F1776" w:rsidRPr="001F1776" w:rsidTr="001F1776">
        <w:tblPrEx>
          <w:tblBorders>
            <w:top w:val="none" w:sz="0" w:space="0" w:color="auto"/>
          </w:tblBorders>
        </w:tblPrEx>
        <w:trPr>
          <w:trHeight w:val="677"/>
          <w:jc w:val="center"/>
        </w:trPr>
        <w:tc>
          <w:tcPr>
            <w:tcW w:w="179" w:type="pct"/>
            <w:shd w:val="clear" w:color="auto" w:fill="auto"/>
            <w:vAlign w:val="center"/>
          </w:tcPr>
          <w:p w:rsidR="001F1776" w:rsidRPr="001F1776" w:rsidRDefault="001F1776" w:rsidP="001F1776">
            <w:pPr>
              <w:rPr>
                <w:rFonts w:eastAsia="Calibri"/>
                <w:i/>
                <w:sz w:val="18"/>
                <w:szCs w:val="18"/>
                <w:lang w:val="sk-SK" w:eastAsia="sk-SK"/>
              </w:rPr>
            </w:pPr>
            <w:r w:rsidRPr="001F1776">
              <w:rPr>
                <w:rFonts w:eastAsia="Calibri"/>
                <w:i/>
                <w:sz w:val="18"/>
                <w:szCs w:val="18"/>
                <w:lang w:val="sk-SK" w:eastAsia="sk-SK"/>
              </w:rPr>
              <w:t>c)</w:t>
            </w:r>
          </w:p>
        </w:tc>
        <w:tc>
          <w:tcPr>
            <w:tcW w:w="1849" w:type="pct"/>
            <w:shd w:val="clear" w:color="auto" w:fill="auto"/>
          </w:tcPr>
          <w:p w:rsidR="001F1776" w:rsidRPr="001F1776" w:rsidRDefault="001F1776" w:rsidP="001F1776">
            <w:pPr>
              <w:jc w:val="both"/>
              <w:rPr>
                <w:rFonts w:eastAsia="Calibri"/>
                <w:i/>
                <w:sz w:val="18"/>
                <w:szCs w:val="18"/>
                <w:lang w:val="sk-SK" w:eastAsia="sk-SK"/>
              </w:rPr>
            </w:pPr>
            <w:r w:rsidRPr="001F1776">
              <w:rPr>
                <w:rFonts w:eastAsia="Calibri"/>
                <w:i/>
                <w:sz w:val="18"/>
                <w:szCs w:val="18"/>
                <w:lang w:val="sk-SK" w:eastAsia="sk-SK"/>
              </w:rPr>
              <w:t>Zraniteľné skupiny alebo skupiny v riziku chudoby alebo sociálneho vylúčenia sú napr.:</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domácnosti s nízkym príjmom (napr. žijúce iba zo sociálnych príjmov, alebo z príjmov pod hranicou rizika chudoby, alebo s príjmom pod životným minimom, alebo patriace medzi 25% domácností s najnižším príjmom),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nezamestnaní, najmä dlhodobo nezamestnaní, mladí nezamestnaní a nezamestnaní nad 50 rokov,</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deti (0 – 17),</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mladí ľudia (18 – 25 rokov),</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starší ľudia, napr. ľudia vo veku nad 65 rokov alebo dôchodcovia,</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ľudia so zdravotným postihnutím,</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 xml:space="preserve">marginalizované rómske komunity </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domácnosti s 3 a viac deťmi,</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jednorodičovské domácnosti s deťmi (neúplné rodiny, ktoré tvoria najmä osamelé matky s deťmi),</w:t>
            </w:r>
          </w:p>
          <w:p w:rsidR="001F1776" w:rsidRPr="001F1776" w:rsidRDefault="001F1776" w:rsidP="001F1776">
            <w:pPr>
              <w:numPr>
                <w:ilvl w:val="0"/>
                <w:numId w:val="6"/>
              </w:numPr>
              <w:ind w:left="170" w:hanging="170"/>
              <w:jc w:val="both"/>
              <w:rPr>
                <w:rFonts w:eastAsia="Calibri"/>
                <w:i/>
                <w:sz w:val="18"/>
                <w:szCs w:val="18"/>
                <w:lang w:val="sk-SK" w:eastAsia="sk-SK"/>
              </w:rPr>
            </w:pPr>
            <w:r w:rsidRPr="001F1776">
              <w:rPr>
                <w:rFonts w:eastAsia="Calibri"/>
                <w:i/>
                <w:sz w:val="18"/>
                <w:szCs w:val="18"/>
                <w:lang w:val="sk-SK" w:eastAsia="sk-SK"/>
              </w:rPr>
              <w:t>príslušníci tretích krajín, azylanti, žiadatelia o azyl,</w:t>
            </w:r>
          </w:p>
          <w:p w:rsidR="001F1776" w:rsidRPr="001F1776" w:rsidRDefault="001F1776" w:rsidP="001F1776">
            <w:pPr>
              <w:numPr>
                <w:ilvl w:val="0"/>
                <w:numId w:val="6"/>
              </w:numPr>
              <w:ind w:left="170" w:hanging="170"/>
              <w:jc w:val="both"/>
              <w:rPr>
                <w:rFonts w:eastAsia="Calibri"/>
                <w:sz w:val="20"/>
                <w:lang w:val="sk-SK" w:eastAsia="sk-SK"/>
              </w:rPr>
            </w:pPr>
            <w:r w:rsidRPr="001F1776">
              <w:rPr>
                <w:rFonts w:eastAsia="Calibri"/>
                <w:i/>
                <w:sz w:val="18"/>
                <w:szCs w:val="18"/>
                <w:lang w:val="sk-SK" w:eastAsia="sk-SK"/>
              </w:rPr>
              <w:t>iné zraniteľné skupiny, ako sú napr. bezdomovci, ľudia opúšťajúci detské domovy alebo iné inštitucionálne zariadenia</w:t>
            </w:r>
          </w:p>
        </w:tc>
        <w:tc>
          <w:tcPr>
            <w:tcW w:w="2972" w:type="pct"/>
            <w:gridSpan w:val="2"/>
            <w:shd w:val="clear" w:color="auto" w:fill="auto"/>
          </w:tcPr>
          <w:p w:rsidR="001F1776" w:rsidRPr="001F1776" w:rsidRDefault="001F1776" w:rsidP="001F1776">
            <w:pPr>
              <w:jc w:val="both"/>
              <w:rPr>
                <w:rFonts w:eastAsia="Calibri"/>
                <w:i/>
                <w:sz w:val="18"/>
                <w:szCs w:val="18"/>
                <w:lang w:val="sk-SK" w:eastAsia="sk-SK"/>
              </w:rPr>
            </w:pPr>
            <w:r w:rsidRPr="001F1776">
              <w:rPr>
                <w:rFonts w:eastAsia="Calibri"/>
                <w:i/>
                <w:sz w:val="18"/>
                <w:szCs w:val="18"/>
                <w:lang w:val="sk-SK" w:eastAsia="sk-SK"/>
              </w:rPr>
              <w:t xml:space="preserve">Uvedený návrh má vplyv na zraniteľnú skupinu obyvateľstva, konkrétne žiadateľov o udelenie azylu, azylantov, a  cudzincov, ktorým sa poskytla doplnková ochrana. Návrh zákona sa zaoberá iba vyššie uvedenou zraniteľnou skupinou, na ktorú má významne pozitívny vplyv. Medzi touto skupinou obyvateľstva sa nachádzajú aj deti, mladí ľudia, ľudia so zdravotným postihnutím, starší ľudia, dôchodcovia, neúplné rodiny, preto majú žiadatelia o udelenie azylu a osoby s udelenou medzinárodnou ochranou (azylanti, cudzinci s poskytnutou doplnkovou ochranou) častokrát viac zraniteľností súčasne. </w:t>
            </w:r>
          </w:p>
        </w:tc>
      </w:tr>
    </w:tbl>
    <w:p w:rsidR="001F1776" w:rsidRPr="001F1776" w:rsidRDefault="001F1776" w:rsidP="001F1776">
      <w:pPr>
        <w:rPr>
          <w:lang w:val="sk-SK"/>
        </w:rPr>
        <w:sectPr w:rsidR="001F1776" w:rsidRPr="001F1776" w:rsidSect="001F1776">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1F1776" w:rsidRPr="001F1776" w:rsidTr="001F1776">
        <w:trPr>
          <w:jc w:val="center"/>
        </w:trPr>
        <w:tc>
          <w:tcPr>
            <w:tcW w:w="5000" w:type="pct"/>
            <w:gridSpan w:val="3"/>
            <w:shd w:val="clear" w:color="auto" w:fill="D9D9D9"/>
          </w:tcPr>
          <w:p w:rsidR="001F1776" w:rsidRPr="001F1776" w:rsidRDefault="001F1776" w:rsidP="001F1776">
            <w:pPr>
              <w:rPr>
                <w:rFonts w:eastAsia="Calibri"/>
                <w:b/>
                <w:lang w:val="sk-SK"/>
              </w:rPr>
            </w:pPr>
            <w:r w:rsidRPr="001F1776">
              <w:rPr>
                <w:rFonts w:eastAsia="Calibri"/>
                <w:b/>
                <w:lang w:val="sk-SK"/>
              </w:rPr>
              <w:lastRenderedPageBreak/>
              <w:t>4.3 Identifikujte a popíšte vplyv na rovnosť príležitostí.</w:t>
            </w:r>
          </w:p>
          <w:p w:rsidR="001F1776" w:rsidRPr="001F1776" w:rsidRDefault="001F1776" w:rsidP="001F1776">
            <w:pPr>
              <w:ind w:left="340"/>
              <w:jc w:val="both"/>
              <w:rPr>
                <w:rFonts w:ascii="Calibri" w:eastAsia="Calibri" w:hAnsi="Calibri"/>
                <w:lang w:val="sk-SK"/>
              </w:rPr>
            </w:pPr>
            <w:r w:rsidRPr="001F1776">
              <w:rPr>
                <w:rFonts w:eastAsia="Calibri"/>
                <w:b/>
                <w:lang w:val="sk-SK"/>
              </w:rPr>
              <w:t>Identifikujte, popíšte a kvantifikujte vplyv na rovnosť žien a mužov.</w:t>
            </w:r>
          </w:p>
        </w:tc>
      </w:tr>
      <w:tr w:rsidR="001F1776" w:rsidRPr="001F1776" w:rsidTr="001F1776">
        <w:trPr>
          <w:jc w:val="center"/>
        </w:trPr>
        <w:tc>
          <w:tcPr>
            <w:tcW w:w="132" w:type="pct"/>
            <w:tcBorders>
              <w:bottom w:val="single" w:sz="4" w:space="0" w:color="auto"/>
            </w:tcBorders>
            <w:shd w:val="clear" w:color="auto" w:fill="F2F2F2"/>
            <w:vAlign w:val="center"/>
          </w:tcPr>
          <w:p w:rsidR="001F1776" w:rsidRPr="001F1776" w:rsidRDefault="001F1776" w:rsidP="001F1776">
            <w:pPr>
              <w:rPr>
                <w:rFonts w:eastAsia="Calibri"/>
                <w:i/>
                <w:lang w:val="sk-SK"/>
              </w:rPr>
            </w:pPr>
            <w:r w:rsidRPr="001F1776">
              <w:rPr>
                <w:rFonts w:eastAsia="Calibri"/>
                <w:i/>
                <w:sz w:val="18"/>
                <w:lang w:val="sk-SK"/>
              </w:rPr>
              <w:t>a)</w:t>
            </w:r>
          </w:p>
        </w:tc>
        <w:tc>
          <w:tcPr>
            <w:tcW w:w="4868" w:type="pct"/>
            <w:gridSpan w:val="2"/>
            <w:tcBorders>
              <w:bottom w:val="single" w:sz="4" w:space="0" w:color="auto"/>
            </w:tcBorders>
            <w:shd w:val="clear" w:color="auto" w:fill="F2F2F2"/>
          </w:tcPr>
          <w:p w:rsidR="001F1776" w:rsidRPr="001F1776" w:rsidRDefault="001F1776" w:rsidP="001F1776">
            <w:pPr>
              <w:jc w:val="both"/>
              <w:rPr>
                <w:rFonts w:eastAsia="Calibri"/>
                <w:i/>
                <w:lang w:val="sk-SK"/>
              </w:rPr>
            </w:pPr>
            <w:r w:rsidRPr="001F1776">
              <w:rPr>
                <w:rFonts w:eastAsia="Calibri"/>
                <w:i/>
                <w:sz w:val="20"/>
                <w:lang w:val="sk-SK"/>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1F1776" w:rsidRPr="001F1776" w:rsidTr="001F1776">
        <w:trPr>
          <w:trHeight w:val="928"/>
          <w:jc w:val="center"/>
        </w:trPr>
        <w:tc>
          <w:tcPr>
            <w:tcW w:w="132" w:type="pct"/>
            <w:tcBorders>
              <w:top w:val="nil"/>
              <w:bottom w:val="nil"/>
            </w:tcBorders>
            <w:shd w:val="clear" w:color="auto" w:fill="auto"/>
          </w:tcPr>
          <w:p w:rsidR="001F1776" w:rsidRPr="001F1776" w:rsidRDefault="001F1776" w:rsidP="001F1776">
            <w:pPr>
              <w:rPr>
                <w:rFonts w:eastAsia="Calibri"/>
                <w:sz w:val="20"/>
                <w:lang w:val="sk-SK"/>
              </w:rPr>
            </w:pPr>
          </w:p>
          <w:p w:rsidR="001F1776" w:rsidRPr="001F1776" w:rsidRDefault="001F1776" w:rsidP="001F1776">
            <w:pPr>
              <w:rPr>
                <w:rFonts w:eastAsia="Calibri"/>
                <w:i/>
                <w:sz w:val="20"/>
                <w:lang w:val="sk-SK"/>
              </w:rPr>
            </w:pPr>
          </w:p>
          <w:p w:rsidR="001F1776" w:rsidRPr="001F1776" w:rsidRDefault="001F1776" w:rsidP="001F1776">
            <w:pPr>
              <w:rPr>
                <w:rFonts w:eastAsia="Calibri"/>
                <w:i/>
                <w:sz w:val="20"/>
                <w:lang w:val="sk-SK"/>
              </w:rPr>
            </w:pPr>
          </w:p>
          <w:p w:rsidR="001F1776" w:rsidRPr="001F1776" w:rsidRDefault="001F1776" w:rsidP="001F1776">
            <w:pPr>
              <w:rPr>
                <w:rFonts w:eastAsia="Calibri"/>
                <w:i/>
                <w:sz w:val="18"/>
                <w:lang w:val="sk-SK"/>
              </w:rPr>
            </w:pPr>
            <w:r w:rsidRPr="001F1776">
              <w:rPr>
                <w:rFonts w:eastAsia="Calibri"/>
                <w:i/>
                <w:sz w:val="18"/>
                <w:lang w:val="sk-SK"/>
              </w:rPr>
              <w:t>b)</w:t>
            </w:r>
          </w:p>
          <w:p w:rsidR="001F1776" w:rsidRPr="001F1776" w:rsidRDefault="001F1776" w:rsidP="001F1776">
            <w:pPr>
              <w:rPr>
                <w:rFonts w:eastAsia="Calibri"/>
                <w:i/>
                <w:sz w:val="20"/>
                <w:lang w:val="sk-SK"/>
              </w:rPr>
            </w:pPr>
          </w:p>
          <w:p w:rsidR="001F1776" w:rsidRPr="001F1776" w:rsidRDefault="001F1776" w:rsidP="001F1776">
            <w:pPr>
              <w:rPr>
                <w:rFonts w:eastAsia="Calibri"/>
                <w:i/>
                <w:sz w:val="20"/>
                <w:lang w:val="sk-SK"/>
              </w:rPr>
            </w:pPr>
          </w:p>
          <w:p w:rsidR="001F1776" w:rsidRPr="001F1776" w:rsidRDefault="001F1776" w:rsidP="001F1776">
            <w:pPr>
              <w:rPr>
                <w:rFonts w:eastAsia="Calibri"/>
                <w:i/>
                <w:sz w:val="20"/>
                <w:lang w:val="sk-SK"/>
              </w:rPr>
            </w:pPr>
          </w:p>
        </w:tc>
        <w:tc>
          <w:tcPr>
            <w:tcW w:w="4868" w:type="pct"/>
            <w:gridSpan w:val="2"/>
            <w:tcBorders>
              <w:top w:val="nil"/>
              <w:bottom w:val="nil"/>
            </w:tcBorders>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 xml:space="preserve">Uvedený návrh zavádza rovnosť príležitostí tým, že zavádza jednorazový príspevok aj pre cudzincov, ktorým sa poskytla doplnková ochrana. Zavedením spomínaného príspevku dôjde k zrovnoprávneniu postavenia osôb s udelenou medzinárodnou ochranou (doteraz bol jednorazový príspevok poskytovaní len azylantom). Jednorazový príspevok sa zavádza v rovnakej výške pre azylantov aj cudzincov, ktorým bola poskytnutá doplnková ochrana a je poskytovaný bez ohľadu na pohlavie, rasu, etnicitu, náboženstvo, vieru, zdravotné postihnutie, vek alebo sexuálnu orientáciu azylanta a cudzinca, ktorému bola poskytnutá doplnková ochrana. Rovnosť príležitostí je zachovaná aj pri integračnom príspevku, s tým rozdielom, že v prípade integračného príspevku sa budú spoločne posudzovať rodinní príslušníci žijúci v spoločnej domácnosti. </w:t>
            </w:r>
          </w:p>
          <w:p w:rsidR="001F1776" w:rsidRPr="001F1776" w:rsidRDefault="001F1776" w:rsidP="001F1776">
            <w:pPr>
              <w:rPr>
                <w:rFonts w:eastAsia="Calibri"/>
                <w:i/>
                <w:sz w:val="20"/>
                <w:lang w:val="sk-SK"/>
              </w:rPr>
            </w:pPr>
          </w:p>
        </w:tc>
      </w:tr>
      <w:tr w:rsidR="001F1776" w:rsidRPr="001F1776" w:rsidTr="001F1776">
        <w:trPr>
          <w:trHeight w:val="345"/>
          <w:jc w:val="center"/>
        </w:trPr>
        <w:tc>
          <w:tcPr>
            <w:tcW w:w="132"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c)</w:t>
            </w:r>
          </w:p>
        </w:tc>
        <w:tc>
          <w:tcPr>
            <w:tcW w:w="4868" w:type="pct"/>
            <w:gridSpan w:val="2"/>
            <w:tcBorders>
              <w:bottom w:val="single" w:sz="4" w:space="0" w:color="auto"/>
            </w:tcBorders>
            <w:shd w:val="clear" w:color="auto" w:fill="F2F2F2"/>
            <w:vAlign w:val="center"/>
          </w:tcPr>
          <w:p w:rsidR="001F1776" w:rsidRPr="001F1776" w:rsidRDefault="001F1776" w:rsidP="001F1776">
            <w:pPr>
              <w:rPr>
                <w:rFonts w:eastAsia="Calibri"/>
                <w:i/>
                <w:sz w:val="20"/>
                <w:szCs w:val="20"/>
                <w:lang w:val="sk-SK"/>
              </w:rPr>
            </w:pPr>
            <w:r w:rsidRPr="001F1776">
              <w:rPr>
                <w:rFonts w:eastAsia="Calibri"/>
                <w:i/>
                <w:sz w:val="20"/>
                <w:szCs w:val="20"/>
                <w:lang w:val="sk-SK"/>
              </w:rPr>
              <w:t xml:space="preserve">4.3.2 Môže návrh viesť k zväčšovaniu nerovností medzi ženami a mužmi? </w:t>
            </w:r>
            <w:r w:rsidRPr="001F1776">
              <w:rPr>
                <w:rFonts w:eastAsia="Calibri"/>
                <w:i/>
                <w:sz w:val="20"/>
                <w:lang w:val="sk-SK"/>
              </w:rPr>
              <w:t xml:space="preserve">Podporuje návrh rovnosť príležitostí? </w:t>
            </w:r>
            <w:r w:rsidRPr="001F1776">
              <w:rPr>
                <w:rFonts w:eastAsia="Calibri"/>
                <w:i/>
                <w:sz w:val="20"/>
                <w:szCs w:val="20"/>
                <w:lang w:val="sk-SK"/>
              </w:rPr>
              <w:t>Má návrh odlišný vplyv na ženy a mužov? Popíšte vplyvy.</w:t>
            </w:r>
          </w:p>
        </w:tc>
      </w:tr>
      <w:tr w:rsidR="001F1776" w:rsidRPr="001F1776" w:rsidTr="001F1776">
        <w:tblPrEx>
          <w:tblBorders>
            <w:top w:val="none" w:sz="0" w:space="0" w:color="auto"/>
            <w:bottom w:val="none" w:sz="0" w:space="0" w:color="auto"/>
          </w:tblBorders>
        </w:tblPrEx>
        <w:trPr>
          <w:trHeight w:val="372"/>
          <w:jc w:val="center"/>
        </w:trPr>
        <w:tc>
          <w:tcPr>
            <w:tcW w:w="132" w:type="pct"/>
            <w:shd w:val="clear" w:color="auto" w:fill="auto"/>
            <w:vAlign w:val="center"/>
          </w:tcPr>
          <w:p w:rsidR="001F1776" w:rsidRPr="001F1776" w:rsidRDefault="001F1776" w:rsidP="001F1776">
            <w:pPr>
              <w:rPr>
                <w:rFonts w:eastAsia="Calibri"/>
                <w:i/>
                <w:sz w:val="18"/>
                <w:szCs w:val="18"/>
                <w:lang w:val="sk-SK" w:eastAsia="sk-SK"/>
              </w:rPr>
            </w:pPr>
            <w:r w:rsidRPr="001F1776">
              <w:rPr>
                <w:rFonts w:eastAsia="Calibri"/>
                <w:i/>
                <w:sz w:val="18"/>
                <w:szCs w:val="18"/>
                <w:lang w:val="sk-SK" w:eastAsia="sk-SK"/>
              </w:rPr>
              <w:t>d)</w:t>
            </w:r>
          </w:p>
        </w:tc>
        <w:tc>
          <w:tcPr>
            <w:tcW w:w="1880" w:type="pct"/>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Popíšte riziká návrhu, ktoré môžu viesť k zväčšovaniu nerovností:</w:t>
            </w:r>
          </w:p>
        </w:tc>
        <w:tc>
          <w:tcPr>
            <w:tcW w:w="2988" w:type="pct"/>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Nie, návrh nevedie k zväčšovaniu nerovností medzi ženami a mužmi, ani nemá na nich odlišný vplyv.</w:t>
            </w:r>
          </w:p>
        </w:tc>
      </w:tr>
      <w:tr w:rsidR="001F1776" w:rsidRPr="001F1776" w:rsidTr="001F1776">
        <w:tblPrEx>
          <w:tblBorders>
            <w:top w:val="none" w:sz="0" w:space="0" w:color="auto"/>
            <w:bottom w:val="none" w:sz="0" w:space="0" w:color="auto"/>
          </w:tblBorders>
        </w:tblPrEx>
        <w:trPr>
          <w:trHeight w:val="371"/>
          <w:jc w:val="center"/>
        </w:trPr>
        <w:tc>
          <w:tcPr>
            <w:tcW w:w="132" w:type="pct"/>
            <w:shd w:val="clear" w:color="auto" w:fill="auto"/>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e)</w:t>
            </w:r>
          </w:p>
        </w:tc>
        <w:tc>
          <w:tcPr>
            <w:tcW w:w="1880" w:type="pct"/>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Popíšte pozitívne vplyvy návrhu na dosahovanie rovnosti žien a mužov, rovnosti príležitostí žien a mužov, prípadne vplyvy na ženy a mužov, ak sú odlišné:</w:t>
            </w:r>
          </w:p>
        </w:tc>
        <w:tc>
          <w:tcPr>
            <w:tcW w:w="2988" w:type="pct"/>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Všetky uvedené návrhy sa týkajú azylantov, cudzincov, ktorým sa poskytla doplnková ochrana a žiadateľov o udelenie azylu bez ohľadu na pohlavie. Návrh má teda pozitívny vplyv na rovnosť príležitostí žien a mužov.</w:t>
            </w:r>
          </w:p>
        </w:tc>
      </w:tr>
      <w:tr w:rsidR="001F1776" w:rsidRPr="001F1776" w:rsidTr="001F1776">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f)</w:t>
            </w:r>
          </w:p>
        </w:tc>
        <w:tc>
          <w:tcPr>
            <w:tcW w:w="1880" w:type="pct"/>
            <w:tcBorders>
              <w:bottom w:val="single" w:sz="4" w:space="0" w:color="auto"/>
            </w:tcBorders>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eastAsia="sk-SK"/>
              </w:rPr>
              <w:t>Uvedený návrh má vplyv na zraniteľnú skupinu obyvateľstva, konkrétne ide o žiadateľov o udelenie azylu, azylantov a tiež o cudzincov, ktorým sa poskytla doplnková ochrana. Návrh zákona sa zaoberá iba vyššie uvedenou zraniteľnou skupinou, na ktorú má významne pozitívny vplyv. Medzi touto skupinou obyvateľstva sa nachádzajú aj deti, mladí ľudia, ľudia so zdravotným postihnutím, starší ľudia, dôchodcovia, neúplné rodiny, preto majú žiadatelia, azylanti a cudzinci, ktorým sa  poskytla doplnková ochrana častokrát viac zraniteľností súčasne. To sa vzťahuje aj na skupinu žien cudziniek, ktoré žiadajú o udelenie azylu alebo majú udelený azyl alebo poskytnutú doplnkovú ochrany.</w:t>
            </w:r>
          </w:p>
        </w:tc>
      </w:tr>
      <w:tr w:rsidR="001F1776" w:rsidRPr="001F1776" w:rsidTr="001F1776">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g)</w:t>
            </w:r>
          </w:p>
        </w:tc>
        <w:tc>
          <w:tcPr>
            <w:tcW w:w="1880" w:type="pct"/>
            <w:tcBorders>
              <w:top w:val="single" w:sz="4" w:space="0" w:color="auto"/>
              <w:bottom w:val="single" w:sz="4" w:space="0" w:color="auto"/>
            </w:tcBorders>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1F1776" w:rsidRPr="001F1776" w:rsidRDefault="001F1776" w:rsidP="001F1776">
            <w:pPr>
              <w:jc w:val="both"/>
              <w:rPr>
                <w:color w:val="000000"/>
                <w:sz w:val="27"/>
                <w:szCs w:val="27"/>
                <w:lang w:val="sk-SK"/>
              </w:rPr>
            </w:pPr>
            <w:r w:rsidRPr="001F1776">
              <w:rPr>
                <w:rFonts w:eastAsia="Calibri"/>
                <w:i/>
                <w:sz w:val="18"/>
                <w:szCs w:val="18"/>
                <w:lang w:val="sk-SK"/>
              </w:rPr>
              <w:t xml:space="preserve">V ktorých oblastiach podpory rovnosti žien a mužov návrh odstraňuje prekážky a/alebo podporuje rovnosť žien a mužov? </w:t>
            </w:r>
            <w:r w:rsidRPr="001F1776">
              <w:rPr>
                <w:i/>
                <w:iCs/>
                <w:color w:val="000000"/>
                <w:sz w:val="18"/>
                <w:szCs w:val="18"/>
                <w:lang w:val="sk-SK"/>
              </w:rPr>
              <w:t>Medzi oblasti podpory rovnosti žien a mužov okrem iného patria:</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podpora slobodného výberu povolania a ekonomickej činnosti</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 xml:space="preserve">podpora vyrovnávania ekonomickej nezávislosti, </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 xml:space="preserve">zosúladenie pracovného, súkromného a rodinného života, </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 xml:space="preserve">podpora rovnosti príležitostí pri participácii na rozhodovaní, </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 xml:space="preserve">boj proti domácemu násiliu,  násiliu na ženách  a obchodovaniu s ľuďmi, </w:t>
            </w:r>
          </w:p>
          <w:p w:rsidR="001F1776" w:rsidRPr="001F1776" w:rsidRDefault="001F1776" w:rsidP="001F1776">
            <w:pPr>
              <w:numPr>
                <w:ilvl w:val="0"/>
                <w:numId w:val="7"/>
              </w:numPr>
              <w:ind w:left="170" w:hanging="170"/>
              <w:jc w:val="both"/>
              <w:rPr>
                <w:rFonts w:eastAsia="Calibri"/>
                <w:i/>
                <w:sz w:val="18"/>
                <w:szCs w:val="18"/>
                <w:lang w:val="sk-SK" w:eastAsia="sk-SK"/>
              </w:rPr>
            </w:pPr>
            <w:r w:rsidRPr="001F1776">
              <w:rPr>
                <w:rFonts w:eastAsia="Calibri"/>
                <w:i/>
                <w:sz w:val="18"/>
                <w:szCs w:val="18"/>
                <w:lang w:val="sk-SK" w:eastAsia="sk-SK"/>
              </w:rPr>
              <w:t>podpora vnímania osobnej starostlivosti o dieťa za rovnocennú s ekonomickou činnosťou a podpora neviditeľnej práce v domácnosti ako takej,</w:t>
            </w:r>
          </w:p>
          <w:p w:rsidR="001F1776" w:rsidRPr="001F1776" w:rsidRDefault="001F1776" w:rsidP="001F1776">
            <w:pPr>
              <w:numPr>
                <w:ilvl w:val="0"/>
                <w:numId w:val="7"/>
              </w:numPr>
              <w:ind w:left="170" w:hanging="170"/>
              <w:jc w:val="both"/>
              <w:rPr>
                <w:rFonts w:eastAsia="Calibri"/>
                <w:i/>
                <w:sz w:val="18"/>
                <w:szCs w:val="18"/>
                <w:lang w:val="sk-SK"/>
              </w:rPr>
            </w:pPr>
            <w:r w:rsidRPr="001F1776">
              <w:rPr>
                <w:rFonts w:eastAsia="Calibri"/>
                <w:i/>
                <w:sz w:val="18"/>
                <w:szCs w:val="18"/>
                <w:lang w:val="sk-SK"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1F1776" w:rsidRPr="001F1776" w:rsidRDefault="001F1776" w:rsidP="001F1776">
            <w:pPr>
              <w:jc w:val="both"/>
              <w:rPr>
                <w:rFonts w:eastAsia="Calibri"/>
                <w:i/>
                <w:sz w:val="18"/>
                <w:szCs w:val="18"/>
                <w:lang w:val="sk-SK"/>
              </w:rPr>
            </w:pPr>
            <w:r w:rsidRPr="001F1776">
              <w:rPr>
                <w:rFonts w:eastAsia="Calibri"/>
                <w:i/>
                <w:sz w:val="18"/>
                <w:szCs w:val="18"/>
                <w:lang w:val="sk-SK"/>
              </w:rPr>
              <w:t>V návrhu nie sú žiadne ustanovenia, ktoré by negatívne ovplyvňovali rovnosť žien a mužov.</w:t>
            </w:r>
          </w:p>
        </w:tc>
      </w:tr>
    </w:tbl>
    <w:p w:rsidR="001F1776" w:rsidRPr="001F1776" w:rsidRDefault="001F1776" w:rsidP="001F1776">
      <w:pPr>
        <w:rPr>
          <w:rFonts w:eastAsia="Calibri"/>
          <w:b/>
          <w:lang w:val="sk-SK" w:eastAsia="sk-SK"/>
        </w:rPr>
        <w:sectPr w:rsidR="001F1776" w:rsidRPr="001F1776" w:rsidSect="001F1776">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4"/>
        <w:gridCol w:w="5715"/>
      </w:tblGrid>
      <w:tr w:rsidR="001F1776" w:rsidRPr="001F1776" w:rsidTr="001F1776">
        <w:trPr>
          <w:jc w:val="center"/>
        </w:trPr>
        <w:tc>
          <w:tcPr>
            <w:tcW w:w="5000" w:type="pct"/>
            <w:gridSpan w:val="3"/>
            <w:shd w:val="clear" w:color="auto" w:fill="D9D9D9"/>
          </w:tcPr>
          <w:p w:rsidR="001F1776" w:rsidRPr="001F1776" w:rsidRDefault="001F1776" w:rsidP="001F1776">
            <w:pPr>
              <w:rPr>
                <w:rFonts w:eastAsia="Calibri"/>
                <w:b/>
                <w:lang w:val="sk-SK" w:eastAsia="sk-SK"/>
              </w:rPr>
            </w:pPr>
            <w:r w:rsidRPr="001F1776">
              <w:rPr>
                <w:rFonts w:eastAsia="Calibri"/>
                <w:b/>
                <w:lang w:val="sk-SK" w:eastAsia="sk-SK"/>
              </w:rPr>
              <w:lastRenderedPageBreak/>
              <w:t>4.4 Identifikujte, popíšte a kvantifikujte vplyvy na zamestnanosť a na trh práce.</w:t>
            </w:r>
          </w:p>
          <w:p w:rsidR="001F1776" w:rsidRPr="001F1776" w:rsidRDefault="001F1776" w:rsidP="001F1776">
            <w:pPr>
              <w:jc w:val="both"/>
              <w:rPr>
                <w:rFonts w:eastAsia="Calibri"/>
                <w:i/>
                <w:lang w:val="sk-SK" w:eastAsia="sk-SK"/>
              </w:rPr>
            </w:pPr>
            <w:r w:rsidRPr="001F1776">
              <w:rPr>
                <w:rFonts w:eastAsia="Calibri"/>
                <w:i/>
                <w:lang w:val="sk-SK" w:eastAsia="sk-SK"/>
              </w:rPr>
              <w:t xml:space="preserve">V prípade kladnej odpovede pripojte </w:t>
            </w:r>
            <w:r w:rsidRPr="001F1776">
              <w:rPr>
                <w:rFonts w:eastAsia="Calibri"/>
                <w:b/>
                <w:i/>
                <w:lang w:val="sk-SK" w:eastAsia="sk-SK"/>
              </w:rPr>
              <w:t>odôvodnenie</w:t>
            </w:r>
            <w:r w:rsidRPr="001F1776">
              <w:rPr>
                <w:rFonts w:eastAsia="Calibri"/>
                <w:i/>
                <w:lang w:val="sk-SK" w:eastAsia="sk-SK"/>
              </w:rPr>
              <w:t xml:space="preserve"> v súlade s Metodickým postupom pre analýzu sociálnych vplyvov.</w:t>
            </w:r>
          </w:p>
        </w:tc>
      </w:tr>
      <w:tr w:rsidR="001F1776" w:rsidRPr="001F1776" w:rsidTr="001F1776">
        <w:trPr>
          <w:trHeight w:val="287"/>
          <w:jc w:val="center"/>
        </w:trPr>
        <w:tc>
          <w:tcPr>
            <w:tcW w:w="129" w:type="pct"/>
            <w:tcBorders>
              <w:top w:val="nil"/>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a)</w:t>
            </w:r>
          </w:p>
        </w:tc>
        <w:tc>
          <w:tcPr>
            <w:tcW w:w="4871" w:type="pct"/>
            <w:gridSpan w:val="2"/>
            <w:tcBorders>
              <w:top w:val="nil"/>
              <w:bottom w:val="single" w:sz="4" w:space="0" w:color="auto"/>
            </w:tcBorders>
            <w:shd w:val="clear" w:color="auto" w:fill="F2F2F2"/>
            <w:vAlign w:val="center"/>
          </w:tcPr>
          <w:p w:rsidR="001F1776" w:rsidRPr="001F1776" w:rsidRDefault="001F1776" w:rsidP="001F1776">
            <w:pPr>
              <w:rPr>
                <w:rFonts w:eastAsia="Calibri"/>
                <w:i/>
                <w:sz w:val="20"/>
                <w:szCs w:val="20"/>
                <w:lang w:val="sk-SK"/>
              </w:rPr>
            </w:pPr>
            <w:r w:rsidRPr="001F1776">
              <w:rPr>
                <w:rFonts w:eastAsia="Calibri"/>
                <w:i/>
                <w:sz w:val="20"/>
                <w:szCs w:val="20"/>
                <w:lang w:val="sk-SK"/>
              </w:rPr>
              <w:t>Uľahčuje návrh vznik nových pracovných miest? Ak áno, ako? Ak je to možné, doplňte kvantifikáciu.</w:t>
            </w:r>
          </w:p>
        </w:tc>
      </w:tr>
      <w:tr w:rsidR="001F1776" w:rsidRPr="001F1776" w:rsidTr="001F1776">
        <w:trPr>
          <w:trHeight w:val="567"/>
          <w:jc w:val="center"/>
        </w:trPr>
        <w:tc>
          <w:tcPr>
            <w:tcW w:w="129" w:type="pct"/>
            <w:tcBorders>
              <w:top w:val="nil"/>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b)</w:t>
            </w:r>
          </w:p>
        </w:tc>
        <w:tc>
          <w:tcPr>
            <w:tcW w:w="1838" w:type="pct"/>
            <w:tcBorders>
              <w:top w:val="nil"/>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Pôjde o skupinu zamestnancov - žiadateľov o udelenie azylu.</w:t>
            </w:r>
          </w:p>
        </w:tc>
      </w:tr>
      <w:tr w:rsidR="001F1776" w:rsidRPr="001F1776" w:rsidTr="001F1776">
        <w:trPr>
          <w:trHeight w:val="270"/>
          <w:jc w:val="center"/>
        </w:trPr>
        <w:tc>
          <w:tcPr>
            <w:tcW w:w="129"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c)</w:t>
            </w:r>
          </w:p>
        </w:tc>
        <w:tc>
          <w:tcPr>
            <w:tcW w:w="4871" w:type="pct"/>
            <w:gridSpan w:val="2"/>
            <w:tcBorders>
              <w:bottom w:val="single" w:sz="4" w:space="0" w:color="auto"/>
            </w:tcBorders>
            <w:shd w:val="clear" w:color="auto" w:fill="F2F2F2"/>
            <w:vAlign w:val="center"/>
          </w:tcPr>
          <w:p w:rsidR="001F1776" w:rsidRPr="001F1776" w:rsidRDefault="001F1776" w:rsidP="001F1776">
            <w:pPr>
              <w:rPr>
                <w:rFonts w:eastAsia="Calibri"/>
                <w:i/>
                <w:sz w:val="20"/>
                <w:szCs w:val="20"/>
                <w:lang w:val="sk-SK"/>
              </w:rPr>
            </w:pPr>
            <w:r w:rsidRPr="001F1776">
              <w:rPr>
                <w:rFonts w:eastAsia="Calibri"/>
                <w:i/>
                <w:sz w:val="20"/>
                <w:szCs w:val="20"/>
                <w:lang w:val="sk-SK"/>
              </w:rPr>
              <w:t>Vedie návrh k zániku pracovných miest?</w:t>
            </w:r>
            <w:r w:rsidRPr="001F1776">
              <w:rPr>
                <w:rFonts w:eastAsia="Calibri"/>
                <w:sz w:val="20"/>
                <w:szCs w:val="20"/>
                <w:lang w:val="sk-SK"/>
              </w:rPr>
              <w:t xml:space="preserve"> </w:t>
            </w:r>
            <w:r w:rsidRPr="001F1776">
              <w:rPr>
                <w:rFonts w:eastAsia="Calibri"/>
                <w:i/>
                <w:sz w:val="20"/>
                <w:szCs w:val="20"/>
                <w:lang w:val="sk-SK"/>
              </w:rPr>
              <w:t>Ak áno, ako a akých? Ak je to možné, doplňte kvantifikáciu</w:t>
            </w:r>
          </w:p>
        </w:tc>
      </w:tr>
      <w:tr w:rsidR="001F1776" w:rsidRPr="001F1776" w:rsidTr="001F1776">
        <w:trPr>
          <w:trHeight w:val="454"/>
          <w:jc w:val="center"/>
        </w:trPr>
        <w:tc>
          <w:tcPr>
            <w:tcW w:w="129" w:type="pct"/>
            <w:tcBorders>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d)</w:t>
            </w:r>
          </w:p>
        </w:tc>
        <w:tc>
          <w:tcPr>
            <w:tcW w:w="1838"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1F1776" w:rsidRPr="001F1776" w:rsidRDefault="001F1776" w:rsidP="001F1776">
            <w:pPr>
              <w:rPr>
                <w:rFonts w:eastAsia="Calibri"/>
                <w:i/>
                <w:sz w:val="18"/>
                <w:szCs w:val="18"/>
                <w:lang w:val="sk-SK"/>
              </w:rPr>
            </w:pPr>
            <w:r w:rsidRPr="001F1776">
              <w:rPr>
                <w:rFonts w:eastAsia="Calibri"/>
                <w:i/>
                <w:sz w:val="18"/>
                <w:szCs w:val="18"/>
                <w:lang w:val="sk-SK"/>
              </w:rPr>
              <w:t>Nie.</w:t>
            </w:r>
          </w:p>
        </w:tc>
      </w:tr>
      <w:tr w:rsidR="001F1776" w:rsidRPr="001F1776" w:rsidTr="001F1776">
        <w:trPr>
          <w:trHeight w:val="248"/>
          <w:jc w:val="center"/>
        </w:trPr>
        <w:tc>
          <w:tcPr>
            <w:tcW w:w="129"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e)</w:t>
            </w:r>
          </w:p>
        </w:tc>
        <w:tc>
          <w:tcPr>
            <w:tcW w:w="4871" w:type="pct"/>
            <w:gridSpan w:val="2"/>
            <w:tcBorders>
              <w:bottom w:val="single" w:sz="4" w:space="0" w:color="auto"/>
            </w:tcBorders>
            <w:shd w:val="clear" w:color="auto" w:fill="F2F2F2"/>
            <w:vAlign w:val="center"/>
          </w:tcPr>
          <w:p w:rsidR="001F1776" w:rsidRPr="001F1776" w:rsidRDefault="001F1776" w:rsidP="001F1776">
            <w:pPr>
              <w:rPr>
                <w:rFonts w:eastAsia="Calibri"/>
                <w:sz w:val="20"/>
                <w:szCs w:val="20"/>
                <w:lang w:val="sk-SK"/>
              </w:rPr>
            </w:pPr>
            <w:r w:rsidRPr="001F1776">
              <w:rPr>
                <w:rFonts w:eastAsia="Calibri"/>
                <w:i/>
                <w:sz w:val="20"/>
                <w:szCs w:val="20"/>
                <w:lang w:val="sk-SK"/>
              </w:rPr>
              <w:t>Ovplyvňuje návrh dopyt po práci? Ak áno, ako?</w:t>
            </w:r>
          </w:p>
        </w:tc>
      </w:tr>
      <w:tr w:rsidR="001F1776" w:rsidRPr="001F1776" w:rsidTr="001F1776">
        <w:trPr>
          <w:trHeight w:val="209"/>
          <w:jc w:val="center"/>
        </w:trPr>
        <w:tc>
          <w:tcPr>
            <w:tcW w:w="129" w:type="pct"/>
            <w:tcBorders>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f)</w:t>
            </w:r>
          </w:p>
        </w:tc>
        <w:tc>
          <w:tcPr>
            <w:tcW w:w="1838"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1F1776" w:rsidRPr="001F1776" w:rsidRDefault="001F1776" w:rsidP="001F1776">
            <w:pPr>
              <w:rPr>
                <w:rFonts w:eastAsia="Calibri"/>
                <w:i/>
                <w:sz w:val="18"/>
                <w:szCs w:val="18"/>
                <w:lang w:val="sk-SK"/>
              </w:rPr>
            </w:pPr>
            <w:r w:rsidRPr="001F1776">
              <w:rPr>
                <w:rFonts w:eastAsia="Calibri"/>
                <w:i/>
                <w:sz w:val="18"/>
                <w:szCs w:val="18"/>
                <w:lang w:val="sk-SK"/>
              </w:rPr>
              <w:t>Nie.</w:t>
            </w:r>
          </w:p>
        </w:tc>
      </w:tr>
      <w:tr w:rsidR="001F1776" w:rsidRPr="001F1776" w:rsidTr="001F1776">
        <w:trPr>
          <w:trHeight w:val="208"/>
          <w:jc w:val="center"/>
        </w:trPr>
        <w:tc>
          <w:tcPr>
            <w:tcW w:w="129"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g)</w:t>
            </w:r>
          </w:p>
        </w:tc>
        <w:tc>
          <w:tcPr>
            <w:tcW w:w="4871" w:type="pct"/>
            <w:gridSpan w:val="2"/>
            <w:tcBorders>
              <w:bottom w:val="single" w:sz="4" w:space="0" w:color="auto"/>
            </w:tcBorders>
            <w:shd w:val="clear" w:color="auto" w:fill="F2F2F2"/>
            <w:vAlign w:val="center"/>
          </w:tcPr>
          <w:p w:rsidR="001F1776" w:rsidRPr="001F1776" w:rsidRDefault="001F1776" w:rsidP="001F1776">
            <w:pPr>
              <w:rPr>
                <w:rFonts w:eastAsia="Calibri"/>
                <w:sz w:val="20"/>
                <w:szCs w:val="20"/>
                <w:lang w:val="sk-SK"/>
              </w:rPr>
            </w:pPr>
            <w:r w:rsidRPr="001F1776">
              <w:rPr>
                <w:rFonts w:eastAsia="Calibri"/>
                <w:i/>
                <w:sz w:val="20"/>
                <w:szCs w:val="20"/>
                <w:lang w:val="sk-SK"/>
              </w:rPr>
              <w:t>Má návrh dosah na fungovanie trhu práce?</w:t>
            </w:r>
            <w:r w:rsidRPr="001F1776">
              <w:rPr>
                <w:rFonts w:eastAsia="Calibri"/>
                <w:sz w:val="20"/>
                <w:szCs w:val="20"/>
                <w:lang w:val="sk-SK"/>
              </w:rPr>
              <w:t xml:space="preserve"> </w:t>
            </w:r>
            <w:r w:rsidRPr="001F1776">
              <w:rPr>
                <w:rFonts w:eastAsia="Calibri"/>
                <w:i/>
                <w:sz w:val="20"/>
                <w:szCs w:val="20"/>
                <w:lang w:val="sk-SK"/>
              </w:rPr>
              <w:t>Ak áno, aký?</w:t>
            </w:r>
          </w:p>
        </w:tc>
      </w:tr>
      <w:tr w:rsidR="001F1776" w:rsidRPr="001F1776" w:rsidTr="001F1776">
        <w:trPr>
          <w:trHeight w:val="794"/>
          <w:jc w:val="center"/>
        </w:trPr>
        <w:tc>
          <w:tcPr>
            <w:tcW w:w="129" w:type="pct"/>
            <w:tcBorders>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h)</w:t>
            </w:r>
          </w:p>
        </w:tc>
        <w:tc>
          <w:tcPr>
            <w:tcW w:w="1838"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Týka sa makroekonomických dosahov ako je napr. participácia na trhu práce, dlhodobá nezamestnanosť, regionálne rozdiely v mierach zamestnanosti.</w:t>
            </w:r>
            <w:r w:rsidRPr="001F1776">
              <w:rPr>
                <w:rFonts w:eastAsia="Calibri"/>
                <w:sz w:val="18"/>
                <w:szCs w:val="18"/>
                <w:lang w:val="sk-SK"/>
              </w:rPr>
              <w:t xml:space="preserve"> </w:t>
            </w:r>
            <w:r w:rsidRPr="001F1776">
              <w:rPr>
                <w:rFonts w:eastAsia="Calibri"/>
                <w:i/>
                <w:sz w:val="18"/>
                <w:szCs w:val="18"/>
                <w:lang w:val="sk-SK"/>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Uvedený návrh, ktorý skracuje lehotu prístupu žiadateľov o udelenie azylu na trh práce na šesť mesiacov (z pôvodných deviatich mesiacov), má zanedbateľný dosah na trh práce vzhľadom na dlhoročne nízke počty žiadateľov, avšak má pozitívny vplyv, nakoľko umožňuje využitie potenciálu žiadateľov. Návrh má pozitívny vplyv predovšetkým na samotných žiadateľov, ktorí sa oveľa rýchlejšie a jednoduchšie integrujú do spoločnosti, ak by im prípadne v budúcnosti bola udelená medzinárodná ochrana.</w:t>
            </w:r>
          </w:p>
        </w:tc>
      </w:tr>
      <w:tr w:rsidR="001F1776" w:rsidRPr="001F1776" w:rsidTr="001F1776">
        <w:trPr>
          <w:trHeight w:val="324"/>
          <w:jc w:val="center"/>
        </w:trPr>
        <w:tc>
          <w:tcPr>
            <w:tcW w:w="129"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i)</w:t>
            </w:r>
          </w:p>
        </w:tc>
        <w:tc>
          <w:tcPr>
            <w:tcW w:w="4871" w:type="pct"/>
            <w:gridSpan w:val="2"/>
            <w:tcBorders>
              <w:bottom w:val="single" w:sz="4" w:space="0" w:color="auto"/>
            </w:tcBorders>
            <w:shd w:val="clear" w:color="auto" w:fill="F2F2F2"/>
            <w:vAlign w:val="center"/>
          </w:tcPr>
          <w:p w:rsidR="001F1776" w:rsidRPr="001F1776" w:rsidRDefault="001F1776" w:rsidP="001F1776">
            <w:pPr>
              <w:rPr>
                <w:rFonts w:eastAsia="Calibri"/>
                <w:sz w:val="20"/>
                <w:szCs w:val="20"/>
                <w:lang w:val="sk-SK"/>
              </w:rPr>
            </w:pPr>
            <w:r w:rsidRPr="001F1776">
              <w:rPr>
                <w:rFonts w:eastAsia="Calibri"/>
                <w:i/>
                <w:sz w:val="20"/>
                <w:szCs w:val="20"/>
                <w:lang w:val="sk-SK"/>
              </w:rPr>
              <w:t>Má návrh špecifické negatívne dôsledky pre isté skupiny profesií, skupín zamestnancov či živnostníkov?</w:t>
            </w:r>
            <w:r w:rsidRPr="001F1776">
              <w:rPr>
                <w:rFonts w:eastAsia="Calibri"/>
                <w:sz w:val="20"/>
                <w:szCs w:val="20"/>
                <w:lang w:val="sk-SK"/>
              </w:rPr>
              <w:t xml:space="preserve"> </w:t>
            </w:r>
            <w:r w:rsidRPr="001F1776">
              <w:rPr>
                <w:rFonts w:eastAsia="Calibri"/>
                <w:i/>
                <w:sz w:val="20"/>
                <w:szCs w:val="20"/>
                <w:lang w:val="sk-SK"/>
              </w:rPr>
              <w:t>Ak áno, aké a pre ktoré skupiny?</w:t>
            </w:r>
          </w:p>
        </w:tc>
      </w:tr>
      <w:tr w:rsidR="001F1776" w:rsidRPr="001F1776" w:rsidTr="001F1776">
        <w:trPr>
          <w:trHeight w:val="216"/>
          <w:jc w:val="center"/>
        </w:trPr>
        <w:tc>
          <w:tcPr>
            <w:tcW w:w="129" w:type="pct"/>
            <w:tcBorders>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j)</w:t>
            </w:r>
          </w:p>
        </w:tc>
        <w:tc>
          <w:tcPr>
            <w:tcW w:w="1838" w:type="pct"/>
            <w:tcBorders>
              <w:bottom w:val="single" w:sz="4" w:space="0" w:color="auto"/>
            </w:tcBorders>
            <w:shd w:val="clear" w:color="auto" w:fill="FFFFFF"/>
          </w:tcPr>
          <w:p w:rsidR="001F1776" w:rsidRPr="001F1776" w:rsidRDefault="001F1776" w:rsidP="001F1776">
            <w:pPr>
              <w:rPr>
                <w:rFonts w:eastAsia="Calibri"/>
                <w:i/>
                <w:sz w:val="18"/>
                <w:szCs w:val="18"/>
                <w:lang w:val="sk-SK"/>
              </w:rPr>
            </w:pPr>
            <w:r w:rsidRPr="001F1776">
              <w:rPr>
                <w:rFonts w:eastAsia="Calibri"/>
                <w:i/>
                <w:sz w:val="18"/>
                <w:szCs w:val="18"/>
                <w:lang w:val="sk-SK"/>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Nie.</w:t>
            </w:r>
          </w:p>
        </w:tc>
      </w:tr>
      <w:tr w:rsidR="001F1776" w:rsidRPr="001F1776" w:rsidTr="001F1776">
        <w:trPr>
          <w:trHeight w:val="219"/>
          <w:jc w:val="center"/>
        </w:trPr>
        <w:tc>
          <w:tcPr>
            <w:tcW w:w="129" w:type="pct"/>
            <w:tcBorders>
              <w:bottom w:val="single" w:sz="4" w:space="0" w:color="auto"/>
            </w:tcBorders>
            <w:shd w:val="clear" w:color="auto" w:fill="F2F2F2"/>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k)</w:t>
            </w:r>
          </w:p>
        </w:tc>
        <w:tc>
          <w:tcPr>
            <w:tcW w:w="4871" w:type="pct"/>
            <w:gridSpan w:val="2"/>
            <w:tcBorders>
              <w:bottom w:val="single" w:sz="4" w:space="0" w:color="auto"/>
            </w:tcBorders>
            <w:shd w:val="clear" w:color="auto" w:fill="F2F2F2"/>
            <w:vAlign w:val="center"/>
          </w:tcPr>
          <w:p w:rsidR="001F1776" w:rsidRPr="001F1776" w:rsidRDefault="001F1776" w:rsidP="001F1776">
            <w:pPr>
              <w:rPr>
                <w:rFonts w:eastAsia="Calibri"/>
                <w:sz w:val="20"/>
                <w:szCs w:val="20"/>
                <w:lang w:val="sk-SK"/>
              </w:rPr>
            </w:pPr>
            <w:r w:rsidRPr="001F1776">
              <w:rPr>
                <w:rFonts w:eastAsia="Calibri"/>
                <w:i/>
                <w:sz w:val="20"/>
                <w:szCs w:val="20"/>
                <w:lang w:val="sk-SK"/>
              </w:rPr>
              <w:t>Ovplyvňuje návrh špecifické vekové skupiny zamestnancov? Ak áno, aké? Akým spôsobom?</w:t>
            </w:r>
          </w:p>
        </w:tc>
      </w:tr>
      <w:tr w:rsidR="001F1776" w:rsidRPr="001F1776" w:rsidTr="001F1776">
        <w:trPr>
          <w:trHeight w:val="497"/>
          <w:jc w:val="center"/>
        </w:trPr>
        <w:tc>
          <w:tcPr>
            <w:tcW w:w="129" w:type="pct"/>
            <w:tcBorders>
              <w:bottom w:val="single" w:sz="4" w:space="0" w:color="auto"/>
            </w:tcBorders>
            <w:shd w:val="clear" w:color="auto" w:fill="FFFFFF"/>
            <w:vAlign w:val="center"/>
          </w:tcPr>
          <w:p w:rsidR="001F1776" w:rsidRPr="001F1776" w:rsidRDefault="001F1776" w:rsidP="001F1776">
            <w:pPr>
              <w:rPr>
                <w:rFonts w:eastAsia="Calibri"/>
                <w:i/>
                <w:sz w:val="18"/>
                <w:szCs w:val="18"/>
                <w:lang w:val="sk-SK"/>
              </w:rPr>
            </w:pPr>
            <w:r w:rsidRPr="001F1776">
              <w:rPr>
                <w:rFonts w:eastAsia="Calibri"/>
                <w:i/>
                <w:sz w:val="18"/>
                <w:szCs w:val="18"/>
                <w:lang w:val="sk-SK"/>
              </w:rPr>
              <w:t>l)</w:t>
            </w:r>
          </w:p>
        </w:tc>
        <w:tc>
          <w:tcPr>
            <w:tcW w:w="1838"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1F1776" w:rsidRPr="001F1776" w:rsidRDefault="001F1776" w:rsidP="001F1776">
            <w:pPr>
              <w:jc w:val="both"/>
              <w:rPr>
                <w:rFonts w:eastAsia="Calibri"/>
                <w:i/>
                <w:sz w:val="18"/>
                <w:szCs w:val="18"/>
                <w:lang w:val="sk-SK"/>
              </w:rPr>
            </w:pPr>
            <w:r w:rsidRPr="001F1776">
              <w:rPr>
                <w:rFonts w:eastAsia="Calibri"/>
                <w:i/>
                <w:sz w:val="18"/>
                <w:szCs w:val="18"/>
                <w:lang w:val="sk-SK"/>
              </w:rPr>
              <w:t>Nie.</w:t>
            </w:r>
          </w:p>
        </w:tc>
      </w:tr>
    </w:tbl>
    <w:p w:rsidR="001F1776" w:rsidRPr="001F1776" w:rsidRDefault="001F1776" w:rsidP="001F1776">
      <w:pPr>
        <w:rPr>
          <w:lang w:val="sk-SK"/>
        </w:rPr>
      </w:pPr>
    </w:p>
    <w:p w:rsidR="001F1776" w:rsidRDefault="001F1776"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Default="0081442F" w:rsidP="001F1776">
      <w:pPr>
        <w:rPr>
          <w:lang w:val="sk-SK"/>
        </w:rPr>
      </w:pPr>
    </w:p>
    <w:p w:rsidR="0081442F" w:rsidRPr="001F1776" w:rsidRDefault="0081442F" w:rsidP="001F1776">
      <w:pPr>
        <w:rPr>
          <w:lang w:val="sk-SK"/>
        </w:rPr>
      </w:pPr>
    </w:p>
    <w:p w:rsidR="001F1776" w:rsidRPr="001F1776" w:rsidRDefault="001F1776" w:rsidP="001F1776">
      <w:pPr>
        <w:spacing w:after="200" w:line="276" w:lineRule="auto"/>
        <w:jc w:val="center"/>
        <w:rPr>
          <w:b/>
          <w:bCs/>
          <w:lang w:val="sk-SK" w:eastAsia="sk-SK"/>
        </w:rPr>
      </w:pPr>
      <w:r w:rsidRPr="001F1776">
        <w:rPr>
          <w:b/>
          <w:bCs/>
          <w:lang w:val="sk-SK" w:eastAsia="sk-SK"/>
        </w:rPr>
        <w:lastRenderedPageBreak/>
        <w:t>DOLOŽKA ZLUČITEĽNOSTI</w:t>
      </w:r>
    </w:p>
    <w:p w:rsidR="001F1776" w:rsidRPr="001F1776" w:rsidRDefault="001F1776" w:rsidP="001F1776">
      <w:pPr>
        <w:spacing w:after="360"/>
        <w:jc w:val="center"/>
        <w:rPr>
          <w:b/>
          <w:bCs/>
          <w:lang w:val="sk-SK" w:eastAsia="sk-SK"/>
        </w:rPr>
      </w:pPr>
      <w:r w:rsidRPr="001F1776">
        <w:rPr>
          <w:b/>
          <w:bCs/>
          <w:lang w:val="sk-SK" w:eastAsia="sk-SK"/>
        </w:rPr>
        <w:t>návrhu zákona s právom Európskej únie</w:t>
      </w:r>
    </w:p>
    <w:p w:rsidR="001F1776" w:rsidRPr="001F1776" w:rsidRDefault="001F1776" w:rsidP="001F1776">
      <w:pPr>
        <w:spacing w:after="240"/>
        <w:jc w:val="both"/>
        <w:rPr>
          <w:lang w:val="sk-SK" w:eastAsia="sk-SK"/>
        </w:rPr>
      </w:pPr>
      <w:r w:rsidRPr="001F1776">
        <w:rPr>
          <w:lang w:val="sk-SK" w:eastAsia="sk-SK"/>
        </w:rPr>
        <w:t>1.</w:t>
      </w:r>
      <w:r w:rsidRPr="001F1776">
        <w:rPr>
          <w:b/>
          <w:bCs/>
          <w:lang w:val="sk-SK" w:eastAsia="sk-SK"/>
        </w:rPr>
        <w:t xml:space="preserve"> Navrhovateľ zákona</w:t>
      </w:r>
      <w:r w:rsidRPr="001F1776">
        <w:rPr>
          <w:lang w:val="sk-SK" w:eastAsia="sk-SK"/>
        </w:rPr>
        <w:t>: Ministerstvo vnútra Slovenskej republiky</w:t>
      </w:r>
    </w:p>
    <w:p w:rsidR="001F1776" w:rsidRPr="001F1776" w:rsidRDefault="001F1776" w:rsidP="001F1776">
      <w:pPr>
        <w:spacing w:after="240"/>
        <w:jc w:val="both"/>
        <w:rPr>
          <w:lang w:val="sk-SK" w:eastAsia="sk-SK"/>
        </w:rPr>
      </w:pPr>
      <w:r w:rsidRPr="001F1776">
        <w:rPr>
          <w:lang w:val="sk-SK" w:eastAsia="sk-SK"/>
        </w:rPr>
        <w:t>2.</w:t>
      </w:r>
      <w:r w:rsidRPr="001F1776">
        <w:rPr>
          <w:b/>
          <w:bCs/>
          <w:lang w:val="sk-SK" w:eastAsia="sk-SK"/>
        </w:rPr>
        <w:t xml:space="preserve"> Názov návrhu zákona</w:t>
      </w:r>
      <w:r w:rsidRPr="001F1776">
        <w:rPr>
          <w:lang w:val="sk-SK" w:eastAsia="sk-SK"/>
        </w:rPr>
        <w:t>: Z</w:t>
      </w:r>
      <w:r w:rsidRPr="001F1776">
        <w:rPr>
          <w:bCs/>
          <w:lang w:val="sk-SK" w:eastAsia="sk-SK"/>
        </w:rPr>
        <w:t xml:space="preserve">ákon, ktorým sa mení a dopĺňa zákon </w:t>
      </w:r>
      <w:r w:rsidRPr="001F1776">
        <w:rPr>
          <w:lang w:val="sk-SK" w:eastAsia="sk-SK"/>
        </w:rPr>
        <w:t xml:space="preserve">č. 480/2002 Z. z. o azyle a o zmene a doplnení niektorých zákonov v znení neskorších predpisov </w:t>
      </w:r>
    </w:p>
    <w:p w:rsidR="001F1776" w:rsidRPr="001F1776" w:rsidRDefault="001F1776" w:rsidP="001F1776">
      <w:pPr>
        <w:spacing w:after="240"/>
        <w:jc w:val="both"/>
        <w:rPr>
          <w:lang w:val="sk-SK" w:eastAsia="sk-SK"/>
        </w:rPr>
      </w:pPr>
      <w:r w:rsidRPr="001F1776">
        <w:rPr>
          <w:lang w:val="sk-SK" w:eastAsia="sk-SK"/>
        </w:rPr>
        <w:t>3. </w:t>
      </w:r>
      <w:r w:rsidRPr="001F1776">
        <w:rPr>
          <w:b/>
          <w:bCs/>
          <w:lang w:val="sk-SK" w:eastAsia="sk-SK"/>
        </w:rPr>
        <w:t>Predmet návrhu zákona</w:t>
      </w:r>
      <w:r w:rsidRPr="001F1776">
        <w:rPr>
          <w:bCs/>
          <w:lang w:val="sk-SK" w:eastAsia="sk-SK"/>
        </w:rPr>
        <w:t xml:space="preserve"> </w:t>
      </w:r>
      <w:r w:rsidRPr="001F1776">
        <w:rPr>
          <w:lang w:val="sk-SK" w:eastAsia="sk-SK"/>
        </w:rPr>
        <w:t>je upravený v práve Európskej únie:</w:t>
      </w:r>
    </w:p>
    <w:p w:rsidR="001F1776" w:rsidRPr="001F1776" w:rsidRDefault="001F1776" w:rsidP="001F1776">
      <w:pPr>
        <w:pStyle w:val="Odsekzoznamu"/>
        <w:numPr>
          <w:ilvl w:val="0"/>
          <w:numId w:val="10"/>
        </w:numPr>
        <w:tabs>
          <w:tab w:val="left" w:pos="709"/>
          <w:tab w:val="left" w:pos="1068"/>
        </w:tabs>
        <w:spacing w:after="240"/>
        <w:ind w:left="714" w:hanging="357"/>
        <w:contextualSpacing w:val="0"/>
        <w:jc w:val="both"/>
        <w:rPr>
          <w:lang w:val="sk-SK"/>
        </w:rPr>
      </w:pPr>
      <w:r w:rsidRPr="001F1776">
        <w:rPr>
          <w:lang w:val="sk-SK"/>
        </w:rPr>
        <w:t>v primárnom práve</w:t>
      </w:r>
    </w:p>
    <w:p w:rsidR="001F1776" w:rsidRPr="001F1776" w:rsidRDefault="001F1776" w:rsidP="001F1776">
      <w:pPr>
        <w:pStyle w:val="Odsekzoznamu"/>
        <w:numPr>
          <w:ilvl w:val="0"/>
          <w:numId w:val="12"/>
        </w:numPr>
        <w:tabs>
          <w:tab w:val="left" w:pos="709"/>
          <w:tab w:val="left" w:pos="1068"/>
        </w:tabs>
        <w:spacing w:before="120"/>
        <w:contextualSpacing w:val="0"/>
        <w:jc w:val="both"/>
        <w:rPr>
          <w:lang w:val="sk-SK"/>
        </w:rPr>
      </w:pPr>
      <w:r w:rsidRPr="001F1776">
        <w:rPr>
          <w:lang w:val="sk-SK"/>
        </w:rPr>
        <w:t>čl. 67 a 78 Zmluvy o fungovaní Európskej únie,</w:t>
      </w:r>
    </w:p>
    <w:p w:rsidR="001F1776" w:rsidRPr="001F1776" w:rsidRDefault="001F1776" w:rsidP="001F1776">
      <w:pPr>
        <w:pStyle w:val="Odsekzoznamu"/>
        <w:numPr>
          <w:ilvl w:val="0"/>
          <w:numId w:val="10"/>
        </w:numPr>
        <w:tabs>
          <w:tab w:val="left" w:pos="709"/>
          <w:tab w:val="left" w:pos="1068"/>
        </w:tabs>
        <w:spacing w:before="120"/>
        <w:ind w:left="714" w:hanging="357"/>
        <w:contextualSpacing w:val="0"/>
        <w:rPr>
          <w:lang w:val="sk-SK"/>
        </w:rPr>
      </w:pPr>
      <w:r w:rsidRPr="001F1776">
        <w:rPr>
          <w:lang w:val="sk-SK"/>
        </w:rPr>
        <w:t>v sekundárnom práve</w:t>
      </w:r>
    </w:p>
    <w:p w:rsidR="001F1776" w:rsidRPr="001F1776" w:rsidRDefault="001F1776" w:rsidP="001F1776">
      <w:pPr>
        <w:pStyle w:val="Odsekzoznamu"/>
        <w:numPr>
          <w:ilvl w:val="0"/>
          <w:numId w:val="11"/>
        </w:numPr>
        <w:spacing w:before="120"/>
        <w:ind w:left="1071" w:hanging="357"/>
        <w:jc w:val="both"/>
        <w:rPr>
          <w:shd w:val="clear" w:color="auto" w:fill="FFFFFF"/>
          <w:lang w:val="sk-SK"/>
        </w:rPr>
      </w:pPr>
      <w:r w:rsidRPr="001F1776">
        <w:rPr>
          <w:shd w:val="clear" w:color="auto" w:fill="FFFFFF"/>
          <w:lang w:val="sk-SK"/>
        </w:rPr>
        <w:t>nariadenie Európskeho parlamentu a Rady (EÚ) č. 604/2013 z  26. júna 2013, ktorým sa stanovujú kritériá a mechanizmy na určenie členského štátu zodpovedného za posúdenie žiadosti o medzinárodnú ochranu podanej štátnym príslušníkom tretej krajiny alebo osobou bez štátnej príslušnosti v jednom z členských štátov (prepracované znenie) (Ú. v. EÚ L 180, 29. 06. 2013) v platnom znení, gestor: Ministerstvo vnútra Slovenskej republiky;</w:t>
      </w:r>
    </w:p>
    <w:p w:rsidR="001F1776" w:rsidRPr="001F1776" w:rsidRDefault="001F1776" w:rsidP="001F1776">
      <w:pPr>
        <w:pStyle w:val="Odsekzoznamu"/>
        <w:numPr>
          <w:ilvl w:val="0"/>
          <w:numId w:val="11"/>
        </w:numPr>
        <w:spacing w:before="120"/>
        <w:ind w:left="1071" w:hanging="357"/>
        <w:jc w:val="both"/>
        <w:rPr>
          <w:shd w:val="clear" w:color="auto" w:fill="FFFFFF"/>
          <w:lang w:val="sk-SK"/>
        </w:rPr>
      </w:pPr>
      <w:r w:rsidRPr="001F1776">
        <w:rPr>
          <w:shd w:val="clear" w:color="auto" w:fill="FFFFFF"/>
          <w:lang w:val="sk-SK"/>
        </w:rPr>
        <w:t xml:space="preserve">nariadenie Európskeho parlamentu a Rady (EÚ) 2021/2303 z 15. decembra 2021 o Agentúre Európskej únie pre azyl a o zrušení nariadenia (EÚ) č. 439/2010 (Ú. v. EÚ L 468, 30.12.2021), gestor: zatiaľ neurčený;   </w:t>
      </w:r>
    </w:p>
    <w:p w:rsidR="001F1776" w:rsidRPr="001F1776" w:rsidRDefault="001F1776" w:rsidP="001F1776">
      <w:pPr>
        <w:pStyle w:val="Odsekzoznamu"/>
        <w:numPr>
          <w:ilvl w:val="0"/>
          <w:numId w:val="11"/>
        </w:numPr>
        <w:spacing w:before="120"/>
        <w:ind w:left="1071" w:hanging="357"/>
        <w:jc w:val="both"/>
        <w:rPr>
          <w:shd w:val="clear" w:color="auto" w:fill="FFFFFF"/>
          <w:lang w:val="sk-SK"/>
        </w:rPr>
      </w:pPr>
      <w:r w:rsidRPr="001F1776">
        <w:rPr>
          <w:shd w:val="clear" w:color="auto" w:fill="FFFFFF"/>
          <w:lang w:val="sk-SK"/>
        </w:rPr>
        <w:t xml:space="preserve">naradenie Európskeho parlamentu a Rady (EÚ) 2021/1147 zo 7. júla 2021, ktorým sa zriaďuje Fond pre azyl, migráciu a integráciu (Ú. v. EÚ L 251, 15.7.2021), gestor: zatiaľ neurčený; </w:t>
      </w:r>
    </w:p>
    <w:p w:rsidR="001F1776" w:rsidRPr="001F1776" w:rsidRDefault="001F1776" w:rsidP="001F1776">
      <w:pPr>
        <w:pStyle w:val="Odsekzoznamu"/>
        <w:numPr>
          <w:ilvl w:val="0"/>
          <w:numId w:val="11"/>
        </w:numPr>
        <w:spacing w:before="120"/>
        <w:ind w:left="1071" w:right="50" w:hanging="357"/>
        <w:jc w:val="both"/>
        <w:rPr>
          <w:shd w:val="clear" w:color="auto" w:fill="FFFFFF"/>
          <w:lang w:val="sk-SK"/>
        </w:rPr>
      </w:pPr>
      <w:r w:rsidRPr="001F1776">
        <w:rPr>
          <w:shd w:val="clear" w:color="auto" w:fill="FFFFFF"/>
          <w:lang w:val="sk-SK"/>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L337, 20.12.2011), gestor: Ministerstvo vnútra Slovenskej republiky, spolugestori: Ministerstvo práce, sociálnych vecí a rodiny Slovenskej republiky, Ministerstvo školstva, vedy, výskumu a športu  Slovenskej republiky, Ministerstvo zdravotníctva Slovenskej republiky;</w:t>
      </w:r>
    </w:p>
    <w:p w:rsidR="001F1776" w:rsidRPr="001F1776" w:rsidRDefault="001F1776" w:rsidP="001F1776">
      <w:pPr>
        <w:pStyle w:val="Odsekzoznamu"/>
        <w:numPr>
          <w:ilvl w:val="0"/>
          <w:numId w:val="11"/>
        </w:numPr>
        <w:spacing w:before="120"/>
        <w:ind w:left="1071" w:right="50" w:hanging="357"/>
        <w:jc w:val="both"/>
        <w:rPr>
          <w:shd w:val="clear" w:color="auto" w:fill="FFFFFF"/>
          <w:lang w:val="sk-SK"/>
        </w:rPr>
      </w:pPr>
      <w:r w:rsidRPr="001F1776">
        <w:rPr>
          <w:shd w:val="clear" w:color="auto" w:fill="FFFFFF"/>
          <w:lang w:val="sk-SK"/>
        </w:rPr>
        <w:t>smernica Európskeho parlamentu a Rady 2013/32/EÚ z  26. júna 2013 o spoločných konaniach o poskytovaní a odnímaní medzinárodnej ochrany (prepracované znenie) (Ú. v. EÚ L180, 29.06.2013) v platnom znení, gestor: Ministerstvo vnútra Slovenskej republiky, spolugestor: Ministerstvo spravodlivosti Slovenskej republiky; </w:t>
      </w:r>
    </w:p>
    <w:p w:rsidR="001F1776" w:rsidRDefault="001F1776" w:rsidP="001F1776">
      <w:pPr>
        <w:pStyle w:val="Odsekzoznamu"/>
        <w:numPr>
          <w:ilvl w:val="0"/>
          <w:numId w:val="11"/>
        </w:numPr>
        <w:spacing w:before="240"/>
        <w:ind w:left="1071" w:right="50" w:hanging="357"/>
        <w:jc w:val="both"/>
        <w:rPr>
          <w:shd w:val="clear" w:color="auto" w:fill="FFFFFF"/>
          <w:lang w:val="sk-SK"/>
        </w:rPr>
      </w:pPr>
      <w:r w:rsidRPr="001F1776">
        <w:rPr>
          <w:shd w:val="clear" w:color="auto" w:fill="FFFFFF"/>
          <w:lang w:val="sk-SK"/>
        </w:rPr>
        <w:t>smernica Európskeho parlamentu a Rady 2013/33/EÚ z  26. júna 2013 , ktorou sa stanovujú normy pre prijímanie žiadateľov o medzinárodnú ochranu (prepracované znenie)  (Ú. v. EÚ L180, 29.06.2013), gestor: Ministerstvo vnútra Slovenskej republiky, spolugestori: Ministerstvo práce, sociálnych vecí a rodiny Slovenskej republiky, Ministerstvo školstva, vedy, výskumu a športu  Slovenskej republiky, Ministerstvo zdravotníctva Slovenskej republiky, Ministerstvo spravodlivosti Slovenskej republiky, </w:t>
      </w:r>
    </w:p>
    <w:p w:rsidR="00822368" w:rsidRPr="00822368" w:rsidRDefault="00822368" w:rsidP="00822368">
      <w:pPr>
        <w:spacing w:before="240"/>
        <w:ind w:right="50"/>
        <w:jc w:val="both"/>
        <w:rPr>
          <w:shd w:val="clear" w:color="auto" w:fill="FFFFFF"/>
          <w:lang w:val="sk-SK"/>
        </w:rPr>
      </w:pPr>
    </w:p>
    <w:p w:rsidR="001F1776" w:rsidRPr="001F1776" w:rsidRDefault="001F1776" w:rsidP="001F1776">
      <w:pPr>
        <w:pStyle w:val="Odsekzoznamu"/>
        <w:numPr>
          <w:ilvl w:val="0"/>
          <w:numId w:val="10"/>
        </w:numPr>
        <w:spacing w:before="240"/>
        <w:ind w:left="1134" w:right="-142" w:hanging="774"/>
        <w:jc w:val="both"/>
        <w:rPr>
          <w:shd w:val="clear" w:color="auto" w:fill="FFFFFF"/>
          <w:lang w:val="sk-SK"/>
        </w:rPr>
      </w:pPr>
      <w:r w:rsidRPr="001F1776">
        <w:rPr>
          <w:shd w:val="clear" w:color="auto" w:fill="FFFFFF"/>
          <w:lang w:val="sk-SK"/>
        </w:rPr>
        <w:lastRenderedPageBreak/>
        <w:t xml:space="preserve">v judikatúre Súdneho dvora Európskej únie – problematika azylu a doplnkovej ochrany je upravená napr. v nasledovných rozsudkoch Súdneho dvora Európskej únie: rozsudok z 28. júla 2011, Samba Diouf, C-69/10, EU:C:2010:524;  rozsudok z 31. januára 2013, D. a A., C-175/11, EU:C:2013:45;  rozsudok zo 17. decembra 2015, Tall, C-239/14, EU:C:2015:824; rozsudok z 9. februára 2017, M, C-560-14, EU:C:2017:101; rozsudok zo 17. marca 2016, Mirza, C-695/15 PPU, EU:C:2016:188; rozsudok z 25. júla 2018 Serin Alheto proti Zamestnik-predsedatel na Dăržavna agencija za bežancite C-585/16, ECLI:EU:C:2018:584; rozsudok z 26. septembra 2018 X a Y proti Staatssecretaris van Veiligheid en Justitie C-180/17, ECLI:EU:C:2018:775; rozsudok z 12. novembra 2019 Zubair Haqbin proti Federaal Agentschap voor de opvang van asielzoekers C-233/18, ECLI:EU:C:2019:956;  rozsudok z 10. júna 2021 LH proti Staatssecretaris van Justitie en Veiligheid C-921/19, ECLI:EU:C:2021:478; atď.  </w:t>
      </w:r>
    </w:p>
    <w:p w:rsidR="001F1776" w:rsidRPr="001F1776" w:rsidRDefault="001F1776" w:rsidP="001F1776">
      <w:pPr>
        <w:spacing w:before="240"/>
        <w:ind w:right="-142"/>
        <w:jc w:val="both"/>
        <w:rPr>
          <w:shd w:val="clear" w:color="auto" w:fill="FFFFFF"/>
          <w:lang w:val="sk-SK"/>
        </w:rPr>
      </w:pPr>
    </w:p>
    <w:p w:rsidR="001F1776" w:rsidRPr="001F1776" w:rsidRDefault="001F1776" w:rsidP="001F1776">
      <w:pPr>
        <w:tabs>
          <w:tab w:val="left" w:pos="0"/>
        </w:tabs>
        <w:spacing w:after="240"/>
        <w:ind w:left="1134" w:hanging="425"/>
        <w:jc w:val="both"/>
        <w:rPr>
          <w:b/>
          <w:lang w:val="sk-SK" w:eastAsia="sk-SK"/>
        </w:rPr>
      </w:pPr>
      <w:r w:rsidRPr="001F1776">
        <w:rPr>
          <w:lang w:val="sk-SK"/>
        </w:rPr>
        <w:tab/>
      </w:r>
      <w:r w:rsidRPr="001F1776">
        <w:rPr>
          <w:lang w:val="sk-SK" w:eastAsia="sk-SK"/>
        </w:rPr>
        <w:t>4.</w:t>
      </w:r>
      <w:r w:rsidRPr="001F1776">
        <w:rPr>
          <w:b/>
          <w:lang w:val="sk-SK" w:eastAsia="sk-SK"/>
        </w:rPr>
        <w:t xml:space="preserve"> Záväzky Slovenskej republiky vo vzťahu k Európskej únii: </w:t>
      </w:r>
    </w:p>
    <w:p w:rsidR="001F1776" w:rsidRPr="001F1776" w:rsidRDefault="001F1776" w:rsidP="001F1776">
      <w:pPr>
        <w:numPr>
          <w:ilvl w:val="0"/>
          <w:numId w:val="9"/>
        </w:numPr>
        <w:autoSpaceDE w:val="0"/>
        <w:autoSpaceDN w:val="0"/>
        <w:adjustRightInd w:val="0"/>
        <w:spacing w:after="120"/>
        <w:ind w:left="924" w:hanging="357"/>
        <w:jc w:val="both"/>
        <w:rPr>
          <w:lang w:val="sk-SK"/>
        </w:rPr>
      </w:pPr>
      <w:r w:rsidRPr="001F1776">
        <w:rPr>
          <w:lang w:val="sk-SK"/>
        </w:rPr>
        <w:t>lehota na prebranie príslušného právneho aktu Európskej únie, príp. aj osobitnú lehotu účinnosti jeho ustanovení – lehota na prebratie smernice Európskeho parlamentu a Rady 2011/95/EÚ bola do 21. decembra 2013, lehota na prebratie smernice Európskeho parlamentu a Rady 2013/32/EÚ v platnom znení bola do 20. júla 2015 (článku 31 ods. 3, 4 a 5 do 20. júla 2018), lehota na prebratie smernice Európskeho parlamentu a Rady 2013/33/EÚ bola do 20. júla 2015;</w:t>
      </w:r>
    </w:p>
    <w:p w:rsidR="001F1776" w:rsidRPr="001F1776" w:rsidRDefault="001F1776" w:rsidP="001F1776">
      <w:pPr>
        <w:numPr>
          <w:ilvl w:val="0"/>
          <w:numId w:val="9"/>
        </w:numPr>
        <w:autoSpaceDE w:val="0"/>
        <w:autoSpaceDN w:val="0"/>
        <w:adjustRightInd w:val="0"/>
        <w:spacing w:after="120"/>
        <w:ind w:left="924" w:hanging="357"/>
        <w:jc w:val="both"/>
        <w:rPr>
          <w:lang w:val="sk-SK" w:eastAsia="sk-SK"/>
        </w:rPr>
      </w:pPr>
      <w:r w:rsidRPr="001F1776">
        <w:rPr>
          <w:lang w:val="sk-SK"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v súvislosti so smernicou </w:t>
      </w:r>
      <w:r w:rsidRPr="001F1776">
        <w:rPr>
          <w:shd w:val="clear" w:color="auto" w:fill="FFFFFF"/>
          <w:lang w:val="sk-SK"/>
        </w:rPr>
        <w:t xml:space="preserve">Európskeho parlamentu a Rady 2011/95/EÚ a smernicou Európskeho parlamentu a Rady 2013/33/EÚ bolo začaté šetrenie v systéme EU PILOT EUP(2021)9862, ktoré sa týka možných prípadov nezlučiteľnosti vnútroštátnych vykonávacích opatrení uvedených v 6 bodoch k smernici  bodoch Európskeho parlamentu a Rady 2011/95/EÚ a v 11 bodoch k smernici Európskeho parlamentu a Rady 2013/33/EÚ; </w:t>
      </w:r>
      <w:r w:rsidRPr="001F1776">
        <w:rPr>
          <w:lang w:val="sk-SK" w:eastAsia="sk-SK"/>
        </w:rPr>
        <w:t xml:space="preserve">v súvislosti so smernicou </w:t>
      </w:r>
      <w:r w:rsidRPr="001F1776">
        <w:rPr>
          <w:shd w:val="clear" w:color="auto" w:fill="FFFFFF"/>
          <w:lang w:val="sk-SK"/>
        </w:rPr>
        <w:t xml:space="preserve">Európskeho parlamentu a Rady 2013/32/EÚ bolo začaté šetrenie v systéme EU PILOT EUP(2021)9888, ktoré sa týka možných prípadov nezlučiteľnosti vnútroštátnych vykonávacích opatrení uvedených v 25 bodoch.  </w:t>
      </w:r>
    </w:p>
    <w:p w:rsidR="001F1776" w:rsidRPr="001F1776" w:rsidRDefault="001F1776" w:rsidP="001F1776">
      <w:pPr>
        <w:numPr>
          <w:ilvl w:val="0"/>
          <w:numId w:val="9"/>
        </w:numPr>
        <w:autoSpaceDE w:val="0"/>
        <w:autoSpaceDN w:val="0"/>
        <w:adjustRightInd w:val="0"/>
        <w:spacing w:after="240"/>
        <w:ind w:left="924" w:hanging="357"/>
        <w:jc w:val="both"/>
        <w:rPr>
          <w:shd w:val="clear" w:color="auto" w:fill="FFFFFF"/>
          <w:lang w:val="sk-SK"/>
        </w:rPr>
      </w:pPr>
      <w:r w:rsidRPr="001F1776">
        <w:rPr>
          <w:lang w:val="sk-SK" w:eastAsia="sk-SK"/>
        </w:rPr>
        <w:t xml:space="preserve">informácia o právnych predpisoch, v ktorých sú uvádzané právne akty Európskej únie už prebrané, spolu s uvedením rozsahu ich prebrania, príp. potreby prijatia ďalších úprav – </w:t>
      </w:r>
      <w:r w:rsidRPr="001F1776">
        <w:rPr>
          <w:lang w:val="sk-SK"/>
        </w:rPr>
        <w:t>smernica Európskeho parlamentu a Rady 2011/95/EÚ</w:t>
      </w:r>
      <w:r w:rsidRPr="001F1776">
        <w:rPr>
          <w:lang w:val="sk-SK" w:eastAsia="sk-SK"/>
        </w:rPr>
        <w:t xml:space="preserve"> je prebratá </w:t>
      </w:r>
      <w:r w:rsidRPr="001F1776">
        <w:rPr>
          <w:shd w:val="clear" w:color="auto" w:fill="FFFFFF"/>
          <w:lang w:val="sk-SK"/>
        </w:rPr>
        <w:t xml:space="preserve">v zákone č. 480/2002 Z. z. o azyle a o zmene a doplnení niektorých zákonov v znení neskorších predpisov a ďalších právnych predpisoch, ako napr. v zákone č. 404/2011 Z. z. o pobyte cudzincov a o zmene a doplnení niektorých zákonov v znení neskorších predpisov, zákone </w:t>
      </w:r>
      <w:hyperlink r:id="rId23" w:history="1">
        <w:r w:rsidRPr="001F1776">
          <w:rPr>
            <w:shd w:val="clear" w:color="auto" w:fill="FFFFFF"/>
            <w:lang w:val="sk-SK"/>
          </w:rPr>
          <w:t>č. 305/2005 Z. z. o sociálnoprávnej ochrane detí a o sociálnej kuratele a o zmene a doplnení niektorých zákonov</w:t>
        </w:r>
      </w:hyperlink>
      <w:r w:rsidRPr="001F1776">
        <w:rPr>
          <w:shd w:val="clear" w:color="auto" w:fill="FFFFFF"/>
          <w:lang w:val="sk-SK"/>
        </w:rPr>
        <w:t xml:space="preserve"> v znení neskorších predpisov, zákone </w:t>
      </w:r>
      <w:hyperlink r:id="rId24" w:history="1">
        <w:r w:rsidRPr="001F1776">
          <w:rPr>
            <w:shd w:val="clear" w:color="auto" w:fill="FFFFFF"/>
            <w:lang w:val="sk-SK"/>
          </w:rPr>
          <w:t>č. 5/2004 Z. z. o službách zamestnanosti a o zmene a doplnení niektorých zákonov</w:t>
        </w:r>
      </w:hyperlink>
      <w:r w:rsidRPr="001F1776">
        <w:rPr>
          <w:shd w:val="clear" w:color="auto" w:fill="FFFFFF"/>
          <w:lang w:val="sk-SK"/>
        </w:rPr>
        <w:t xml:space="preserve"> v znení neskorších predpisov, atď.; smernica Európskeho parlamentu a Rady 2013/32/EÚ v platnom znení je prebratá v zákone č. 480/2002 Z. z. o azyle a o zmene a doplnení niektorých zákonov v znení neskorších predpisov a </w:t>
      </w:r>
      <w:r w:rsidRPr="001F1776">
        <w:rPr>
          <w:shd w:val="clear" w:color="auto" w:fill="FFFFFF"/>
          <w:lang w:val="sk-SK"/>
        </w:rPr>
        <w:lastRenderedPageBreak/>
        <w:t xml:space="preserve">ďalších právnych predpisoch, ako napr. v zákone č. 404/2011 Z. z. o pobyte cudzincov a o zmene a doplnení niektorých zákonov v znení neskorších predpisov, zákone č. 71/1967 Zb. o správnom konaní (správny poriadok) v znení neskorších predpisov, zákone č. 40/1964 Zb. Občiansky zákonník v znení neskorších predpisov, zákone č. 55/2017 Z. z. o štátnej službe a o zmene a doplnení niektorých zákonov v znení neskorších predpisov, zákone č. 552/2003 Z. z. o výkone práce vo verejnom záujme v znení neskorších predpisov, zákone č. 36/2005 Z. z. o rodine a o zmene a doplnení niektorých zákonov v znení neskorších predpisov, zákone č. 305/2005 Z. z. o sociálnoprávnej ochrane detí a o sociálnej kuratele a o zmene a doplnení niektorých zákonov v znení neskorších predpisov, zákone č. 382/2004 Z. z. o znalcoch, tlmočníkoch a prekladateľoch a o zmene a doplnení niektorých zákonov v znení neskorších predpisov, zákone č. 327/2005 Z. z. o poskytovaní právnej pomoci osobám v materiálnej núdzi a o zmene a doplnení zákona č. 586/2003 Z. z. o advokácii a o zmene a doplnení zákona č. 455/1991 Zb. o živnostenskom podnikaní (živnostenský zákon) v znení neskorších predpisov, atď.; </w:t>
      </w:r>
      <w:r w:rsidRPr="001F1776">
        <w:rPr>
          <w:lang w:val="sk-SK"/>
        </w:rPr>
        <w:t xml:space="preserve">smernica Európskeho parlamentu a Rady 2013/33/EÚ je prebratá </w:t>
      </w:r>
      <w:r w:rsidRPr="001F1776">
        <w:rPr>
          <w:shd w:val="clear" w:color="auto" w:fill="FFFFFF"/>
          <w:lang w:val="sk-SK"/>
        </w:rPr>
        <w:t xml:space="preserve">v zákone č. 480/2002 Z. z. o azyle a o zmene a doplnení niektorých zákonov v znení neskorších predpisov a ďalších právnych predpisoch, ako napr. v zákone č. 404/2011 Z. z. o pobyte cudzincov a o zmene a doplnení niektorých zákonov v znení neskorších predpisov, zákone č. 71/1967 Zb. o správnom konaní (správny poriadok) v znení neskorších predpisov, zákone </w:t>
      </w:r>
      <w:hyperlink r:id="rId25" w:history="1">
        <w:r w:rsidRPr="001F1776">
          <w:rPr>
            <w:shd w:val="clear" w:color="auto" w:fill="FFFFFF"/>
            <w:lang w:val="sk-SK"/>
          </w:rPr>
          <w:t>č. 305/2005 Z. z. o sociálnoprávnej ochrane detí a o sociálnej kuratele a o zmene a doplnení niektorých zákonov</w:t>
        </w:r>
      </w:hyperlink>
      <w:r w:rsidRPr="001F1776">
        <w:rPr>
          <w:shd w:val="clear" w:color="auto" w:fill="FFFFFF"/>
          <w:lang w:val="sk-SK"/>
        </w:rPr>
        <w:t xml:space="preserve"> v znení neskorších predpisov, zákone č. 40/1964 Zb. Občiansky zákonník v znení neskorších predpisov atď.</w:t>
      </w:r>
    </w:p>
    <w:p w:rsidR="001F1776" w:rsidRPr="001F1776" w:rsidRDefault="001F1776" w:rsidP="001F1776">
      <w:pPr>
        <w:spacing w:after="240"/>
        <w:rPr>
          <w:lang w:val="sk-SK" w:eastAsia="sk-SK"/>
        </w:rPr>
      </w:pPr>
      <w:r w:rsidRPr="001F1776">
        <w:rPr>
          <w:lang w:val="sk-SK" w:eastAsia="sk-SK"/>
        </w:rPr>
        <w:t xml:space="preserve">5. </w:t>
      </w:r>
      <w:r w:rsidRPr="001F1776">
        <w:rPr>
          <w:b/>
          <w:lang w:val="sk-SK" w:eastAsia="sk-SK"/>
        </w:rPr>
        <w:t xml:space="preserve">Návrh zákona je zlučiteľný s právom Európskej únie: </w:t>
      </w:r>
      <w:r w:rsidRPr="001F1776">
        <w:rPr>
          <w:lang w:val="sk-SK" w:eastAsia="sk-SK"/>
        </w:rPr>
        <w:t>úplne</w:t>
      </w:r>
    </w:p>
    <w:p w:rsidR="001F1776" w:rsidRDefault="001F1776" w:rsidP="001F1776">
      <w:pPr>
        <w:rPr>
          <w:lang w:val="sk-SK"/>
        </w:rPr>
      </w:pPr>
    </w:p>
    <w:p w:rsidR="00822368" w:rsidRPr="001F1776" w:rsidRDefault="00822368" w:rsidP="001F1776">
      <w:pPr>
        <w:rPr>
          <w:lang w:val="sk-SK"/>
        </w:rPr>
      </w:pPr>
    </w:p>
    <w:p w:rsidR="004E0CE7" w:rsidRPr="001F1776" w:rsidRDefault="004E0CE7" w:rsidP="004E0CE7">
      <w:pPr>
        <w:rPr>
          <w:b/>
          <w:lang w:val="sk-SK"/>
        </w:rPr>
      </w:pPr>
      <w:r w:rsidRPr="001F1776">
        <w:rPr>
          <w:b/>
          <w:lang w:val="sk-SK"/>
        </w:rPr>
        <w:t>B. Osobitná časť</w:t>
      </w:r>
    </w:p>
    <w:p w:rsidR="004E0CE7" w:rsidRPr="001F1776" w:rsidRDefault="004E0CE7" w:rsidP="004E0CE7">
      <w:pPr>
        <w:jc w:val="both"/>
        <w:rPr>
          <w:b/>
          <w:lang w:val="sk-SK"/>
        </w:rPr>
      </w:pPr>
    </w:p>
    <w:p w:rsidR="004E0CE7" w:rsidRPr="001F1776" w:rsidRDefault="004E0CE7" w:rsidP="004E0CE7">
      <w:pPr>
        <w:jc w:val="both"/>
        <w:rPr>
          <w:b/>
          <w:u w:val="single"/>
          <w:lang w:val="sk-SK"/>
        </w:rPr>
      </w:pPr>
      <w:r w:rsidRPr="001F1776">
        <w:rPr>
          <w:b/>
          <w:u w:val="single"/>
          <w:lang w:val="sk-SK"/>
        </w:rPr>
        <w:t>K čl. I</w:t>
      </w:r>
    </w:p>
    <w:p w:rsidR="004E0CE7" w:rsidRPr="001F1776" w:rsidRDefault="004E0CE7" w:rsidP="004E0CE7">
      <w:pPr>
        <w:jc w:val="both"/>
        <w:rPr>
          <w:b/>
          <w:u w:val="single"/>
          <w:lang w:val="sk-SK"/>
        </w:rPr>
      </w:pPr>
    </w:p>
    <w:p w:rsidR="004E0CE7" w:rsidRPr="001F1776" w:rsidRDefault="004E0CE7" w:rsidP="004E0CE7">
      <w:pPr>
        <w:jc w:val="both"/>
        <w:rPr>
          <w:b/>
          <w:lang w:val="sk-SK"/>
        </w:rPr>
      </w:pPr>
      <w:r w:rsidRPr="001F1776">
        <w:rPr>
          <w:b/>
          <w:lang w:val="sk-SK"/>
        </w:rPr>
        <w:t>K bodu 1 [§ 1 písm. e)]</w:t>
      </w:r>
    </w:p>
    <w:p w:rsidR="004E0CE7" w:rsidRPr="001F1776" w:rsidRDefault="004E0CE7" w:rsidP="004E0CE7">
      <w:pPr>
        <w:ind w:firstLine="708"/>
        <w:jc w:val="both"/>
        <w:rPr>
          <w:b/>
          <w:lang w:val="sk-SK"/>
        </w:rPr>
      </w:pPr>
      <w:r w:rsidRPr="001F1776">
        <w:rPr>
          <w:lang w:val="sk-SK"/>
        </w:rPr>
        <w:t>Rozsah predmetu zákona o azyle v oblasti integrácie sa zužuje na úpravu prvotnej integrácie. Takto sú vhodným spôsobom reflektované nielen navrhované zmeny v tejto oblasti v ostatných častiach zákona o azyle, ale aj existujúca prax. Súčasne dochádza v rámci prvotnej integrácie k zjednoteniu postavenia azylantov a cudzincov, ktorým sa poskytla doplnková ochrana.</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2 (§ 2 písm. e) druhý bod a § 19a ods. 7)</w:t>
      </w:r>
    </w:p>
    <w:p w:rsidR="004E0CE7" w:rsidRPr="001F1776" w:rsidRDefault="004E0CE7" w:rsidP="004E0CE7">
      <w:pPr>
        <w:ind w:firstLine="708"/>
        <w:jc w:val="both"/>
        <w:rPr>
          <w:lang w:val="sk-SK"/>
        </w:rPr>
      </w:pPr>
      <w:r w:rsidRPr="001F1776">
        <w:rPr>
          <w:lang w:val="sk-SK"/>
        </w:rPr>
        <w:t>Uvedené sa navrhuje z dôvodu presnejšej transpozície čl. 6 písm. b) a čl. 7 ods. 1 písm. b) smernice Európskeho parlamentu a Rady 2011/95/EÚ, ktoré sa týkajú pôvodcov (aktérov) prenasledovania alebo vážneho bezprávia a aktérov ochrany pred prenasledovaním alebo vážnym bezprávím (zákon o azyle výslovne nevymedzuje pojem aktéri ochrany pred prenasledovaním alebo vážnym bezprávím).</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3 [§ 2 písm. t)]</w:t>
      </w:r>
    </w:p>
    <w:p w:rsidR="004E0CE7" w:rsidRPr="001F1776" w:rsidRDefault="004E0CE7" w:rsidP="004E0CE7">
      <w:pPr>
        <w:ind w:firstLine="708"/>
        <w:jc w:val="both"/>
        <w:rPr>
          <w:lang w:val="sk-SK" w:eastAsia="sk-SK"/>
        </w:rPr>
      </w:pPr>
      <w:r w:rsidRPr="001F1776">
        <w:rPr>
          <w:lang w:val="sk-SK" w:eastAsia="sk-SK"/>
        </w:rPr>
        <w:t>Upravuje sa pojem integračné stredisko,  a to vzhľadom na nové znenie § 28 (bod 49), ktoré umožňuje ubytovať v tomto zariadení ministerstva aj cudzincov, ktorým sa poskytla  doplnková ochrana.</w:t>
      </w:r>
    </w:p>
    <w:p w:rsidR="004E0CE7" w:rsidRPr="001F1776" w:rsidRDefault="004E0CE7" w:rsidP="004E0CE7">
      <w:pPr>
        <w:ind w:firstLine="708"/>
        <w:jc w:val="both"/>
        <w:rPr>
          <w:lang w:val="sk-SK" w:eastAsia="sk-SK"/>
        </w:rPr>
      </w:pPr>
    </w:p>
    <w:p w:rsidR="004E0CE7" w:rsidRPr="001F1776" w:rsidRDefault="004E0CE7" w:rsidP="004E0CE7">
      <w:pPr>
        <w:jc w:val="both"/>
        <w:rPr>
          <w:b/>
          <w:lang w:val="sk-SK"/>
        </w:rPr>
      </w:pPr>
      <w:r w:rsidRPr="001F1776">
        <w:rPr>
          <w:b/>
          <w:lang w:val="sk-SK"/>
        </w:rPr>
        <w:lastRenderedPageBreak/>
        <w:t>K bodu 4 [§ 2 písm. u)]</w:t>
      </w:r>
    </w:p>
    <w:p w:rsidR="004E0CE7" w:rsidRPr="001F1776" w:rsidRDefault="004E0CE7" w:rsidP="004E0CE7">
      <w:pPr>
        <w:ind w:firstLine="708"/>
        <w:jc w:val="both"/>
        <w:rPr>
          <w:b/>
          <w:lang w:val="sk-SK" w:eastAsia="sk-SK"/>
        </w:rPr>
      </w:pPr>
      <w:r w:rsidRPr="001F1776">
        <w:rPr>
          <w:lang w:val="sk-SK"/>
        </w:rPr>
        <w:t>Z dôvodu nadbytočnosti sa vypúšťa vymedzenie pojmu integrácia, keďže ide o všeobecne známy a jasný pojem. Uvedená zmena súvisí aj so zúžením rozsahu predmetu tohto zákona a novou úpravou v § 28.</w:t>
      </w:r>
    </w:p>
    <w:p w:rsidR="004E0CE7" w:rsidRPr="001F1776" w:rsidRDefault="004E0CE7" w:rsidP="004E0CE7">
      <w:pPr>
        <w:ind w:firstLine="708"/>
        <w:jc w:val="both"/>
        <w:rPr>
          <w:lang w:val="sk-SK" w:eastAsia="sk-SK"/>
        </w:rPr>
      </w:pPr>
      <w:r w:rsidRPr="001F1776">
        <w:rPr>
          <w:lang w:val="sk-SK" w:eastAsia="sk-SK"/>
        </w:rPr>
        <w:t xml:space="preserve"> </w:t>
      </w:r>
    </w:p>
    <w:p w:rsidR="004E0CE7" w:rsidRPr="001F1776" w:rsidRDefault="004E0CE7" w:rsidP="004E0CE7">
      <w:pPr>
        <w:jc w:val="both"/>
        <w:rPr>
          <w:b/>
          <w:lang w:val="sk-SK"/>
        </w:rPr>
      </w:pPr>
      <w:r w:rsidRPr="001F1776">
        <w:rPr>
          <w:b/>
          <w:lang w:val="sk-SK"/>
        </w:rPr>
        <w:t>K bodu 5 (§ 2a)</w:t>
      </w:r>
    </w:p>
    <w:p w:rsidR="004E0CE7" w:rsidRPr="001F1776" w:rsidRDefault="004E0CE7" w:rsidP="004E0CE7">
      <w:pPr>
        <w:jc w:val="both"/>
        <w:rPr>
          <w:rFonts w:eastAsia="Calibri"/>
          <w:lang w:val="sk-SK" w:eastAsia="en-US"/>
        </w:rPr>
      </w:pPr>
      <w:r w:rsidRPr="001F1776">
        <w:rPr>
          <w:b/>
          <w:lang w:val="sk-SK"/>
        </w:rPr>
        <w:tab/>
      </w:r>
      <w:r w:rsidRPr="001F1776">
        <w:rPr>
          <w:rFonts w:eastAsia="Calibri"/>
          <w:lang w:val="sk-SK" w:eastAsia="en-US"/>
        </w:rPr>
        <w:t xml:space="preserve">Navrhuje sa do zákona o azyle explicitne premietnuť zohľadňovanie najlepšieho záujmu maloletej osoby (dieťaťa). V súlade s doterajšou praxou sa bude pri prijímaní konkrétnych opatrení v konaniach podľa zákona o azyle, zabezpečovaní starostlivosti o žiadateľov v azylových zariadeniach a pri prvotnej integrácii zohľadňovať najlepší záujem maloletej osoby.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6 (§ 4 ods. 1)</w:t>
      </w:r>
    </w:p>
    <w:p w:rsidR="004E0CE7" w:rsidRPr="001F1776" w:rsidRDefault="004E0CE7" w:rsidP="004E0CE7">
      <w:pPr>
        <w:jc w:val="both"/>
        <w:rPr>
          <w:lang w:val="sk-SK"/>
        </w:rPr>
      </w:pPr>
      <w:r w:rsidRPr="001F1776">
        <w:rPr>
          <w:lang w:val="sk-SK"/>
        </w:rPr>
        <w:tab/>
        <w:t xml:space="preserve">Ide o spresnenie textu a zosúladenie s aplikačnou praxou. Faktom je, že v konaní o udelenie azylu sa v rámci vstupného pohovoru v prípade všetkých žiadateľov o udelenie azylu aplikuje aj ustanovenie § 6 ods. 7.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7 (§ 4 ods. 2)</w:t>
      </w:r>
    </w:p>
    <w:p w:rsidR="004E0CE7" w:rsidRPr="001F1776" w:rsidRDefault="004E0CE7" w:rsidP="004E0CE7">
      <w:pPr>
        <w:jc w:val="both"/>
        <w:rPr>
          <w:lang w:val="sk-SK"/>
        </w:rPr>
      </w:pPr>
      <w:r w:rsidRPr="001F1776">
        <w:rPr>
          <w:lang w:val="sk-SK"/>
        </w:rPr>
        <w:tab/>
        <w:t xml:space="preserve">V súlade so smernicou Európskeho parlamentu a Rady 2013/32/EÚ, najmä s čl. 12 ods. 1 písm. a) sa v zákone o azyle podrobnejšie špecifikujú skutočnosti, ktoré obsahuje poučenie žiadateľa. </w:t>
      </w:r>
    </w:p>
    <w:p w:rsidR="004E0CE7" w:rsidRPr="001F1776" w:rsidRDefault="004E0CE7" w:rsidP="004E0CE7">
      <w:pPr>
        <w:ind w:firstLine="709"/>
        <w:jc w:val="both"/>
        <w:rPr>
          <w:lang w:val="sk-SK"/>
        </w:rPr>
      </w:pPr>
      <w:r w:rsidRPr="001F1776">
        <w:rPr>
          <w:lang w:val="sk-SK"/>
        </w:rPr>
        <w:t xml:space="preserve">Pod výrazom konkludentné späťvzatie žiadosti sa na účely poučenia žiadateľa podľa  tohto zákona rozumejú najmä prípady uvedené v § 19 ods. 1 písm. a), b), f), g) a i) zákona o azyle. </w:t>
      </w:r>
    </w:p>
    <w:p w:rsidR="004E0CE7" w:rsidRPr="001F1776" w:rsidRDefault="004E0CE7" w:rsidP="004E0CE7">
      <w:pPr>
        <w:jc w:val="both"/>
        <w:rPr>
          <w:rFonts w:eastAsia="Calibri"/>
          <w:lang w:val="sk-SK" w:eastAsia="en-US"/>
        </w:rPr>
      </w:pPr>
      <w:r w:rsidRPr="001F1776">
        <w:rPr>
          <w:rFonts w:eastAsia="Calibri"/>
          <w:lang w:val="sk-SK" w:eastAsia="en-US"/>
        </w:rPr>
        <w:t xml:space="preserve">            V súlade so zohľadnením najlepšieho záujmu maloletej osoby sa ustanovenie dopĺňa tiež o skutočnosť, že </w:t>
      </w:r>
      <w:r w:rsidRPr="001F1776">
        <w:rPr>
          <w:rFonts w:eastAsia="Calibri"/>
          <w:lang w:val="sk-SK" w:eastAsia="sk-SK"/>
        </w:rPr>
        <w:t>poučenie a informácie sa poskytnú spôsobom zohľadňujúcim jeho vek a vyspelosť.</w:t>
      </w:r>
    </w:p>
    <w:p w:rsidR="004E0CE7" w:rsidRPr="001F1776" w:rsidRDefault="004E0CE7" w:rsidP="004E0CE7">
      <w:pPr>
        <w:ind w:firstLine="709"/>
        <w:jc w:val="both"/>
        <w:rPr>
          <w:lang w:val="sk-SK"/>
        </w:rPr>
      </w:pPr>
    </w:p>
    <w:p w:rsidR="004E0CE7" w:rsidRPr="001F1776" w:rsidRDefault="004E0CE7" w:rsidP="004E0CE7">
      <w:pPr>
        <w:jc w:val="both"/>
        <w:rPr>
          <w:b/>
          <w:lang w:val="sk-SK"/>
        </w:rPr>
      </w:pPr>
      <w:r w:rsidRPr="001F1776">
        <w:rPr>
          <w:b/>
          <w:lang w:val="sk-SK"/>
        </w:rPr>
        <w:t>K bodu 8 [§ 4 ods. 3 písm. a)]</w:t>
      </w:r>
    </w:p>
    <w:p w:rsidR="004E0CE7" w:rsidRPr="001F1776" w:rsidRDefault="004E0CE7" w:rsidP="004E0CE7">
      <w:pPr>
        <w:jc w:val="both"/>
        <w:rPr>
          <w:lang w:val="sk-SK"/>
        </w:rPr>
      </w:pPr>
      <w:r w:rsidRPr="001F1776">
        <w:rPr>
          <w:b/>
          <w:lang w:val="sk-SK"/>
        </w:rPr>
        <w:tab/>
      </w:r>
      <w:r w:rsidRPr="001F1776">
        <w:rPr>
          <w:lang w:val="sk-SK"/>
        </w:rPr>
        <w:t xml:space="preserve">V súlade s čl. 43 ods. 2 smernice Európskeho parlamentu a Rady 2013/32/EÚ sa novým spôsobom upravuje lehota, po uplynutí ktorej sa žiadateľ umiestnený v prijímacom centre umiestni v záchytnom tábore, čím sa mu zároveň umožní vstup na územie Slovenskej republiky. Prípady, keď sú žiadatelia o udelenie azylu po začatí konania o udelení azylu umiestnení v prijímacom centre, sú v Slovenskej republike ojedinelé.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9 (§ 5 ods. 1)</w:t>
      </w:r>
    </w:p>
    <w:p w:rsidR="004E0CE7" w:rsidRPr="001F1776" w:rsidRDefault="004E0CE7" w:rsidP="004E0CE7">
      <w:pPr>
        <w:ind w:firstLine="708"/>
        <w:jc w:val="both"/>
        <w:rPr>
          <w:lang w:val="sk-SK"/>
        </w:rPr>
      </w:pPr>
      <w:r w:rsidRPr="001F1776">
        <w:rPr>
          <w:lang w:val="sk-SK"/>
        </w:rPr>
        <w:t xml:space="preserve">Berúc do úvahy čl. 6 ods. 1 a 2 smernice Európskeho parlamentu a Rady 2013/33/EÚ sa navrhuje upraviť predmetné ustanovenie tak, aby sa aj v prípade podľa § 3 ods. 2 písm. a) [žiadosť na hraničnom priechode] a § 3 ods. 2 písm. e) [žiadosť počas umiestnenia v ústavnom zdravotníckom zariadení] preukaz žiadateľa vydal do 3 dní od začatia konania, namiesto bezodkladne po príchode do záchytného tábora.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10 (§ 6 ods. 7)</w:t>
      </w:r>
    </w:p>
    <w:p w:rsidR="004E0CE7" w:rsidRPr="001F1776" w:rsidRDefault="004E0CE7" w:rsidP="004E0CE7">
      <w:pPr>
        <w:ind w:firstLine="708"/>
        <w:jc w:val="both"/>
        <w:rPr>
          <w:rFonts w:eastAsia="Calibri"/>
          <w:lang w:val="sk-SK" w:eastAsia="en-US"/>
        </w:rPr>
      </w:pPr>
      <w:r w:rsidRPr="001F1776">
        <w:rPr>
          <w:rFonts w:eastAsia="Calibri"/>
          <w:lang w:val="sk-SK" w:eastAsia="en-US"/>
        </w:rPr>
        <w:t>Navrhuje sa špecifikovať, k čomu sa zástupca žiadateľa pred skončením pohovoru v konaní o udelenie azylu môže ohľadom pohovoru vyjadriť.</w:t>
      </w:r>
    </w:p>
    <w:p w:rsidR="004E0CE7" w:rsidRPr="001F1776" w:rsidRDefault="004E0CE7" w:rsidP="004E0CE7">
      <w:pPr>
        <w:jc w:val="both"/>
        <w:rPr>
          <w:b/>
          <w:lang w:val="sk-SK"/>
        </w:rPr>
      </w:pPr>
      <w:r w:rsidRPr="001F1776">
        <w:rPr>
          <w:b/>
          <w:lang w:val="sk-SK"/>
        </w:rPr>
        <w:tab/>
      </w:r>
    </w:p>
    <w:p w:rsidR="004E0CE7" w:rsidRPr="001F1776" w:rsidRDefault="004E0CE7" w:rsidP="004E0CE7">
      <w:pPr>
        <w:jc w:val="both"/>
        <w:rPr>
          <w:b/>
          <w:lang w:val="sk-SK"/>
        </w:rPr>
      </w:pPr>
      <w:r w:rsidRPr="001F1776">
        <w:rPr>
          <w:b/>
          <w:lang w:val="sk-SK"/>
        </w:rPr>
        <w:t>K bodu 11 (§ 9)</w:t>
      </w:r>
    </w:p>
    <w:p w:rsidR="004E0CE7" w:rsidRPr="001F1776" w:rsidRDefault="004E0CE7" w:rsidP="004E0CE7">
      <w:pPr>
        <w:ind w:firstLine="708"/>
        <w:jc w:val="both"/>
        <w:rPr>
          <w:lang w:val="sk-SK"/>
        </w:rPr>
      </w:pPr>
      <w:r w:rsidRPr="001F1776">
        <w:rPr>
          <w:lang w:val="sk-SK"/>
        </w:rPr>
        <w:t xml:space="preserve">Navrhovaná úprava nadväzuje na novú hierarchiu statusov v § 20 ods. 4 (bod 29). Na rozdiel od súčasnej právnej úpravy sa ustanovenie dopĺňa o skutočnosť, že v konaní sa nezistia ani dôvody podľa § 10, § 13a a § 13b. To znamená, že udelenie azylu podľa § 9 </w:t>
      </w:r>
      <w:r w:rsidRPr="001F1776">
        <w:rPr>
          <w:lang w:val="sk-SK"/>
        </w:rPr>
        <w:lastRenderedPageBreak/>
        <w:t xml:space="preserve">(humanitné dôvody), ktorý je tzv. národným statusom, by prichádzalo do úvahy, až keď neexistujú dôvody na udelenie medzinárodnej ochrany, teda udelenie azylu podľa § 8 (prenasledovanie) a poskytnutie doplnkovej ochrany podľa § 13a (vážne bezprávie), ani dôvody na udelenie azylu podľa § 10, či poskytnutie doplnkovej ochrany podľa § 13b na účel zlúčenia rodiny, ktoré sú tiež tzv. národnými statusmi.    </w:t>
      </w:r>
    </w:p>
    <w:p w:rsidR="004E0CE7" w:rsidRPr="001F1776" w:rsidRDefault="004E0CE7" w:rsidP="004E0CE7">
      <w:pPr>
        <w:ind w:firstLine="708"/>
        <w:jc w:val="both"/>
        <w:rPr>
          <w:lang w:val="sk-SK"/>
        </w:rPr>
      </w:pPr>
      <w:r w:rsidRPr="001F1776">
        <w:rPr>
          <w:lang w:val="sk-SK"/>
        </w:rPr>
        <w:t xml:space="preserve">Pri posudzovaní žiadosti o udelenie azylu sa berie do úvahy aj rozsiahla judikatúra súdov Slovenskej republiky. Je potrebné uviesť, že udeliť azyl z humanitných dôvodov je vyjadrením zvrchovaného práva Slovenskej republiky, pričom  udelenie tohto druhu ochrany nevyplýva ani z medzinárodných dohovorov ani z európskeho práva. V zmysle príslušnej judikatúry môže ministerstvo vnútra posúdiť možnosť udelenia azylu podľa § 9, právny nárok na udelenie azylu z humanitných dôvodov však neexistuje.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12, 14 a 29 (§ 13 ods. 1, § 13c ods. 1 a § 20 ods. 4)</w:t>
      </w:r>
    </w:p>
    <w:p w:rsidR="004E0CE7" w:rsidRPr="001F1776" w:rsidRDefault="004E0CE7" w:rsidP="004E0CE7">
      <w:pPr>
        <w:jc w:val="both"/>
        <w:rPr>
          <w:lang w:val="sk-SK"/>
        </w:rPr>
      </w:pPr>
      <w:r w:rsidRPr="001F1776">
        <w:rPr>
          <w:lang w:val="sk-SK"/>
        </w:rPr>
        <w:tab/>
        <w:t xml:space="preserve">V § 20 ods. 4  sa navrhuje zmeniť hierarchiu statusov. Potreba tejto úpravy vyplýva okrem aplikačnej praxe aj z práva Európskej únie, najmä smernice Európskeho parlamentu a Rady 2011/95/EÚ. </w:t>
      </w:r>
    </w:p>
    <w:p w:rsidR="004E0CE7" w:rsidRPr="001F1776" w:rsidRDefault="004E0CE7" w:rsidP="004E0CE7">
      <w:pPr>
        <w:ind w:firstLine="708"/>
        <w:jc w:val="both"/>
        <w:rPr>
          <w:lang w:val="sk-SK"/>
        </w:rPr>
      </w:pPr>
      <w:r w:rsidRPr="001F1776">
        <w:rPr>
          <w:lang w:val="sk-SK"/>
        </w:rPr>
        <w:t xml:space="preserve">Na rozdiel od súčasnej právnej úpravy sa v prípade nesplnenia podmienok na udelenie azylu podľa § 8 (prenasledovanie) bude posudzovať splnenie podmienok na poskytnutie doplnkovej ochrany podľa § 13a (vážne bezprávie). Azyl podľa § 8 a  doplnková ochrana podľa § 13a predstavujú dve formy medzinárodnej ochrany, ktoré musia mať v zmysle práva </w:t>
      </w:r>
      <w:r w:rsidRPr="001F1776">
        <w:rPr>
          <w:lang w:val="sk-SK" w:eastAsia="sk-SK"/>
        </w:rPr>
        <w:t>Európskej únie</w:t>
      </w:r>
      <w:r w:rsidRPr="001F1776">
        <w:rPr>
          <w:lang w:val="sk-SK"/>
        </w:rPr>
        <w:t xml:space="preserve"> prednosť pred národnými statusmi. Až následne sa preto bude posudzovať splnenie podmienok na udelenie azylu podľa § 10 (na účel zlúčenia rodiny) a poskytnutie doplnkovej ochrany podľa § 13b (na účel zlúčenia rodiny). </w:t>
      </w:r>
    </w:p>
    <w:p w:rsidR="004E0CE7" w:rsidRPr="001F1776" w:rsidRDefault="004E0CE7" w:rsidP="004E0CE7">
      <w:pPr>
        <w:ind w:firstLine="708"/>
        <w:jc w:val="both"/>
        <w:rPr>
          <w:lang w:val="sk-SK"/>
        </w:rPr>
      </w:pPr>
      <w:r w:rsidRPr="001F1776">
        <w:rPr>
          <w:lang w:val="sk-SK"/>
        </w:rPr>
        <w:t xml:space="preserve">Samostatné postavenie v tejto hierarchii má azyl podľa § 9 (humanitné dôvody), ktorý však odseky 4 a 5 výslovne neriešia. Ide tiež o tzv. národný status, jeho udelenie je však možné až potom, ako sa v konaní nezistia dôvody pre udelenie/poskytnutie vyššie uvedených statusov. </w:t>
      </w:r>
    </w:p>
    <w:p w:rsidR="004E0CE7" w:rsidRPr="001F1776" w:rsidRDefault="004E0CE7" w:rsidP="004E0CE7">
      <w:pPr>
        <w:ind w:firstLine="708"/>
        <w:jc w:val="both"/>
        <w:rPr>
          <w:lang w:val="sk-SK"/>
        </w:rPr>
      </w:pPr>
      <w:r w:rsidRPr="001F1776">
        <w:rPr>
          <w:lang w:val="sk-SK"/>
        </w:rPr>
        <w:t xml:space="preserve">V nadväznosti na úpravu hierarchie statusov v  § 20 ods. 4 a ods. 5  sa aktualizuje aj znenie § 13 ods. 1 týkajúce sa neudelenia azylu z dôvodu nesplnenia podmienok, ako aj znenie § 13c ods. 1 týkajúce sa neposkytnutia doplnkovej ochrany z dôvodu nesplnenia podmienok. Úprava hierarchie statusov bude mať vplyv na výroky rozhodnutia o neudelení azylu.  </w:t>
      </w:r>
    </w:p>
    <w:p w:rsidR="004E0CE7" w:rsidRPr="001F1776" w:rsidRDefault="004E0CE7" w:rsidP="004E0CE7">
      <w:pPr>
        <w:jc w:val="both"/>
        <w:rPr>
          <w:lang w:val="sk-SK"/>
        </w:rPr>
      </w:pPr>
      <w:r w:rsidRPr="001F1776">
        <w:rPr>
          <w:lang w:val="sk-SK"/>
        </w:rPr>
        <w:t xml:space="preserve">  </w:t>
      </w:r>
    </w:p>
    <w:p w:rsidR="004E0CE7" w:rsidRPr="001F1776" w:rsidRDefault="004E0CE7" w:rsidP="004E0CE7">
      <w:pPr>
        <w:jc w:val="both"/>
        <w:rPr>
          <w:b/>
          <w:u w:val="single"/>
          <w:lang w:val="sk-SK"/>
        </w:rPr>
      </w:pPr>
      <w:r w:rsidRPr="001F1776">
        <w:rPr>
          <w:b/>
          <w:lang w:val="sk-SK"/>
        </w:rPr>
        <w:t>K bodu 13 [§ 13 ods. 5 písm. c) a § 13c ods. 4 písm. d)]</w:t>
      </w:r>
    </w:p>
    <w:p w:rsidR="004E0CE7" w:rsidRPr="001F1776" w:rsidRDefault="004E0CE7" w:rsidP="004E0CE7">
      <w:pPr>
        <w:ind w:firstLine="708"/>
        <w:jc w:val="both"/>
        <w:rPr>
          <w:b/>
          <w:lang w:val="sk-SK"/>
        </w:rPr>
      </w:pPr>
      <w:r w:rsidRPr="001F1776">
        <w:rPr>
          <w:lang w:val="sk-SK"/>
        </w:rPr>
        <w:t>Ide o legislatívno-technickú úpravu súvisiacu s doplnením nového odseku 8 v § 19a (bod 26).</w:t>
      </w:r>
      <w:r w:rsidRPr="001F1776">
        <w:rPr>
          <w:b/>
          <w:lang w:val="sk-SK"/>
        </w:rPr>
        <w:t xml:space="preserve">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15 (§ 14 ods. 4)</w:t>
      </w:r>
    </w:p>
    <w:p w:rsidR="004E0CE7" w:rsidRPr="001F1776" w:rsidRDefault="004E0CE7" w:rsidP="004E0CE7">
      <w:pPr>
        <w:ind w:firstLine="708"/>
        <w:jc w:val="both"/>
        <w:rPr>
          <w:lang w:val="sk-SK"/>
        </w:rPr>
      </w:pPr>
      <w:r w:rsidRPr="001F1776">
        <w:rPr>
          <w:lang w:val="sk-SK"/>
        </w:rPr>
        <w:t>Rozširujú sa dôvody zániku azylu. V súvislosti s úpravou hierarchie statusov v novom znení § 20 ods. 4 a ods. 5 (body 29 a 30) sa navrhuje, aby poskytnutie doplnkovej ochrany z dôvodu vážneho bezprávia bolo dôvodom na zánik azylu udeleného na účel zlúčenia rodiny a azylu udeleného z humanitných dôvodov, ktoré sú tzv. národnými statusmi. Takéto prípady by však prichádzali do úvahy najmä vtedy, ak by azylant podal opakovanú žiadosť o udelenie azylu.</w:t>
      </w:r>
    </w:p>
    <w:p w:rsidR="004E0CE7" w:rsidRPr="001F1776" w:rsidRDefault="004E0CE7" w:rsidP="004E0CE7">
      <w:pPr>
        <w:jc w:val="both"/>
        <w:rPr>
          <w:b/>
          <w:u w:val="single"/>
          <w:lang w:val="sk-SK"/>
        </w:rPr>
      </w:pPr>
    </w:p>
    <w:p w:rsidR="004E0CE7" w:rsidRPr="001F1776" w:rsidRDefault="004E0CE7" w:rsidP="004E0CE7">
      <w:pPr>
        <w:jc w:val="both"/>
        <w:rPr>
          <w:b/>
          <w:lang w:val="sk-SK"/>
        </w:rPr>
      </w:pPr>
      <w:r w:rsidRPr="001F1776">
        <w:rPr>
          <w:b/>
          <w:lang w:val="sk-SK"/>
        </w:rPr>
        <w:t>K bodu 16 [§ 15a ods. 1 písm. a)]</w:t>
      </w:r>
    </w:p>
    <w:p w:rsidR="004E0CE7" w:rsidRPr="001F1776" w:rsidRDefault="004E0CE7" w:rsidP="004E0CE7">
      <w:pPr>
        <w:jc w:val="both"/>
        <w:rPr>
          <w:lang w:val="sk-SK"/>
        </w:rPr>
      </w:pPr>
      <w:r w:rsidRPr="001F1776">
        <w:rPr>
          <w:lang w:val="sk-SK"/>
        </w:rPr>
        <w:tab/>
        <w:t xml:space="preserve">Upravuje sa dôvod zániku doplnkovej ochrany. V súvislosti s úpravou hierarchie statusov v novom znení § 20 ods. 4 a ods. 5 (body 29 a 30) sa navrhuje, že doplnková ochrana poskytnutá z dôvodu vážneho bezprávia zanikne len udelením azylu podľa § 8 (z dôvodu </w:t>
      </w:r>
      <w:r w:rsidRPr="001F1776">
        <w:rPr>
          <w:lang w:val="sk-SK"/>
        </w:rPr>
        <w:lastRenderedPageBreak/>
        <w:t xml:space="preserve">prenasledovania), avšak doplnková ochrana poskytnutá na účel zlúčenia rodiny zanikne okrem udelenia azylu podľa § 8, aj udelením azylu podľa § 10 (na účel zlúčenia rodiny). </w:t>
      </w:r>
    </w:p>
    <w:p w:rsidR="004E0CE7" w:rsidRPr="001F1776" w:rsidRDefault="004E0CE7" w:rsidP="004E0CE7">
      <w:pPr>
        <w:jc w:val="both"/>
        <w:rPr>
          <w:b/>
          <w:u w:val="single"/>
          <w:lang w:val="sk-SK"/>
        </w:rPr>
      </w:pPr>
    </w:p>
    <w:p w:rsidR="004E0CE7" w:rsidRPr="001F1776" w:rsidRDefault="004E0CE7" w:rsidP="004E0CE7">
      <w:pPr>
        <w:jc w:val="both"/>
        <w:rPr>
          <w:b/>
          <w:lang w:val="sk-SK"/>
        </w:rPr>
      </w:pPr>
      <w:r w:rsidRPr="001F1776">
        <w:rPr>
          <w:b/>
          <w:lang w:val="sk-SK"/>
        </w:rPr>
        <w:t>K bodom 17 a 18 (§ 15b ods. 1, ods. 3)</w:t>
      </w:r>
    </w:p>
    <w:p w:rsidR="004E0CE7" w:rsidRPr="001F1776" w:rsidRDefault="004E0CE7" w:rsidP="004E0CE7">
      <w:pPr>
        <w:jc w:val="both"/>
        <w:rPr>
          <w:lang w:val="sk-SK" w:eastAsia="sk-SK"/>
        </w:rPr>
      </w:pPr>
      <w:r w:rsidRPr="001F1776">
        <w:rPr>
          <w:lang w:val="sk-SK" w:eastAsia="sk-SK"/>
        </w:rPr>
        <w:tab/>
        <w:t>Z dôvodu spresnenia a jednotnosti zákona o azyle sa jasne určuje, že aj konanie o zrušenie doplnkovej ochrany sa začína na podnet ministerstva.</w:t>
      </w:r>
    </w:p>
    <w:p w:rsidR="004E0CE7" w:rsidRPr="001F1776" w:rsidRDefault="004E0CE7" w:rsidP="004E0CE7">
      <w:pPr>
        <w:ind w:firstLine="708"/>
        <w:jc w:val="both"/>
        <w:rPr>
          <w:lang w:val="sk-SK"/>
        </w:rPr>
      </w:pPr>
      <w:r w:rsidRPr="001F1776">
        <w:rPr>
          <w:lang w:val="sk-SK"/>
        </w:rPr>
        <w:t>V odseku 3 ide o nadväzujúcu legislatívno-technickú úpravu.</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bodom 19, 24, 25, 38, 39, 42, 43 a 56 (poznámka 8a, 8d, 8e, 11b, 13a, 15 až 19, 22 a odkaz 11ad)</w:t>
      </w:r>
    </w:p>
    <w:p w:rsidR="004E0CE7" w:rsidRPr="001F1776" w:rsidRDefault="004E0CE7" w:rsidP="004E0CE7">
      <w:pPr>
        <w:ind w:firstLine="708"/>
        <w:jc w:val="both"/>
        <w:rPr>
          <w:lang w:val="sk-SK"/>
        </w:rPr>
      </w:pPr>
      <w:r w:rsidRPr="001F1776">
        <w:rPr>
          <w:lang w:val="sk-SK"/>
        </w:rPr>
        <w:t>Navrhuje sa aktualizovať citáciu právnych predpisov v poznámkach pod čiarou a vypustiť poznámky pod čiarou k už zrušeným odkazom.</w:t>
      </w:r>
    </w:p>
    <w:p w:rsidR="004E0CE7" w:rsidRPr="001F1776" w:rsidRDefault="004E0CE7" w:rsidP="004E0CE7">
      <w:pPr>
        <w:ind w:firstLine="708"/>
        <w:jc w:val="both"/>
        <w:rPr>
          <w:lang w:val="sk-SK"/>
        </w:rPr>
      </w:pPr>
    </w:p>
    <w:p w:rsidR="004E0CE7" w:rsidRPr="001F1776" w:rsidRDefault="004E0CE7" w:rsidP="004E0CE7">
      <w:pPr>
        <w:jc w:val="both"/>
        <w:rPr>
          <w:b/>
          <w:lang w:val="sk-SK"/>
        </w:rPr>
      </w:pPr>
      <w:r w:rsidRPr="001F1776">
        <w:rPr>
          <w:b/>
          <w:lang w:val="sk-SK"/>
        </w:rPr>
        <w:t>K bodom 20 a 37 (§ 16 ods. 3, § 22 ods. 10, § 23a ods. 1, § 40 ods. 1, § 52)</w:t>
      </w:r>
    </w:p>
    <w:p w:rsidR="004E0CE7" w:rsidRPr="001F1776" w:rsidRDefault="004E0CE7" w:rsidP="004E0CE7">
      <w:pPr>
        <w:jc w:val="both"/>
        <w:rPr>
          <w:lang w:val="sk-SK"/>
        </w:rPr>
      </w:pPr>
      <w:r w:rsidRPr="001F1776">
        <w:rPr>
          <w:b/>
          <w:lang w:val="sk-SK"/>
        </w:rPr>
        <w:tab/>
      </w:r>
      <w:r w:rsidRPr="001F1776">
        <w:rPr>
          <w:lang w:val="sk-SK"/>
        </w:rPr>
        <w:t>Ide o zosúladenie názvu všeobecného predpisu o správnom konaní s legislatívno-technickými pravidlami.</w:t>
      </w:r>
    </w:p>
    <w:p w:rsidR="004E0CE7" w:rsidRPr="001F1776" w:rsidRDefault="004E0CE7" w:rsidP="004E0CE7">
      <w:pPr>
        <w:jc w:val="both"/>
        <w:rPr>
          <w:lang w:val="sk-SK"/>
        </w:rPr>
      </w:pPr>
    </w:p>
    <w:p w:rsidR="004E0CE7" w:rsidRPr="001F1776" w:rsidRDefault="004E0CE7" w:rsidP="004E0CE7">
      <w:pPr>
        <w:jc w:val="both"/>
        <w:rPr>
          <w:b/>
          <w:lang w:val="sk-SK"/>
        </w:rPr>
      </w:pPr>
      <w:r w:rsidRPr="001F1776">
        <w:rPr>
          <w:b/>
          <w:lang w:val="sk-SK"/>
        </w:rPr>
        <w:t>K bodu 21 (§ 17 ods. 1 a § 45)</w:t>
      </w:r>
    </w:p>
    <w:p w:rsidR="004E0CE7" w:rsidRPr="001F1776" w:rsidRDefault="004E0CE7" w:rsidP="004E0CE7">
      <w:pPr>
        <w:jc w:val="both"/>
        <w:rPr>
          <w:lang w:val="sk-SK"/>
        </w:rPr>
      </w:pPr>
      <w:r w:rsidRPr="001F1776">
        <w:rPr>
          <w:lang w:val="sk-SK"/>
        </w:rPr>
        <w:tab/>
        <w:t xml:space="preserve">Uvedené sa navrhuje z dôvodu zdôraznenia, že ide o mimovládne organizácie, ktoré sa zaoberajú starostlivosťou nielen o žiadateľov o udelenie azylu a azylantov, ale aj o cudzincov, ktorým sa poskytla doplnková ochrana. </w:t>
      </w:r>
    </w:p>
    <w:p w:rsidR="004E0CE7" w:rsidRPr="001F1776" w:rsidRDefault="004E0CE7" w:rsidP="004E0CE7">
      <w:pPr>
        <w:jc w:val="both"/>
        <w:rPr>
          <w:b/>
          <w:u w:val="single"/>
          <w:lang w:val="sk-SK"/>
        </w:rPr>
      </w:pPr>
    </w:p>
    <w:p w:rsidR="004E0CE7" w:rsidRPr="001F1776" w:rsidRDefault="004E0CE7" w:rsidP="004E0CE7">
      <w:pPr>
        <w:jc w:val="both"/>
        <w:rPr>
          <w:b/>
          <w:lang w:val="sk-SK"/>
        </w:rPr>
      </w:pPr>
      <w:r w:rsidRPr="001F1776">
        <w:rPr>
          <w:b/>
          <w:lang w:val="sk-SK"/>
        </w:rPr>
        <w:t>K bodu 22 (§ 17 ods. 2)</w:t>
      </w:r>
    </w:p>
    <w:p w:rsidR="004E0CE7" w:rsidRPr="001F1776" w:rsidRDefault="004E0CE7" w:rsidP="004E0CE7">
      <w:pPr>
        <w:ind w:firstLine="708"/>
        <w:jc w:val="both"/>
        <w:rPr>
          <w:lang w:val="sk-SK"/>
        </w:rPr>
      </w:pPr>
      <w:r w:rsidRPr="001F1776">
        <w:rPr>
          <w:lang w:val="sk-SK"/>
        </w:rPr>
        <w:t xml:space="preserve">Z dôvodu dlhodobého nepoužívania, ale najmä problematického uplatňovania  v samotnej aplikačnej praxi sa vypúšťa predmetná časť ustanovenia umožňujúca výnimku z práva nahliadnutia do spisu, a to nesprístupniť informácie uvedené v spise. </w:t>
      </w:r>
    </w:p>
    <w:p w:rsidR="004E0CE7" w:rsidRPr="001F1776" w:rsidRDefault="004E0CE7" w:rsidP="004E0CE7">
      <w:pPr>
        <w:ind w:firstLine="708"/>
        <w:jc w:val="both"/>
        <w:rPr>
          <w:lang w:val="sk-SK"/>
        </w:rPr>
      </w:pPr>
    </w:p>
    <w:p w:rsidR="004E0CE7" w:rsidRPr="001F1776" w:rsidRDefault="004E0CE7" w:rsidP="004E0CE7">
      <w:pPr>
        <w:jc w:val="both"/>
        <w:rPr>
          <w:b/>
          <w:lang w:val="sk-SK"/>
        </w:rPr>
      </w:pPr>
      <w:r w:rsidRPr="001F1776">
        <w:rPr>
          <w:b/>
          <w:lang w:val="sk-SK"/>
        </w:rPr>
        <w:t>K bodu 23 (§ 17b ods. 4)</w:t>
      </w:r>
    </w:p>
    <w:p w:rsidR="004E0CE7" w:rsidRPr="001F1776" w:rsidRDefault="004E0CE7" w:rsidP="004E0CE7">
      <w:pPr>
        <w:jc w:val="both"/>
        <w:rPr>
          <w:lang w:val="sk-SK"/>
        </w:rPr>
      </w:pPr>
      <w:r w:rsidRPr="001F1776">
        <w:rPr>
          <w:lang w:val="sk-SK"/>
        </w:rPr>
        <w:t xml:space="preserve">Ide o legislatívno-technickú úpravu v súvislosti so zmenou v § 27 a 27c.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26 (§ 19a ods. 8)</w:t>
      </w:r>
    </w:p>
    <w:p w:rsidR="004E0CE7" w:rsidRPr="001F1776" w:rsidRDefault="004E0CE7" w:rsidP="004E0CE7">
      <w:pPr>
        <w:pStyle w:val="CM1"/>
        <w:jc w:val="both"/>
        <w:rPr>
          <w:rFonts w:ascii="Times New Roman" w:hAnsi="Times New Roman" w:cs="Times New Roman"/>
        </w:rPr>
      </w:pPr>
      <w:r w:rsidRPr="001F1776">
        <w:rPr>
          <w:rFonts w:ascii="Times New Roman" w:hAnsi="Times New Roman" w:cs="Times New Roman"/>
          <w:b/>
        </w:rPr>
        <w:tab/>
      </w:r>
      <w:r w:rsidRPr="001F1776">
        <w:rPr>
          <w:rFonts w:ascii="Times New Roman" w:hAnsi="Times New Roman" w:cs="Times New Roman"/>
        </w:rPr>
        <w:t>V súlade s čl. 8 ods. 2 smernice Európskeho parlamentu a Rady 2011/95/EÚ a aplikačnou praxou v rámci konania o udelenie azylu sa jasne v zákone o azyle uvádzajú príslušné  zdroje informácií o krajinách pôvodu žiadateľov o udelenie azylu.</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 xml:space="preserve">K bodu 27 (§ 19b) </w:t>
      </w:r>
    </w:p>
    <w:p w:rsidR="004E0CE7" w:rsidRPr="001F1776" w:rsidRDefault="004E0CE7" w:rsidP="004E0CE7">
      <w:pPr>
        <w:jc w:val="both"/>
        <w:rPr>
          <w:lang w:val="sk-SK" w:eastAsia="sk-SK"/>
        </w:rPr>
      </w:pPr>
      <w:r w:rsidRPr="001F1776">
        <w:rPr>
          <w:lang w:val="sk-SK"/>
        </w:rPr>
        <w:tab/>
        <w:t xml:space="preserve">Z dôvodu jednoznačnosti sa ustanovuje aj v iných konaniach o azyle, ako je konanie o udelenie azylu, že sa primerane použijú ustanovenia o osobitných procesných zárukách (§ 17ab) a lehotách na vydanie rozhodnutia (§ 20 ods. 1). Nevyhodnotilo sa ako účelné </w:t>
      </w:r>
      <w:r w:rsidRPr="001F1776">
        <w:rPr>
          <w:lang w:val="sk-SK" w:eastAsia="sk-SK"/>
        </w:rPr>
        <w:t xml:space="preserve">upravovať osobitnú lehotu na rozhodovanie v konaní o odňatie azylu, predĺženie doplnkovej ochrany, zrušenie doplnkovej ochrany, atď. </w:t>
      </w:r>
    </w:p>
    <w:p w:rsidR="004E0CE7" w:rsidRPr="001F1776" w:rsidRDefault="004E0CE7" w:rsidP="004E0CE7">
      <w:pPr>
        <w:jc w:val="both"/>
        <w:rPr>
          <w:lang w:val="sk-SK"/>
        </w:rPr>
      </w:pPr>
      <w:r w:rsidRPr="001F1776">
        <w:rPr>
          <w:lang w:val="sk-SK"/>
        </w:rPr>
        <w:t xml:space="preserve">  </w:t>
      </w:r>
    </w:p>
    <w:p w:rsidR="004E0CE7" w:rsidRPr="001F1776" w:rsidRDefault="004E0CE7" w:rsidP="004E0CE7">
      <w:pPr>
        <w:jc w:val="both"/>
        <w:rPr>
          <w:b/>
          <w:lang w:val="sk-SK" w:eastAsia="sk-SK"/>
        </w:rPr>
      </w:pPr>
      <w:r w:rsidRPr="001F1776">
        <w:rPr>
          <w:b/>
          <w:lang w:val="sk-SK" w:eastAsia="sk-SK"/>
        </w:rPr>
        <w:t>K bodom 28 a 32 (§ 20 ods. 3 a § 21 ods. 1)</w:t>
      </w:r>
    </w:p>
    <w:p w:rsidR="004E0CE7" w:rsidRPr="001F1776" w:rsidRDefault="004E0CE7" w:rsidP="004E0CE7">
      <w:pPr>
        <w:ind w:firstLine="708"/>
        <w:jc w:val="both"/>
        <w:rPr>
          <w:lang w:val="sk-SK" w:eastAsia="sk-SK"/>
        </w:rPr>
      </w:pPr>
      <w:r w:rsidRPr="001F1776">
        <w:rPr>
          <w:lang w:val="sk-SK" w:eastAsia="sk-SK"/>
        </w:rPr>
        <w:t xml:space="preserve">Ide o legislatívno-technickú úpravu súvisiacu s doplnením nového odseku 1 v § 15b (bod 17).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30 (§ 20 ods. 5 a ods. 6)</w:t>
      </w:r>
    </w:p>
    <w:p w:rsidR="004E0CE7" w:rsidRPr="001F1776" w:rsidRDefault="004E0CE7" w:rsidP="004E0CE7">
      <w:pPr>
        <w:jc w:val="both"/>
        <w:rPr>
          <w:lang w:val="sk-SK"/>
        </w:rPr>
      </w:pPr>
      <w:r w:rsidRPr="001F1776">
        <w:rPr>
          <w:lang w:val="sk-SK"/>
        </w:rPr>
        <w:tab/>
        <w:t xml:space="preserve">Navrhované zmeny súvisia s úpravou hierarchie statusov v § 20 ods. 4 (bod 29). Ak žiadateľovi nebol udelený azyl, ani na poskytnutá doplnková ochrana, posúdi sa podľa odseku 5 potreba azylu a doplnkovej ochrany na účel zlúčenia rodiny. V zmysle odseku 6 sa v rámci </w:t>
      </w:r>
      <w:r w:rsidRPr="001F1776">
        <w:rPr>
          <w:lang w:val="sk-SK"/>
        </w:rPr>
        <w:lastRenderedPageBreak/>
        <w:t xml:space="preserve">konania o odňatie azylu udeleného podľa § 8 (prenasledovanie) bude rozhodovať len o poskytnutí doplnkovej ochrany podľa § 13a (vážne bezprávie). V prípade odňatia azylu udeleného podľa § 10 (účel zlúčenia rodiny) alebo podľa § 9 (humanitné dôvody) sa už o poskytnutí doplnkovej ochrany rozhodovať nebude.   </w:t>
      </w:r>
    </w:p>
    <w:p w:rsidR="004E0CE7" w:rsidRPr="001F1776" w:rsidRDefault="004E0CE7" w:rsidP="004E0CE7">
      <w:pPr>
        <w:jc w:val="both"/>
        <w:rPr>
          <w:lang w:val="sk-SK"/>
        </w:rPr>
      </w:pPr>
    </w:p>
    <w:p w:rsidR="004E0CE7" w:rsidRPr="001F1776" w:rsidRDefault="004E0CE7" w:rsidP="004E0CE7">
      <w:pPr>
        <w:jc w:val="both"/>
        <w:rPr>
          <w:b/>
          <w:lang w:val="sk-SK"/>
        </w:rPr>
      </w:pPr>
      <w:r w:rsidRPr="001F1776">
        <w:rPr>
          <w:b/>
          <w:lang w:val="sk-SK"/>
        </w:rPr>
        <w:t>K bodu 31 (§ 20a ods. 1)</w:t>
      </w:r>
    </w:p>
    <w:p w:rsidR="004E0CE7" w:rsidRPr="001F1776" w:rsidRDefault="004E0CE7" w:rsidP="004E0CE7">
      <w:pPr>
        <w:jc w:val="both"/>
        <w:rPr>
          <w:lang w:val="sk-SK"/>
        </w:rPr>
      </w:pPr>
      <w:r w:rsidRPr="001F1776">
        <w:rPr>
          <w:b/>
          <w:lang w:val="sk-SK"/>
        </w:rPr>
        <w:tab/>
      </w:r>
      <w:r w:rsidRPr="001F1776">
        <w:rPr>
          <w:lang w:val="sk-SK"/>
        </w:rPr>
        <w:t>V súlade s čl. 12 ods. 1 písm. e) smernice Európskeho parlamentu a Rady 2013/32/EÚ sa v zákone o azyle výslovne ustanovuje, že rozhodnutie vydané v konaní o azyle sa účastníkovi konania doručí v primeranom čase.</w:t>
      </w:r>
    </w:p>
    <w:p w:rsidR="004E0CE7" w:rsidRPr="001F1776" w:rsidRDefault="004E0CE7" w:rsidP="004E0CE7">
      <w:pPr>
        <w:jc w:val="both"/>
        <w:rPr>
          <w:lang w:val="sk-SK"/>
        </w:rPr>
      </w:pPr>
    </w:p>
    <w:p w:rsidR="004E0CE7" w:rsidRPr="001F1776" w:rsidRDefault="004E0CE7" w:rsidP="004E0CE7">
      <w:pPr>
        <w:jc w:val="both"/>
        <w:rPr>
          <w:b/>
          <w:lang w:val="sk-SK" w:eastAsia="sk-SK"/>
        </w:rPr>
      </w:pPr>
      <w:r w:rsidRPr="001F1776">
        <w:rPr>
          <w:b/>
          <w:lang w:val="sk-SK" w:eastAsia="sk-SK"/>
        </w:rPr>
        <w:t>K bodom  33 a 34 [§ 22 ods. 3 úvodná veta, písm. a)]</w:t>
      </w:r>
    </w:p>
    <w:p w:rsidR="004E0CE7" w:rsidRPr="001F1776" w:rsidRDefault="004E0CE7" w:rsidP="004E0CE7">
      <w:pPr>
        <w:jc w:val="both"/>
        <w:rPr>
          <w:lang w:val="sk-SK" w:eastAsia="sk-SK"/>
        </w:rPr>
      </w:pPr>
      <w:r w:rsidRPr="001F1776">
        <w:rPr>
          <w:lang w:val="sk-SK" w:eastAsia="sk-SK"/>
        </w:rPr>
        <w:tab/>
        <w:t>Táto úprava vhodnejšie upraví povoľovanie pobytu žiadateľov mimo pobytového tábora a zároveň zabezpečí, že žiadateľ bude na účely azylového konania, resp. odvolacieho konania, príslušným orgánom k dispozícii. V súlade s overenou aplikačnou praxou sa navrhuje výslovne v zákone o azyle ustanoviť maximálnu dobu, na ktorú sa udelí tzv. dlhodobá priepustka, ktorá sa môže udeliť aj opakovane. Stanovená zákonná lehota je primeraná, ide vlastne o sformalizovanie súčasného stavu, pričom uvedenou úpravou sa predíde prípadným aplikačným nejasnostiam v budúcnosti. Pri stanovení zákonnej lehoty sa bralo do úvahy tiež zabezpečenie aplikácie  čl. 13 ods. 2 písm. a) smernice Európskeho parlamentu a Rady 2013/32/EÚ.</w:t>
      </w:r>
    </w:p>
    <w:p w:rsidR="004E0CE7" w:rsidRPr="001F1776" w:rsidRDefault="004E0CE7" w:rsidP="004E0CE7">
      <w:pPr>
        <w:jc w:val="both"/>
        <w:rPr>
          <w:lang w:val="sk-SK" w:eastAsia="sk-SK"/>
        </w:rPr>
      </w:pPr>
      <w:r w:rsidRPr="001F1776">
        <w:rPr>
          <w:lang w:val="sk-SK" w:eastAsia="sk-SK"/>
        </w:rPr>
        <w:tab/>
        <w:t xml:space="preserve">Taktiež sa navrhuje v súlade s aplikačnou praxou ustanoviť, že aj v prípade, ak žiadateľ je sám schopný uhradiť si všetky výdavky spojené s pobytom mimo pobytového tábora z vlastných prostriedkov, dokladuje túto skutočnosť predložením čestného vyhlásenia.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35 (§ 22 ods. 7)</w:t>
      </w:r>
    </w:p>
    <w:p w:rsidR="004E0CE7" w:rsidRPr="001F1776" w:rsidRDefault="004E0CE7" w:rsidP="004E0CE7">
      <w:pPr>
        <w:jc w:val="both"/>
        <w:rPr>
          <w:highlight w:val="yellow"/>
          <w:lang w:val="sk-SK"/>
        </w:rPr>
      </w:pPr>
      <w:r w:rsidRPr="001F1776">
        <w:rPr>
          <w:lang w:val="sk-SK"/>
        </w:rPr>
        <w:tab/>
        <w:t>Zmena ustanovenia sa vykonáva za účelom zosúladenia textu s navrhovaným § 28 ods. 3.</w:t>
      </w:r>
      <w:r w:rsidRPr="001F1776">
        <w:rPr>
          <w:lang w:val="sk-SK"/>
        </w:rPr>
        <w:tab/>
      </w:r>
      <w:r w:rsidRPr="001F1776">
        <w:rPr>
          <w:highlight w:val="yellow"/>
          <w:lang w:val="sk-SK"/>
        </w:rPr>
        <w:t xml:space="preserve"> </w:t>
      </w:r>
    </w:p>
    <w:p w:rsidR="004E0CE7" w:rsidRPr="001F1776" w:rsidRDefault="004E0CE7" w:rsidP="004E0CE7">
      <w:pPr>
        <w:jc w:val="both"/>
        <w:rPr>
          <w:highlight w:val="yellow"/>
          <w:lang w:val="sk-SK"/>
        </w:rPr>
      </w:pPr>
    </w:p>
    <w:p w:rsidR="004E0CE7" w:rsidRPr="001F1776" w:rsidRDefault="004E0CE7" w:rsidP="004E0CE7">
      <w:pPr>
        <w:jc w:val="both"/>
        <w:rPr>
          <w:b/>
          <w:lang w:val="sk-SK"/>
        </w:rPr>
      </w:pPr>
      <w:r w:rsidRPr="001F1776">
        <w:rPr>
          <w:b/>
          <w:lang w:val="sk-SK"/>
        </w:rPr>
        <w:t>K bodu 36 (§ 22 ods. 8)</w:t>
      </w:r>
    </w:p>
    <w:p w:rsidR="004E0CE7" w:rsidRPr="001F1776" w:rsidRDefault="004E0CE7" w:rsidP="004E0CE7">
      <w:pPr>
        <w:jc w:val="both"/>
        <w:rPr>
          <w:lang w:val="sk-SK"/>
        </w:rPr>
      </w:pPr>
      <w:r w:rsidRPr="001F1776">
        <w:rPr>
          <w:b/>
          <w:lang w:val="sk-SK"/>
        </w:rPr>
        <w:tab/>
      </w:r>
      <w:r w:rsidRPr="001F1776">
        <w:rPr>
          <w:lang w:val="sk-SK"/>
        </w:rPr>
        <w:t xml:space="preserve">V zákone o azyle sa ustanovuje zabezpečenie sociálneho poradenstva, psychologického poradenstva alebo iného poradenstva a kurzu kultúrnej orientácie, ktoré sa už v súčasnosti žiadateľom o udelenie azylu reálne poskytujú z prostriedkov Fondu pre azyl, migráciu a integráciu. Iné poradenstvo smeruje k využitiu práv súvisiacich so statusom žiadateľa. Ide o sformalizovanie týchto služieb. Explicitne sa ustanovuje, že vzhľadom na poskytovanie poradenstva sa prihliada na priaznivý vývin maloletého dieťaťa. </w:t>
      </w:r>
    </w:p>
    <w:p w:rsidR="004E0CE7" w:rsidRPr="001F1776" w:rsidRDefault="004E0CE7" w:rsidP="004E0CE7">
      <w:pPr>
        <w:jc w:val="both"/>
        <w:rPr>
          <w:lang w:val="sk-SK"/>
        </w:rPr>
      </w:pPr>
    </w:p>
    <w:p w:rsidR="004E0CE7" w:rsidRPr="001F1776" w:rsidRDefault="004E0CE7" w:rsidP="004E0CE7">
      <w:pPr>
        <w:jc w:val="both"/>
        <w:rPr>
          <w:b/>
          <w:lang w:val="sk-SK"/>
        </w:rPr>
      </w:pPr>
      <w:r w:rsidRPr="001F1776">
        <w:rPr>
          <w:b/>
          <w:lang w:val="sk-SK"/>
        </w:rPr>
        <w:t>K bodu 40 (§ 23 ods. 6)</w:t>
      </w:r>
    </w:p>
    <w:p w:rsidR="004E0CE7" w:rsidRPr="001F1776" w:rsidRDefault="004E0CE7" w:rsidP="004E0CE7">
      <w:pPr>
        <w:jc w:val="both"/>
        <w:rPr>
          <w:lang w:val="sk-SK"/>
        </w:rPr>
      </w:pPr>
      <w:r w:rsidRPr="001F1776">
        <w:rPr>
          <w:lang w:val="sk-SK"/>
        </w:rPr>
        <w:tab/>
        <w:t>Prístup na trh práce pre žiadateľov o udelenie azylu sa navrhuje skrátiť zo súčasných deväť mesiacov od začatia konania na šesť mesiacov od začatia konania. Poznatky z praxe poukazujú na skutočnosť, že skorším začlenením na trh práce sa eliminuje sociálna frustrácia žiadateľov z dlhodobého čakania na rozhodnutie, zlepšujú si svoje znalosti slovenského jazyka a kultúrnych reálií, čo celkovo prispieva k lepšej integrácii a prispôsobeniu sa slovenskej spoločnosti. Vzhľadom na dlhodobú potrebu zahraničných zamestnancov možno považovať skorší prístup žiadateľov na trh práce za prínosný pre trh zamestnanosti na Slovensku.</w:t>
      </w:r>
    </w:p>
    <w:p w:rsidR="004E0CE7" w:rsidRPr="001F1776" w:rsidRDefault="004E0CE7" w:rsidP="004E0CE7">
      <w:pPr>
        <w:ind w:firstLine="708"/>
        <w:jc w:val="both"/>
        <w:rPr>
          <w:lang w:val="sk-SK"/>
        </w:rPr>
      </w:pPr>
      <w:r w:rsidRPr="001F1776">
        <w:rPr>
          <w:lang w:val="sk-SK"/>
        </w:rPr>
        <w:t>Navrhovaná zmena je v línii  s navrhovanými zmenami práva Európskej únie, konkrétne smernice Európskeho parlamentu a Rady 2013/33/EÚ.</w:t>
      </w:r>
    </w:p>
    <w:p w:rsidR="004E0CE7" w:rsidRDefault="004E0CE7" w:rsidP="004E0CE7">
      <w:pPr>
        <w:jc w:val="both"/>
        <w:rPr>
          <w:lang w:val="sk-SK"/>
        </w:rPr>
      </w:pPr>
    </w:p>
    <w:p w:rsidR="00822368" w:rsidRDefault="00822368" w:rsidP="004E0CE7">
      <w:pPr>
        <w:jc w:val="both"/>
        <w:rPr>
          <w:lang w:val="sk-SK"/>
        </w:rPr>
      </w:pPr>
    </w:p>
    <w:p w:rsidR="00822368" w:rsidRPr="001F1776" w:rsidRDefault="00822368" w:rsidP="004E0CE7">
      <w:pPr>
        <w:jc w:val="both"/>
        <w:rPr>
          <w:lang w:val="sk-SK"/>
        </w:rPr>
      </w:pPr>
    </w:p>
    <w:p w:rsidR="004E0CE7" w:rsidRPr="001F1776" w:rsidRDefault="004E0CE7" w:rsidP="004E0CE7">
      <w:pPr>
        <w:jc w:val="both"/>
        <w:rPr>
          <w:b/>
          <w:lang w:val="sk-SK"/>
        </w:rPr>
      </w:pPr>
      <w:r w:rsidRPr="001F1776">
        <w:rPr>
          <w:b/>
          <w:lang w:val="sk-SK"/>
        </w:rPr>
        <w:lastRenderedPageBreak/>
        <w:t>K bodu 41 (§ 23d ods. 1)</w:t>
      </w:r>
    </w:p>
    <w:p w:rsidR="004E0CE7" w:rsidRPr="001F1776" w:rsidRDefault="004E0CE7" w:rsidP="004E0CE7">
      <w:pPr>
        <w:ind w:firstLine="708"/>
        <w:jc w:val="both"/>
        <w:rPr>
          <w:b/>
          <w:lang w:val="sk-SK"/>
        </w:rPr>
      </w:pPr>
      <w:r w:rsidRPr="001F1776">
        <w:rPr>
          <w:lang w:val="sk-SK"/>
        </w:rPr>
        <w:t>Ide o legislatívno-technickú úpravu súvisiacu s doplnením nového odseku 8 v § 22 (bod 36).</w:t>
      </w:r>
      <w:r w:rsidRPr="001F1776">
        <w:rPr>
          <w:b/>
          <w:lang w:val="sk-SK"/>
        </w:rPr>
        <w:t xml:space="preserve"> </w:t>
      </w:r>
    </w:p>
    <w:p w:rsidR="004E0CE7" w:rsidRPr="001F1776" w:rsidRDefault="004E0CE7" w:rsidP="004E0CE7">
      <w:pPr>
        <w:jc w:val="both"/>
        <w:rPr>
          <w:b/>
          <w:lang w:val="sk-SK"/>
        </w:rPr>
      </w:pPr>
    </w:p>
    <w:p w:rsidR="004E0CE7" w:rsidRPr="001F1776" w:rsidRDefault="004E0CE7" w:rsidP="004E0CE7">
      <w:pPr>
        <w:jc w:val="both"/>
        <w:rPr>
          <w:b/>
          <w:lang w:val="sk-SK"/>
        </w:rPr>
      </w:pPr>
      <w:r w:rsidRPr="001F1776">
        <w:rPr>
          <w:b/>
          <w:lang w:val="sk-SK"/>
        </w:rPr>
        <w:t>K bodu 44 (§ 27 ods. 1)</w:t>
      </w:r>
    </w:p>
    <w:p w:rsidR="004E0CE7" w:rsidRPr="001F1776" w:rsidRDefault="004E0CE7" w:rsidP="004E0CE7">
      <w:pPr>
        <w:jc w:val="both"/>
        <w:rPr>
          <w:lang w:val="sk-SK" w:eastAsia="sk-SK"/>
        </w:rPr>
      </w:pPr>
      <w:r w:rsidRPr="001F1776">
        <w:rPr>
          <w:lang w:val="sk-SK" w:eastAsia="sk-SK"/>
        </w:rPr>
        <w:tab/>
        <w:t xml:space="preserve">V súvislosti s navrhovanou úpravou prvotnej integrácie v § 28 (bod 49) sa súčasné znenie odseku 1 presúva do § 28 ods. 2. Jednorazový príspevok pre azylanta sa navrhuje zvýšiť (podrobnejšie pozri bod 49). </w:t>
      </w:r>
    </w:p>
    <w:p w:rsidR="004E0CE7" w:rsidRPr="001F1776" w:rsidRDefault="004E0CE7" w:rsidP="004E0CE7">
      <w:pPr>
        <w:ind w:firstLine="708"/>
        <w:jc w:val="both"/>
        <w:rPr>
          <w:b/>
          <w:lang w:val="sk-SK"/>
        </w:rPr>
      </w:pPr>
    </w:p>
    <w:p w:rsidR="004E0CE7" w:rsidRPr="001F1776" w:rsidRDefault="004E0CE7" w:rsidP="004E0CE7">
      <w:pPr>
        <w:jc w:val="both"/>
        <w:rPr>
          <w:b/>
          <w:lang w:val="sk-SK"/>
        </w:rPr>
      </w:pPr>
      <w:r w:rsidRPr="001F1776">
        <w:rPr>
          <w:b/>
          <w:lang w:val="sk-SK"/>
        </w:rPr>
        <w:t>K bodu 45 (§ 27a ods. 4)</w:t>
      </w:r>
    </w:p>
    <w:p w:rsidR="004E0CE7" w:rsidRPr="001F1776" w:rsidRDefault="004E0CE7" w:rsidP="004E0CE7">
      <w:pPr>
        <w:jc w:val="both"/>
        <w:rPr>
          <w:lang w:val="sk-SK"/>
        </w:rPr>
      </w:pPr>
      <w:r w:rsidRPr="001F1776">
        <w:rPr>
          <w:lang w:val="sk-SK"/>
        </w:rPr>
        <w:tab/>
        <w:t xml:space="preserve">Pôvodné  ustanovenie sa vypúšťa ako bezpredmetné, nakoľko začleňovanie cudzincov, ktorým sa poskytla doplnková ochrana, do spoločnosti, sa v rámci prvotnej integrácie navrhuje upraviť rovnakým spôsobom ako v prípade azylantov. </w:t>
      </w:r>
    </w:p>
    <w:p w:rsidR="004E0CE7" w:rsidRPr="001F1776" w:rsidRDefault="004E0CE7"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bodu 46 [§ 27b písm. a)]</w:t>
      </w:r>
    </w:p>
    <w:p w:rsidR="004E0CE7" w:rsidRPr="001F1776" w:rsidRDefault="004E0CE7" w:rsidP="004E0CE7">
      <w:pPr>
        <w:jc w:val="both"/>
        <w:rPr>
          <w:lang w:val="sk-SK" w:eastAsia="sk-SK"/>
        </w:rPr>
      </w:pPr>
      <w:r w:rsidRPr="001F1776">
        <w:rPr>
          <w:lang w:val="sk-SK" w:eastAsia="sk-SK"/>
        </w:rPr>
        <w:tab/>
        <w:t>Dopĺňa sa nová povinnosť pre cudzincov, ktorým sa poskytla doplnková ochrana, ktorá je rovnaká, akú majú v zákone o azyle ustanovenú aj azylanti. To znamená, že aj cudzinci, ktorým sa poskytla doplnková ochrana, budú v rámci integrácie povinní spolupracovať s ministerstvom a príslušnými orgánmi.</w:t>
      </w:r>
    </w:p>
    <w:p w:rsidR="004E0CE7" w:rsidRPr="001F1776" w:rsidRDefault="004E0CE7" w:rsidP="004E0CE7">
      <w:pPr>
        <w:jc w:val="both"/>
        <w:rPr>
          <w:lang w:val="sk-SK" w:eastAsia="sk-SK"/>
        </w:rPr>
      </w:pPr>
    </w:p>
    <w:p w:rsidR="004E0CE7" w:rsidRPr="001F1776" w:rsidRDefault="004E0CE7" w:rsidP="004E0CE7">
      <w:pPr>
        <w:jc w:val="both"/>
        <w:rPr>
          <w:b/>
          <w:lang w:val="sk-SK" w:eastAsia="sk-SK"/>
        </w:rPr>
      </w:pPr>
      <w:r w:rsidRPr="001F1776">
        <w:rPr>
          <w:b/>
          <w:lang w:val="sk-SK" w:eastAsia="sk-SK"/>
        </w:rPr>
        <w:t>K bodu 47 (§ 27c ods. 2)</w:t>
      </w:r>
    </w:p>
    <w:p w:rsidR="004E0CE7" w:rsidRPr="001F1776" w:rsidRDefault="004E0CE7" w:rsidP="004E0CE7">
      <w:pPr>
        <w:jc w:val="both"/>
        <w:rPr>
          <w:lang w:val="sk-SK" w:eastAsia="sk-SK"/>
        </w:rPr>
      </w:pPr>
      <w:r w:rsidRPr="001F1776">
        <w:rPr>
          <w:lang w:val="sk-SK" w:eastAsia="sk-SK"/>
        </w:rPr>
        <w:tab/>
        <w:t>V súvislosti s navrhovanou úpravou prvotnej integrácie v § 28 (bod 49) sa súčasné znenie odseku 2 presúva do § 28 ods. 3.</w:t>
      </w:r>
    </w:p>
    <w:p w:rsidR="004E0CE7" w:rsidRPr="001F1776" w:rsidRDefault="004E0CE7"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bodu 48 (nadpis štvrtej časti)</w:t>
      </w:r>
    </w:p>
    <w:p w:rsidR="004E0CE7" w:rsidRPr="001F1776" w:rsidRDefault="004E0CE7" w:rsidP="004E0CE7">
      <w:pPr>
        <w:jc w:val="both"/>
        <w:rPr>
          <w:lang w:val="sk-SK" w:eastAsia="sk-SK"/>
        </w:rPr>
      </w:pPr>
      <w:r w:rsidRPr="001F1776">
        <w:rPr>
          <w:lang w:val="sk-SK" w:eastAsia="sk-SK"/>
        </w:rPr>
        <w:tab/>
        <w:t>Uvedená zmena sa vykonáva v nadväznosti na nové znenie § 28 (bod 49).</w:t>
      </w:r>
    </w:p>
    <w:p w:rsidR="004E0CE7" w:rsidRPr="001F1776" w:rsidRDefault="004E0CE7"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bodom 49 a 60 (§ 28 a prílohy č. 2b a 2c)</w:t>
      </w:r>
    </w:p>
    <w:p w:rsidR="004E0CE7" w:rsidRPr="001F1776" w:rsidRDefault="004E0CE7" w:rsidP="004E0CE7">
      <w:pPr>
        <w:jc w:val="both"/>
        <w:rPr>
          <w:lang w:val="sk-SK" w:eastAsia="sk-SK"/>
        </w:rPr>
      </w:pPr>
      <w:r w:rsidRPr="001F1776">
        <w:rPr>
          <w:b/>
          <w:lang w:val="sk-SK" w:eastAsia="sk-SK"/>
        </w:rPr>
        <w:tab/>
      </w:r>
      <w:r w:rsidRPr="001F1776">
        <w:rPr>
          <w:lang w:val="sk-SK" w:eastAsia="sk-SK"/>
        </w:rPr>
        <w:t xml:space="preserve">V súvislosti s deklarovanou systémovou úpravou prvotnej integrácie sa definuje cieľ prvotnej integrácie. Na rozdiel od súčasného stavu sa dopĺňa ovládanie slovenského jazyka a zjednocuje sa postavenie azylantov a cudzincov, ktorým sa poskytla doplnková ochrana. </w:t>
      </w:r>
    </w:p>
    <w:p w:rsidR="004E0CE7" w:rsidRPr="001F1776" w:rsidRDefault="004E0CE7" w:rsidP="004E0CE7">
      <w:pPr>
        <w:ind w:firstLine="708"/>
        <w:jc w:val="both"/>
        <w:rPr>
          <w:lang w:val="sk-SK" w:eastAsia="sk-SK"/>
        </w:rPr>
      </w:pPr>
      <w:r w:rsidRPr="001F1776">
        <w:rPr>
          <w:lang w:val="sk-SK" w:eastAsia="sk-SK"/>
        </w:rPr>
        <w:t xml:space="preserve">Do odseku 2 sa premietlo súčasné znenie § 27 ods. 1 zákona o azyle s tým, že sa navrhuje priznať jednorazový príspevok v rovnakej výške aj cudzincovi, ktorému sa poskytla doplnková ochrana. Určuje sa, že jednorazový príspevok sa bude poskytovať na základe písomnej žiadosti, pričom vzor žiadosti </w:t>
      </w:r>
      <w:r w:rsidRPr="001F1776">
        <w:rPr>
          <w:bCs/>
          <w:lang w:val="sk-SK"/>
        </w:rPr>
        <w:t>o  poskytnutie jednorazového príspevku bude uvedený v prílohe č. 2b zákona o azyle.</w:t>
      </w:r>
    </w:p>
    <w:p w:rsidR="004E0CE7" w:rsidRPr="001F1776" w:rsidRDefault="004E0CE7" w:rsidP="004E0CE7">
      <w:pPr>
        <w:ind w:firstLine="708"/>
        <w:jc w:val="both"/>
        <w:rPr>
          <w:lang w:val="sk-SK" w:eastAsia="sk-SK"/>
        </w:rPr>
      </w:pPr>
      <w:r w:rsidRPr="001F1776">
        <w:rPr>
          <w:lang w:val="sk-SK" w:eastAsia="sk-SK"/>
        </w:rPr>
        <w:t>Nové znenie odseku 3 nahrádza súčasné znenie § 28 ods. 3 a 5 a je v ňom premietnuté aj súčasné znenie § 27c ods. 2. Zjednocuje sa úprava výučby slovenského jazyka pre azylantov a cudzincov, ktorým sa poskytla doplnková ochrana s tým, že sa upúšťa od povinnosti navštevovať kurz slovenského jazyka počas pobytu v integračnom stredisku.</w:t>
      </w:r>
    </w:p>
    <w:p w:rsidR="004E0CE7" w:rsidRPr="001F1776" w:rsidRDefault="004E0CE7" w:rsidP="004E0CE7">
      <w:pPr>
        <w:ind w:firstLine="708"/>
        <w:jc w:val="both"/>
        <w:rPr>
          <w:bCs/>
          <w:lang w:val="sk-SK"/>
        </w:rPr>
      </w:pPr>
      <w:r w:rsidRPr="001F1776">
        <w:rPr>
          <w:lang w:val="sk-SK" w:eastAsia="sk-SK"/>
        </w:rPr>
        <w:t xml:space="preserve">Zavádza sa poskytovanie nového príspevku pre azylantov a cudzincov, ktorým sa poskytla doplnková ochrana, a to integračného príspevku. Integračný príspevok sa bude poskytovať vo výške 1,75-násobku sumy životného minima podľa osobitného predpisu (zákon o životnom minime) s tým, že sa budú spoločne posudzovať rodinní príslušníci žijúci v spoločnej domácnosti. Tak, ako v prípade jednorazového príspevku pôjde o nepodmienený príspevok, čo znamená, že ministerstvo nebude zisťovať iné príjmy oprávnených osôb. Určuje sa, že integračný príspevok sa bude poskytovať na základe písomnej žiadosti, pričom vzor žiadosti </w:t>
      </w:r>
      <w:r w:rsidRPr="001F1776">
        <w:rPr>
          <w:bCs/>
          <w:lang w:val="sk-SK"/>
        </w:rPr>
        <w:t>o  poskytnutie integračného príspevku bude uvedený v prílohe č. 2c. Integračný príspevok sa bude poskytovať šesť</w:t>
      </w:r>
      <w:r w:rsidRPr="001F1776">
        <w:rPr>
          <w:lang w:val="sk-SK" w:eastAsia="sk-SK"/>
        </w:rPr>
        <w:t xml:space="preserve"> po sebe nasledujúcich mesiacov od doručenia žiadosti ministerstvu</w:t>
      </w:r>
      <w:r w:rsidRPr="001F1776">
        <w:rPr>
          <w:bCs/>
          <w:lang w:val="sk-SK"/>
        </w:rPr>
        <w:t xml:space="preserve">. Na rozdiel od jednorazového príspevku však bude potrebné podať písomnú </w:t>
      </w:r>
      <w:r w:rsidRPr="001F1776">
        <w:rPr>
          <w:bCs/>
          <w:lang w:val="sk-SK"/>
        </w:rPr>
        <w:lastRenderedPageBreak/>
        <w:t>žiadosť do 60 dní od udeleni</w:t>
      </w:r>
      <w:r>
        <w:rPr>
          <w:bCs/>
          <w:lang w:val="sk-SK"/>
        </w:rPr>
        <w:t>a</w:t>
      </w:r>
      <w:r w:rsidRPr="001F1776">
        <w:rPr>
          <w:bCs/>
          <w:lang w:val="sk-SK"/>
        </w:rPr>
        <w:t xml:space="preserve"> azylu alebo poskytnutia doplnkovej ochrany, inak sa integračný príspevok neposkytne  a nárok na jeho poskytnutie zanikne.</w:t>
      </w:r>
    </w:p>
    <w:p w:rsidR="004E0CE7" w:rsidRPr="001F1776" w:rsidRDefault="004E0CE7" w:rsidP="004E0CE7">
      <w:pPr>
        <w:ind w:firstLine="708"/>
        <w:jc w:val="both"/>
        <w:rPr>
          <w:lang w:val="sk-SK" w:eastAsia="sk-SK"/>
        </w:rPr>
      </w:pPr>
      <w:r w:rsidRPr="001F1776">
        <w:rPr>
          <w:lang w:val="sk-SK" w:eastAsia="sk-SK"/>
        </w:rPr>
        <w:t>V zákone o azyle sa jasne stanovuje, že ministerstvo zabezpečí azylantom a cudzincom, ktorým sa poskytla doplnková ochrana,</w:t>
      </w:r>
      <w:r w:rsidRPr="001F1776" w:rsidDel="001138AC">
        <w:rPr>
          <w:lang w:val="sk-SK" w:eastAsia="sk-SK"/>
        </w:rPr>
        <w:t xml:space="preserve"> </w:t>
      </w:r>
      <w:r w:rsidRPr="001F1776">
        <w:rPr>
          <w:lang w:val="sk-SK" w:eastAsia="sk-SK"/>
        </w:rPr>
        <w:t>sociálne poradenstvo, psychologické poradenstvo, iné poradenstvo a kurz kultúrnej orientácie. Určuje sa tiež doba, po ktorú by sa tieto mali poskytovať.</w:t>
      </w:r>
      <w:r w:rsidRPr="001F1776">
        <w:rPr>
          <w:lang w:val="sk-SK"/>
        </w:rPr>
        <w:t xml:space="preserve"> Explicitne sa tiež ustanovuje, že vzhľadom na poskytovanie poradenstva sa prihliada na priaznivý vývin maloletého dieťaťa. Iné poradenstvo smeruje k využitiu práv súvisiacich so statusom azylanta a cudzinca, ktorému sa poskytla doplnková ochrana.</w:t>
      </w:r>
    </w:p>
    <w:p w:rsidR="004E0CE7" w:rsidRPr="001F1776" w:rsidRDefault="004E0CE7" w:rsidP="004E0CE7">
      <w:pPr>
        <w:ind w:firstLine="708"/>
        <w:jc w:val="both"/>
        <w:rPr>
          <w:lang w:val="sk-SK" w:eastAsia="sk-SK"/>
        </w:rPr>
      </w:pPr>
      <w:r w:rsidRPr="001F1776">
        <w:rPr>
          <w:lang w:val="sk-SK"/>
        </w:rPr>
        <w:t>Je potrebné uviesť, že v prípade integračného príspevku ide o sformalizovanie obdobného príspevku, ktorý sa už v súčasnosti v Slovenskej republike v porovnateľnej výške poskytuje z prostriedkov Fondu pre azyl, migráciu a integráciu. Rovnako je to aj ohľadom sociálneho poradenstva, psychologického poradenstva alebo iného poradenstva a kurzu kultúrnej orientácie. Zakotvenie predmetného príspevku a služieb priamo v zákone o azyle okrem iného zabezpečí tiež udržateľnosť takéhoto systému pomoci a starostlivosti o </w:t>
      </w:r>
      <w:r w:rsidRPr="001F1776" w:rsidDel="009D3E2C">
        <w:rPr>
          <w:lang w:val="sk-SK"/>
        </w:rPr>
        <w:t xml:space="preserve"> </w:t>
      </w:r>
      <w:r w:rsidRPr="001F1776">
        <w:rPr>
          <w:lang w:val="sk-SK"/>
        </w:rPr>
        <w:t xml:space="preserve">azylantov a cudzincov, ktorým sa poskytla doplnková ochrana, aj v situácii, kedy by financovanie z prostriedkov spomínaného fondu nebolo možné.  </w:t>
      </w:r>
    </w:p>
    <w:p w:rsidR="004E0CE7" w:rsidRPr="001F1776" w:rsidRDefault="004E0CE7" w:rsidP="004E0CE7">
      <w:pPr>
        <w:jc w:val="both"/>
        <w:rPr>
          <w:lang w:val="sk-SK" w:eastAsia="sk-SK"/>
        </w:rPr>
      </w:pPr>
      <w:r w:rsidRPr="001F1776">
        <w:rPr>
          <w:lang w:val="sk-SK" w:eastAsia="sk-SK"/>
        </w:rPr>
        <w:tab/>
        <w:t xml:space="preserve">Umožňuje sa ubytovať v integračnom stredisku aj cudzincov, ktorým sa poskytla doplnková ochrana, čím sa v rámci prvotnej integrácie aj v tejto oblasti zjednocuje postavenie týchto osôb s azylantmi. </w:t>
      </w:r>
    </w:p>
    <w:p w:rsidR="004E0CE7" w:rsidRPr="001F1776" w:rsidRDefault="004E0CE7" w:rsidP="004E0CE7">
      <w:pPr>
        <w:jc w:val="both"/>
        <w:rPr>
          <w:lang w:val="sk-SK" w:eastAsia="sk-SK"/>
        </w:rPr>
      </w:pPr>
      <w:r w:rsidRPr="001F1776">
        <w:rPr>
          <w:lang w:val="sk-SK" w:eastAsia="sk-SK"/>
        </w:rPr>
        <w:tab/>
        <w:t xml:space="preserve">Ako nadbytočný sa vypúšťa pôvodný text v odseku 4, nakoľko poskytovanie príspevku obci nebolo od nadobudnutia účinnosti zákona o azyle v roku 2003 realizované a o aktivovaní tohto príspevku v budúcnosti sa neuvažuje. </w:t>
      </w:r>
    </w:p>
    <w:p w:rsidR="004E0CE7" w:rsidRPr="001F1776" w:rsidRDefault="004E0CE7" w:rsidP="004E0CE7">
      <w:pPr>
        <w:jc w:val="both"/>
        <w:rPr>
          <w:lang w:val="sk-SK" w:eastAsia="sk-SK"/>
        </w:rPr>
      </w:pPr>
      <w:r w:rsidRPr="001F1776">
        <w:rPr>
          <w:lang w:val="sk-SK" w:eastAsia="sk-SK"/>
        </w:rPr>
        <w:tab/>
        <w:t>V zákone o azyle sa dopĺňajú</w:t>
      </w:r>
      <w:r w:rsidRPr="001F1776">
        <w:rPr>
          <w:lang w:val="sk-SK" w:eastAsia="sk-SK"/>
        </w:rPr>
        <w:tab/>
        <w:t xml:space="preserve"> prílohy, ktoré obsahujú vzor žiadosti </w:t>
      </w:r>
      <w:r w:rsidRPr="001F1776">
        <w:rPr>
          <w:bCs/>
          <w:lang w:val="sk-SK"/>
        </w:rPr>
        <w:t xml:space="preserve">o  poskytnutie jednorazového príspevku a vzor žiadosti o  poskytnutie integračného príspevku. </w:t>
      </w:r>
      <w:r w:rsidRPr="001F1776">
        <w:rPr>
          <w:lang w:val="sk-SK" w:eastAsia="sk-SK"/>
        </w:rPr>
        <w:tab/>
      </w:r>
    </w:p>
    <w:p w:rsidR="004E0CE7" w:rsidRPr="001F1776" w:rsidRDefault="004E0CE7"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bodom 50 a 51 (nadpis siedmej časti, § 44)</w:t>
      </w:r>
    </w:p>
    <w:p w:rsidR="004E0CE7" w:rsidRPr="001F1776" w:rsidRDefault="004E0CE7" w:rsidP="004E0CE7">
      <w:pPr>
        <w:ind w:firstLine="708"/>
        <w:jc w:val="both"/>
        <w:rPr>
          <w:lang w:val="sk-SK" w:eastAsia="sk-SK"/>
        </w:rPr>
      </w:pPr>
      <w:r w:rsidRPr="001F1776">
        <w:rPr>
          <w:lang w:val="sk-SK" w:eastAsia="sk-SK"/>
        </w:rPr>
        <w:t xml:space="preserve">Uvedené ustanovenie a súvisiaci nadpis sa vypúšťajú z dôvodu ich nadbytočnosti, nakoľko problematika dobrovoľných návratov je upravená v zákone o pobyte cudzincov. </w:t>
      </w:r>
    </w:p>
    <w:p w:rsidR="00822368" w:rsidRDefault="00822368"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bodom 52 a 53 (§ 46, nadpis)</w:t>
      </w:r>
    </w:p>
    <w:p w:rsidR="004E0CE7" w:rsidRPr="001F1776" w:rsidRDefault="004E0CE7" w:rsidP="004E0CE7">
      <w:pPr>
        <w:jc w:val="both"/>
        <w:rPr>
          <w:lang w:val="sk-SK" w:eastAsia="sk-SK"/>
        </w:rPr>
      </w:pPr>
      <w:r w:rsidRPr="001F1776">
        <w:rPr>
          <w:lang w:val="sk-SK" w:eastAsia="sk-SK"/>
        </w:rPr>
        <w:tab/>
        <w:t xml:space="preserve"> Z dôvodu navrhovanej zmeny v § 45 (bod 21) už nie je potrebné mať v osobitnom ustanovení riešený odkaz na spoluprácu vo veciach poskytovania doplnkovej ochrany. Všeobecné znenie § 42 až § 45, ako aj navrhovaná zmena v § 45 dostatočne pokrývajú situáciu cudzincov, ktorým sa poskytla doplnková ochrana, a to rovnakým spôsobom ako v prípade azylantov.   </w:t>
      </w:r>
    </w:p>
    <w:p w:rsidR="004E0CE7" w:rsidRPr="001F1776" w:rsidRDefault="004E0CE7" w:rsidP="004E0CE7">
      <w:pPr>
        <w:jc w:val="both"/>
        <w:rPr>
          <w:b/>
          <w:lang w:val="sk-SK" w:eastAsia="sk-SK"/>
        </w:rPr>
      </w:pPr>
    </w:p>
    <w:p w:rsidR="004E0CE7" w:rsidRPr="001F1776" w:rsidRDefault="004E0CE7" w:rsidP="004E0CE7">
      <w:pPr>
        <w:jc w:val="both"/>
        <w:rPr>
          <w:lang w:val="sk-SK" w:eastAsia="sk-SK"/>
        </w:rPr>
      </w:pPr>
      <w:r w:rsidRPr="001F1776">
        <w:rPr>
          <w:b/>
          <w:lang w:val="sk-SK" w:eastAsia="sk-SK"/>
        </w:rPr>
        <w:t xml:space="preserve">K bodu 54 </w:t>
      </w:r>
      <w:r w:rsidRPr="001F1776">
        <w:rPr>
          <w:lang w:val="sk-SK" w:eastAsia="sk-SK"/>
        </w:rPr>
        <w:t xml:space="preserve"> </w:t>
      </w:r>
      <w:r w:rsidRPr="001F1776">
        <w:rPr>
          <w:b/>
          <w:lang w:val="sk-SK" w:eastAsia="sk-SK"/>
        </w:rPr>
        <w:t>(§ 46a ods. 3)</w:t>
      </w:r>
    </w:p>
    <w:p w:rsidR="004E0CE7" w:rsidRPr="001F1776" w:rsidRDefault="004E0CE7" w:rsidP="004E0CE7">
      <w:pPr>
        <w:jc w:val="both"/>
        <w:rPr>
          <w:lang w:val="sk-SK" w:eastAsia="sk-SK"/>
        </w:rPr>
      </w:pPr>
      <w:r w:rsidRPr="001F1776">
        <w:rPr>
          <w:lang w:val="sk-SK" w:eastAsia="sk-SK"/>
        </w:rPr>
        <w:tab/>
        <w:t>S prihliadnutím na skutočnosť, že v prípade konania o odovzdaní do iného štátu ide o cudzincov, v prípade ktorých už bol určený štát zodpovedný za posúdenie žiadosti o udelenie azylu, vypúšťa sa odkaz na primerané použitie § 4 ods. 1 (vstupného pohovoru). V takomto prípade sa jedná len o proces vzatia cudzinca späť do zodpovedného štátu.</w:t>
      </w:r>
    </w:p>
    <w:p w:rsidR="004E0CE7" w:rsidRPr="001F1776" w:rsidRDefault="004E0CE7" w:rsidP="004E0CE7">
      <w:pPr>
        <w:jc w:val="both"/>
        <w:rPr>
          <w:lang w:val="sk-SK" w:eastAsia="sk-SK"/>
        </w:rPr>
      </w:pPr>
      <w:r w:rsidRPr="001F1776">
        <w:rPr>
          <w:lang w:val="sk-SK" w:eastAsia="sk-SK"/>
        </w:rPr>
        <w:tab/>
        <w:t xml:space="preserve">V súvislosti s lehotou na rozhodovanie sa aj v konaní o odovzdaní do iného štátu navrhuje primerane použiť lehotu na rozhodovanie v konaní o azyle ustanovenú v § 20 ods. 1 a neupravovať osobitnú lehotu na rozhodovanie pre predmetné konanie. </w:t>
      </w:r>
    </w:p>
    <w:p w:rsidR="004E0CE7" w:rsidRPr="001F1776" w:rsidRDefault="004E0CE7" w:rsidP="004E0CE7">
      <w:pPr>
        <w:jc w:val="both"/>
        <w:rPr>
          <w:lang w:val="sk-SK" w:eastAsia="sk-SK"/>
        </w:rPr>
      </w:pPr>
    </w:p>
    <w:p w:rsidR="004E0CE7" w:rsidRPr="001F1776" w:rsidRDefault="004E0CE7" w:rsidP="004E0CE7">
      <w:pPr>
        <w:jc w:val="both"/>
        <w:rPr>
          <w:b/>
          <w:lang w:val="sk-SK" w:eastAsia="sk-SK"/>
        </w:rPr>
      </w:pPr>
      <w:r w:rsidRPr="001F1776">
        <w:rPr>
          <w:b/>
          <w:lang w:val="sk-SK" w:eastAsia="sk-SK"/>
        </w:rPr>
        <w:t>K bodu 55 (§ 46a ods. 4)</w:t>
      </w:r>
    </w:p>
    <w:p w:rsidR="004E0CE7" w:rsidRPr="001F1776" w:rsidRDefault="004E0CE7" w:rsidP="004E0CE7">
      <w:pPr>
        <w:jc w:val="both"/>
        <w:rPr>
          <w:lang w:val="sk-SK" w:eastAsia="sk-SK"/>
        </w:rPr>
      </w:pPr>
      <w:r w:rsidRPr="001F1776">
        <w:rPr>
          <w:lang w:val="sk-SK" w:eastAsia="sk-SK"/>
        </w:rPr>
        <w:tab/>
        <w:t xml:space="preserve">Dopĺňa sa nový dôvod prerušenia konania o odovzdaní do iného štátu, ktorým bude skutočnosť, že v prípade cudzinca, s ktorým sa vedie konanie o odovzdaní do iného štátu, nie je známy jeho pobyt na území Slovenskej republiky. Ide o obdobné ustanovenie, ako je § 18a </w:t>
      </w:r>
      <w:r w:rsidRPr="001F1776">
        <w:rPr>
          <w:lang w:val="sk-SK" w:eastAsia="sk-SK"/>
        </w:rPr>
        <w:lastRenderedPageBreak/>
        <w:t>v prípade žiadateľov o udelenie azylu.  Ak márne uplynie lehota, počas ktorej bolo konanie o odovzdaní prerušené, a pobyt cudzinca na území Slovenskej republiky naďalej nebude známy, ministerstvo konanie o odovzdaní do iného štátu zastaví z dôvodu podľa § 46b ods. 1 písm. b).</w:t>
      </w:r>
    </w:p>
    <w:p w:rsidR="004E0CE7" w:rsidRPr="001F1776" w:rsidRDefault="004E0CE7" w:rsidP="004E0CE7">
      <w:pPr>
        <w:jc w:val="both"/>
        <w:rPr>
          <w:lang w:val="sk-SK" w:eastAsia="sk-SK"/>
        </w:rPr>
      </w:pPr>
    </w:p>
    <w:p w:rsidR="004E0CE7" w:rsidRPr="001F1776" w:rsidRDefault="004E0CE7" w:rsidP="004E0CE7">
      <w:pPr>
        <w:jc w:val="both"/>
        <w:rPr>
          <w:b/>
          <w:lang w:val="sk-SK" w:eastAsia="sk-SK"/>
        </w:rPr>
      </w:pPr>
      <w:r w:rsidRPr="001F1776">
        <w:rPr>
          <w:b/>
          <w:lang w:val="sk-SK" w:eastAsia="sk-SK"/>
        </w:rPr>
        <w:t>K bodu 57 (§ 52)</w:t>
      </w:r>
    </w:p>
    <w:p w:rsidR="004E0CE7" w:rsidRPr="001F1776" w:rsidRDefault="004E0CE7" w:rsidP="004E0CE7">
      <w:pPr>
        <w:jc w:val="both"/>
        <w:rPr>
          <w:lang w:val="sk-SK" w:eastAsia="sk-SK"/>
        </w:rPr>
      </w:pPr>
      <w:r w:rsidRPr="001F1776">
        <w:rPr>
          <w:b/>
          <w:lang w:val="sk-SK" w:eastAsia="sk-SK"/>
        </w:rPr>
        <w:tab/>
      </w:r>
      <w:r w:rsidRPr="001F1776">
        <w:rPr>
          <w:lang w:val="sk-SK" w:eastAsia="sk-SK"/>
        </w:rPr>
        <w:t>Ide o legislatívno-technickú úpravu, vzhľadom na nález Ústavného súdu PL. ÚS 8/2016, na základe ktorého ustanovenie odseku 2 v § 52 stratilo účinnosť a následne aj platnosť.</w:t>
      </w:r>
    </w:p>
    <w:p w:rsidR="004E0CE7" w:rsidRPr="001F1776" w:rsidRDefault="004E0CE7" w:rsidP="004E0CE7">
      <w:pPr>
        <w:jc w:val="both"/>
        <w:rPr>
          <w:b/>
          <w:lang w:val="sk-SK" w:eastAsia="sk-SK"/>
        </w:rPr>
      </w:pPr>
    </w:p>
    <w:p w:rsidR="004E0CE7" w:rsidRPr="001F1776" w:rsidRDefault="004E0CE7" w:rsidP="004E0CE7">
      <w:pPr>
        <w:jc w:val="both"/>
        <w:rPr>
          <w:b/>
          <w:lang w:val="sk-SK" w:eastAsia="sk-SK"/>
        </w:rPr>
      </w:pPr>
      <w:r w:rsidRPr="001F1776">
        <w:rPr>
          <w:b/>
          <w:lang w:val="sk-SK" w:eastAsia="sk-SK"/>
        </w:rPr>
        <w:t>K bodu 58 (§ 54d)</w:t>
      </w:r>
    </w:p>
    <w:p w:rsidR="004E0CE7" w:rsidRPr="001F1776" w:rsidRDefault="004E0CE7" w:rsidP="004E0CE7">
      <w:pPr>
        <w:ind w:firstLine="708"/>
        <w:jc w:val="both"/>
        <w:rPr>
          <w:lang w:val="sk-SK" w:eastAsia="sk-SK"/>
        </w:rPr>
      </w:pPr>
      <w:r w:rsidRPr="001F1776">
        <w:rPr>
          <w:lang w:val="sk-SK" w:eastAsia="sk-SK"/>
        </w:rPr>
        <w:t xml:space="preserve">Navrhuje sa doplnenie prechodných ustanovení k úpravám účinným od 1. júna 2022.  </w:t>
      </w:r>
    </w:p>
    <w:p w:rsidR="004E0CE7" w:rsidRPr="001F1776" w:rsidRDefault="004E0CE7" w:rsidP="004E0CE7">
      <w:pPr>
        <w:jc w:val="both"/>
        <w:rPr>
          <w:b/>
          <w:u w:val="single"/>
          <w:lang w:val="sk-SK" w:eastAsia="sk-SK"/>
        </w:rPr>
      </w:pPr>
    </w:p>
    <w:p w:rsidR="004E0CE7" w:rsidRPr="001F1776" w:rsidRDefault="004E0CE7" w:rsidP="004E0CE7">
      <w:pPr>
        <w:jc w:val="both"/>
        <w:rPr>
          <w:b/>
          <w:lang w:val="sk-SK" w:eastAsia="sk-SK"/>
        </w:rPr>
      </w:pPr>
      <w:r w:rsidRPr="001F1776">
        <w:rPr>
          <w:b/>
          <w:lang w:val="sk-SK" w:eastAsia="sk-SK"/>
        </w:rPr>
        <w:t>K bodu 59 (príloha č. 2)</w:t>
      </w:r>
    </w:p>
    <w:p w:rsidR="004E0CE7" w:rsidRPr="001F1776" w:rsidRDefault="004E0CE7" w:rsidP="004E0CE7">
      <w:pPr>
        <w:jc w:val="both"/>
        <w:rPr>
          <w:lang w:val="sk-SK" w:eastAsia="sk-SK"/>
        </w:rPr>
      </w:pPr>
      <w:r w:rsidRPr="001F1776">
        <w:rPr>
          <w:lang w:val="sk-SK" w:eastAsia="sk-SK"/>
        </w:rPr>
        <w:tab/>
        <w:t>V nadväznosti na zmeny v § 46a ods. 3 (bod 54) vo vzťahu k primeranému použitiu § 4 ods. 1, na základe ktorých sa už s cudzincom v konaní o odovzdaní do iného štátu nebude vykonávať vstupný pohovor, sa v prílohe č. 2 (dotazník žiadateľa o udelenie azylu) ako nadbytočný vypúšťa text vzťahujúci sa na konanie o odovzdaní do iného štátu a súčasne sa určujú nové údaje, ktoré sa nevypĺňajú v prípade vstupného pohovoru so žiadateľom v tzv. dublinskom konaní.</w:t>
      </w:r>
    </w:p>
    <w:p w:rsidR="004E0CE7" w:rsidRPr="001F1776" w:rsidRDefault="004E0CE7" w:rsidP="004E0CE7">
      <w:pPr>
        <w:jc w:val="both"/>
        <w:rPr>
          <w:lang w:val="sk-SK" w:eastAsia="sk-SK"/>
        </w:rPr>
      </w:pPr>
    </w:p>
    <w:p w:rsidR="004E0CE7" w:rsidRPr="001F1776" w:rsidRDefault="004E0CE7" w:rsidP="004E0CE7">
      <w:pPr>
        <w:jc w:val="both"/>
        <w:rPr>
          <w:b/>
          <w:u w:val="single"/>
          <w:lang w:val="sk-SK" w:eastAsia="sk-SK"/>
        </w:rPr>
      </w:pPr>
      <w:r w:rsidRPr="001F1776">
        <w:rPr>
          <w:b/>
          <w:u w:val="single"/>
          <w:lang w:val="sk-SK" w:eastAsia="sk-SK"/>
        </w:rPr>
        <w:t>K čl. II</w:t>
      </w:r>
    </w:p>
    <w:p w:rsidR="004E0CE7" w:rsidRPr="001F1776" w:rsidRDefault="004E0CE7" w:rsidP="004E0CE7">
      <w:pPr>
        <w:ind w:firstLine="708"/>
        <w:jc w:val="both"/>
        <w:rPr>
          <w:lang w:val="sk-SK" w:eastAsia="sk-SK"/>
        </w:rPr>
      </w:pPr>
      <w:r w:rsidRPr="001F1776">
        <w:rPr>
          <w:lang w:val="sk-SK" w:eastAsia="sk-SK"/>
        </w:rPr>
        <w:t>Vzhľadom na potrebnú dĺžku legislatívneho procesu a dostatočnú legisvakanciu sa navrhuje účinnosť zákona od 1. júna 2022.</w:t>
      </w:r>
    </w:p>
    <w:p w:rsidR="004E0CE7" w:rsidRPr="001F1776" w:rsidRDefault="004E0CE7" w:rsidP="004E0CE7">
      <w:pPr>
        <w:rPr>
          <w:lang w:val="sk-SK"/>
        </w:rPr>
      </w:pPr>
    </w:p>
    <w:p w:rsidR="004E0CE7" w:rsidRDefault="004E0CE7" w:rsidP="004E0CE7">
      <w:pPr>
        <w:ind w:left="426" w:hanging="426"/>
        <w:jc w:val="both"/>
        <w:rPr>
          <w:bCs/>
        </w:rPr>
      </w:pPr>
    </w:p>
    <w:p w:rsidR="004E0CE7" w:rsidRDefault="004E0CE7" w:rsidP="004E0CE7">
      <w:pPr>
        <w:ind w:left="426" w:hanging="426"/>
        <w:jc w:val="both"/>
        <w:rPr>
          <w:bCs/>
        </w:rPr>
      </w:pPr>
      <w:r>
        <w:rPr>
          <w:bCs/>
        </w:rPr>
        <w:t>V Bratislave 12. januára 2022</w:t>
      </w:r>
    </w:p>
    <w:p w:rsidR="004E0CE7" w:rsidRDefault="004E0CE7" w:rsidP="004E0CE7">
      <w:pPr>
        <w:ind w:left="426"/>
        <w:jc w:val="both"/>
        <w:rPr>
          <w:bCs/>
        </w:rPr>
      </w:pPr>
    </w:p>
    <w:p w:rsidR="004E0CE7" w:rsidRDefault="004E0CE7" w:rsidP="004E0CE7">
      <w:pPr>
        <w:jc w:val="center"/>
        <w:rPr>
          <w:b/>
        </w:rPr>
      </w:pPr>
    </w:p>
    <w:p w:rsidR="004E0CE7" w:rsidRDefault="004E0CE7" w:rsidP="004E0CE7">
      <w:pPr>
        <w:jc w:val="center"/>
        <w:rPr>
          <w:b/>
        </w:rPr>
      </w:pPr>
    </w:p>
    <w:p w:rsidR="004E0CE7" w:rsidRDefault="004E0CE7" w:rsidP="004E0CE7">
      <w:pPr>
        <w:jc w:val="center"/>
        <w:rPr>
          <w:b/>
        </w:rPr>
      </w:pPr>
    </w:p>
    <w:p w:rsidR="004E0CE7" w:rsidRDefault="004E0CE7" w:rsidP="004E0CE7">
      <w:pPr>
        <w:jc w:val="center"/>
        <w:rPr>
          <w:b/>
        </w:rPr>
      </w:pPr>
    </w:p>
    <w:p w:rsidR="004E0CE7" w:rsidRPr="00B7077D" w:rsidRDefault="004E0CE7" w:rsidP="004E0CE7">
      <w:pPr>
        <w:jc w:val="center"/>
        <w:rPr>
          <w:b/>
        </w:rPr>
      </w:pPr>
      <w:r w:rsidRPr="00B7077D">
        <w:rPr>
          <w:b/>
        </w:rPr>
        <w:t>Eduard Heger</w:t>
      </w:r>
      <w:r w:rsidR="00523038">
        <w:rPr>
          <w:b/>
        </w:rPr>
        <w:t xml:space="preserve"> </w:t>
      </w:r>
    </w:p>
    <w:p w:rsidR="004E0CE7" w:rsidRPr="00B7077D" w:rsidRDefault="004E0CE7" w:rsidP="004E0CE7">
      <w:pPr>
        <w:jc w:val="center"/>
        <w:rPr>
          <w:b/>
        </w:rPr>
      </w:pPr>
      <w:r>
        <w:rPr>
          <w:b/>
        </w:rPr>
        <w:t>pr</w:t>
      </w:r>
      <w:r w:rsidRPr="00B7077D">
        <w:rPr>
          <w:b/>
        </w:rPr>
        <w:t>edseda vlády Slovenskej republiky</w:t>
      </w:r>
      <w:r w:rsidR="00D75CDD">
        <w:rPr>
          <w:b/>
        </w:rPr>
        <w:t xml:space="preserve"> v. r.</w:t>
      </w:r>
    </w:p>
    <w:p w:rsidR="004E0CE7" w:rsidRDefault="004E0CE7" w:rsidP="004E0CE7">
      <w:pPr>
        <w:jc w:val="center"/>
        <w:rPr>
          <w:b/>
        </w:rPr>
      </w:pPr>
    </w:p>
    <w:p w:rsidR="004E0CE7" w:rsidRDefault="004E0CE7" w:rsidP="004E0CE7">
      <w:pPr>
        <w:jc w:val="center"/>
        <w:rPr>
          <w:b/>
        </w:rPr>
      </w:pPr>
    </w:p>
    <w:p w:rsidR="004E0CE7" w:rsidRPr="00B7077D" w:rsidRDefault="004E0CE7" w:rsidP="004E0CE7">
      <w:pPr>
        <w:jc w:val="center"/>
        <w:rPr>
          <w:b/>
        </w:rPr>
      </w:pPr>
      <w:r w:rsidRPr="00B7077D">
        <w:rPr>
          <w:b/>
        </w:rPr>
        <w:t>Roman Mikulec</w:t>
      </w:r>
      <w:r w:rsidR="00523038">
        <w:rPr>
          <w:b/>
        </w:rPr>
        <w:t xml:space="preserve"> </w:t>
      </w:r>
    </w:p>
    <w:p w:rsidR="004E0CE7" w:rsidRPr="00E54CC7" w:rsidRDefault="004E0CE7" w:rsidP="004E0CE7">
      <w:pPr>
        <w:jc w:val="center"/>
      </w:pPr>
      <w:r>
        <w:rPr>
          <w:b/>
        </w:rPr>
        <w:t>m</w:t>
      </w:r>
      <w:r w:rsidRPr="00B7077D">
        <w:rPr>
          <w:b/>
        </w:rPr>
        <w:t>inister vnútra Slovenskej republiky</w:t>
      </w:r>
      <w:r w:rsidR="00D75CDD">
        <w:rPr>
          <w:b/>
        </w:rPr>
        <w:t xml:space="preserve"> v.</w:t>
      </w:r>
      <w:r w:rsidR="00E652F0">
        <w:rPr>
          <w:b/>
        </w:rPr>
        <w:t xml:space="preserve"> </w:t>
      </w:r>
      <w:bookmarkStart w:id="1" w:name="_GoBack"/>
      <w:bookmarkEnd w:id="1"/>
      <w:r w:rsidR="00D75CDD">
        <w:rPr>
          <w:b/>
        </w:rPr>
        <w:t>r.</w:t>
      </w:r>
    </w:p>
    <w:p w:rsidR="004E0CE7" w:rsidRPr="001F1776" w:rsidRDefault="004E0CE7" w:rsidP="004E0CE7">
      <w:pPr>
        <w:spacing w:after="160" w:line="259" w:lineRule="auto"/>
        <w:rPr>
          <w:rFonts w:eastAsia="Calibri"/>
          <w:lang w:val="sk-SK" w:eastAsia="en-US"/>
        </w:rPr>
      </w:pPr>
    </w:p>
    <w:sectPr w:rsidR="004E0CE7" w:rsidRPr="001F1776" w:rsidSect="004E0C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7C" w:rsidRDefault="00886C7C" w:rsidP="00C1456F">
      <w:r>
        <w:separator/>
      </w:r>
    </w:p>
  </w:endnote>
  <w:endnote w:type="continuationSeparator" w:id="0">
    <w:p w:rsidR="00886C7C" w:rsidRDefault="00886C7C" w:rsidP="00C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Default="001F177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1F1776" w:rsidRDefault="001F177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952740188"/>
      <w:docPartObj>
        <w:docPartGallery w:val="Page Numbers (Bottom of Page)"/>
        <w:docPartUnique/>
      </w:docPartObj>
    </w:sdtPr>
    <w:sdtEndPr/>
    <w:sdtContent>
      <w:p w:rsidR="001F1776" w:rsidRPr="008D53DB" w:rsidRDefault="001F1776">
        <w:pPr>
          <w:pStyle w:val="Pta"/>
          <w:jc w:val="center"/>
          <w:rPr>
            <w:sz w:val="20"/>
          </w:rPr>
        </w:pPr>
        <w:r w:rsidRPr="008D53DB">
          <w:rPr>
            <w:sz w:val="20"/>
          </w:rPr>
          <w:fldChar w:fldCharType="begin"/>
        </w:r>
        <w:r w:rsidRPr="008D53DB">
          <w:rPr>
            <w:sz w:val="20"/>
          </w:rPr>
          <w:instrText>PAGE   \* MERGEFORMAT</w:instrText>
        </w:r>
        <w:r w:rsidRPr="008D53DB">
          <w:rPr>
            <w:sz w:val="20"/>
          </w:rPr>
          <w:fldChar w:fldCharType="separate"/>
        </w:r>
        <w:r w:rsidR="00E652F0">
          <w:rPr>
            <w:noProof/>
            <w:sz w:val="20"/>
          </w:rPr>
          <w:t>11</w:t>
        </w:r>
        <w:r w:rsidRPr="008D53DB">
          <w:rPr>
            <w:sz w:val="20"/>
          </w:rPr>
          <w:fldChar w:fldCharType="end"/>
        </w:r>
      </w:p>
    </w:sdtContent>
  </w:sdt>
  <w:p w:rsidR="001F1776" w:rsidRDefault="001F1776">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Default="001F1776">
    <w:pPr>
      <w:pStyle w:val="Pta"/>
      <w:jc w:val="right"/>
    </w:pPr>
    <w:r>
      <w:fldChar w:fldCharType="begin"/>
    </w:r>
    <w:r>
      <w:instrText>PAGE   \* MERGEFORMAT</w:instrText>
    </w:r>
    <w:r>
      <w:fldChar w:fldCharType="separate"/>
    </w:r>
    <w:r>
      <w:rPr>
        <w:noProof/>
      </w:rPr>
      <w:t>0</w:t>
    </w:r>
    <w:r>
      <w:fldChar w:fldCharType="end"/>
    </w:r>
  </w:p>
  <w:p w:rsidR="001F1776" w:rsidRDefault="001F177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sdtContent>
      <w:p w:rsidR="001F1776" w:rsidRPr="006045CB" w:rsidRDefault="001F1776" w:rsidP="001F1776">
        <w:pPr>
          <w:pStyle w:val="Pta"/>
          <w:jc w:val="center"/>
        </w:pPr>
        <w:r w:rsidRPr="006045CB">
          <w:fldChar w:fldCharType="begin"/>
        </w:r>
        <w:r w:rsidRPr="006045CB">
          <w:instrText>PAGE   \* MERGEFORMAT</w:instrText>
        </w:r>
        <w:r w:rsidRPr="006045CB">
          <w:fldChar w:fldCharType="separate"/>
        </w:r>
        <w:r w:rsidR="00E652F0">
          <w:rPr>
            <w:noProof/>
          </w:rPr>
          <w:t>14</w:t>
        </w:r>
        <w:r w:rsidRPr="006045CB">
          <w:fldChar w:fldCharType="end"/>
        </w:r>
      </w:p>
    </w:sdtContent>
  </w:sdt>
  <w:p w:rsidR="001F1776" w:rsidRDefault="001F177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sdtContent>
      <w:p w:rsidR="001F1776" w:rsidRPr="001D6749" w:rsidRDefault="001F1776" w:rsidP="001F1776">
        <w:pPr>
          <w:pStyle w:val="Pta"/>
          <w:jc w:val="center"/>
        </w:pPr>
        <w:r w:rsidRPr="00FE46F6">
          <w:rPr>
            <w:sz w:val="16"/>
          </w:rPr>
          <w:fldChar w:fldCharType="begin"/>
        </w:r>
        <w:r w:rsidRPr="00FE46F6">
          <w:rPr>
            <w:sz w:val="16"/>
          </w:rPr>
          <w:instrText>PAGE   \* MERGEFORMAT</w:instrText>
        </w:r>
        <w:r w:rsidRPr="00FE46F6">
          <w:rPr>
            <w:sz w:val="16"/>
          </w:rPr>
          <w:fldChar w:fldCharType="separate"/>
        </w:r>
        <w:r w:rsidR="00E652F0">
          <w:rPr>
            <w:noProof/>
            <w:sz w:val="16"/>
          </w:rPr>
          <w:t>16</w:t>
        </w:r>
        <w:r w:rsidRPr="00FE46F6">
          <w:rPr>
            <w:sz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78902475"/>
      <w:docPartObj>
        <w:docPartGallery w:val="Page Numbers (Bottom of Page)"/>
        <w:docPartUnique/>
      </w:docPartObj>
    </w:sdtPr>
    <w:sdtEndPr/>
    <w:sdtContent>
      <w:p w:rsidR="001F1776" w:rsidRPr="00FE46F6" w:rsidRDefault="001F1776" w:rsidP="001F1776">
        <w:pPr>
          <w:pStyle w:val="Pta"/>
          <w:jc w:val="center"/>
          <w:rPr>
            <w:sz w:val="16"/>
            <w:szCs w:val="16"/>
          </w:rPr>
        </w:pPr>
        <w:r w:rsidRPr="00FE46F6">
          <w:rPr>
            <w:sz w:val="16"/>
            <w:szCs w:val="16"/>
          </w:rPr>
          <w:fldChar w:fldCharType="begin"/>
        </w:r>
        <w:r w:rsidRPr="00FE46F6">
          <w:rPr>
            <w:sz w:val="16"/>
            <w:szCs w:val="16"/>
          </w:rPr>
          <w:instrText>PAGE   \* MERGEFORMAT</w:instrText>
        </w:r>
        <w:r w:rsidRPr="00FE46F6">
          <w:rPr>
            <w:sz w:val="16"/>
            <w:szCs w:val="16"/>
          </w:rPr>
          <w:fldChar w:fldCharType="separate"/>
        </w:r>
        <w:r w:rsidR="00E652F0">
          <w:rPr>
            <w:noProof/>
            <w:sz w:val="16"/>
            <w:szCs w:val="16"/>
          </w:rPr>
          <w:t>29</w:t>
        </w:r>
        <w:r w:rsidRPr="00FE46F6">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7C" w:rsidRDefault="00886C7C" w:rsidP="00C1456F">
      <w:r>
        <w:separator/>
      </w:r>
    </w:p>
  </w:footnote>
  <w:footnote w:type="continuationSeparator" w:id="0">
    <w:p w:rsidR="00886C7C" w:rsidRDefault="00886C7C" w:rsidP="00C1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Default="001F1776" w:rsidP="001F1776">
    <w:pPr>
      <w:pStyle w:val="Hlavika"/>
      <w:jc w:val="right"/>
    </w:pPr>
    <w:r>
      <w:t>Príloha č. 2</w:t>
    </w:r>
  </w:p>
  <w:p w:rsidR="001F1776" w:rsidRPr="00EB59C8" w:rsidRDefault="001F1776" w:rsidP="001F1776">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Pr="0024067A" w:rsidRDefault="001F1776">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Pr="000A15AE" w:rsidRDefault="001F1776" w:rsidP="001F1776">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Pr="00CD4982" w:rsidRDefault="001F1776" w:rsidP="001F1776">
    <w:pPr>
      <w:tabs>
        <w:tab w:val="center" w:pos="4536"/>
        <w:tab w:val="right" w:pos="9072"/>
      </w:tabs>
      <w:jc w:val="right"/>
      <w:rPr>
        <w:lang w:eastAsia="sk-S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76" w:rsidRPr="00433C47" w:rsidRDefault="001F1776" w:rsidP="001F17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0926A4"/>
    <w:multiLevelType w:val="hybridMultilevel"/>
    <w:tmpl w:val="28EE816E"/>
    <w:lvl w:ilvl="0" w:tplc="6A02595A">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6E4140"/>
    <w:multiLevelType w:val="hybridMultilevel"/>
    <w:tmpl w:val="F0F4577E"/>
    <w:lvl w:ilvl="0" w:tplc="041B0005">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FBE2E7B"/>
    <w:multiLevelType w:val="hybridMultilevel"/>
    <w:tmpl w:val="39DE4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21D72"/>
    <w:multiLevelType w:val="hybridMultilevel"/>
    <w:tmpl w:val="B5680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776C4A"/>
    <w:multiLevelType w:val="hybridMultilevel"/>
    <w:tmpl w:val="522CE2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42C0B4D"/>
    <w:multiLevelType w:val="hybridMultilevel"/>
    <w:tmpl w:val="51F826C8"/>
    <w:lvl w:ilvl="0" w:tplc="2C344C9C">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8"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E7C0BAF"/>
    <w:multiLevelType w:val="hybridMultilevel"/>
    <w:tmpl w:val="C3286D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9C563F"/>
    <w:multiLevelType w:val="hybridMultilevel"/>
    <w:tmpl w:val="EB56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C6101B7"/>
    <w:multiLevelType w:val="hybridMultilevel"/>
    <w:tmpl w:val="9392C036"/>
    <w:lvl w:ilvl="0" w:tplc="FB628390">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5"/>
  </w:num>
  <w:num w:numId="2">
    <w:abstractNumId w:val="2"/>
  </w:num>
  <w:num w:numId="3">
    <w:abstractNumId w:val="14"/>
  </w:num>
  <w:num w:numId="4">
    <w:abstractNumId w:val="4"/>
  </w:num>
  <w:num w:numId="5">
    <w:abstractNumId w:val="1"/>
  </w:num>
  <w:num w:numId="6">
    <w:abstractNumId w:val="8"/>
  </w:num>
  <w:num w:numId="7">
    <w:abstractNumId w:val="3"/>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1"/>
  </w:num>
  <w:num w:numId="13">
    <w:abstractNumId w:val="9"/>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9E"/>
    <w:rsid w:val="00154C42"/>
    <w:rsid w:val="001F1776"/>
    <w:rsid w:val="00242E21"/>
    <w:rsid w:val="002C305A"/>
    <w:rsid w:val="00412AD0"/>
    <w:rsid w:val="004E0CE7"/>
    <w:rsid w:val="00523038"/>
    <w:rsid w:val="005909E5"/>
    <w:rsid w:val="005C4D5F"/>
    <w:rsid w:val="005E015E"/>
    <w:rsid w:val="00604051"/>
    <w:rsid w:val="00610CA8"/>
    <w:rsid w:val="00812F3B"/>
    <w:rsid w:val="0081442F"/>
    <w:rsid w:val="00822368"/>
    <w:rsid w:val="0083198C"/>
    <w:rsid w:val="008777B4"/>
    <w:rsid w:val="00886C7C"/>
    <w:rsid w:val="008D6F1C"/>
    <w:rsid w:val="0099089E"/>
    <w:rsid w:val="009A3EFF"/>
    <w:rsid w:val="00A31575"/>
    <w:rsid w:val="00A47EF0"/>
    <w:rsid w:val="00AC6DE9"/>
    <w:rsid w:val="00B312D1"/>
    <w:rsid w:val="00C1456F"/>
    <w:rsid w:val="00C376A6"/>
    <w:rsid w:val="00CE1AF0"/>
    <w:rsid w:val="00D279AD"/>
    <w:rsid w:val="00D75CDD"/>
    <w:rsid w:val="00D80E7A"/>
    <w:rsid w:val="00E31293"/>
    <w:rsid w:val="00E652F0"/>
    <w:rsid w:val="00EE28F6"/>
    <w:rsid w:val="00F949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1D6B"/>
  <w15:docId w15:val="{56B0E384-C92E-4EE4-930D-DD6D528F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089E"/>
    <w:pPr>
      <w:spacing w:after="0" w:line="240" w:lineRule="auto"/>
    </w:pPr>
    <w:rPr>
      <w:rFonts w:ascii="Times New Roman" w:eastAsia="Times New Roman" w:hAnsi="Times New Roman" w:cs="Times New Roman"/>
      <w:sz w:val="24"/>
      <w:szCs w:val="24"/>
      <w:lang w:val="cs-CZ" w:eastAsia="cs-CZ"/>
    </w:rPr>
  </w:style>
  <w:style w:type="paragraph" w:styleId="Nadpis1">
    <w:name w:val="heading 1"/>
    <w:basedOn w:val="Normlny"/>
    <w:next w:val="Normlny"/>
    <w:link w:val="Nadpis1Char"/>
    <w:uiPriority w:val="9"/>
    <w:qFormat/>
    <w:rsid w:val="00812F3B"/>
    <w:pPr>
      <w:keepNext/>
      <w:numPr>
        <w:numId w:val="14"/>
      </w:numPr>
      <w:suppressAutoHyphens/>
      <w:autoSpaceDE w:val="0"/>
      <w:jc w:val="center"/>
      <w:outlineLvl w:val="0"/>
    </w:pPr>
    <w:rPr>
      <w:b/>
      <w:bCs/>
      <w:lang w:val="sk-SK" w:eastAsia="ar-SA"/>
    </w:rPr>
  </w:style>
  <w:style w:type="paragraph" w:styleId="Nadpis4">
    <w:name w:val="heading 4"/>
    <w:basedOn w:val="Normlny"/>
    <w:next w:val="Normlny"/>
    <w:link w:val="Nadpis4Char"/>
    <w:uiPriority w:val="9"/>
    <w:qFormat/>
    <w:rsid w:val="00812F3B"/>
    <w:pPr>
      <w:keepNext/>
      <w:numPr>
        <w:ilvl w:val="3"/>
        <w:numId w:val="14"/>
      </w:numPr>
      <w:suppressAutoHyphens/>
      <w:autoSpaceDE w:val="0"/>
      <w:jc w:val="center"/>
      <w:outlineLvl w:val="3"/>
    </w:pPr>
    <w:rPr>
      <w:b/>
      <w:bCs/>
      <w:sz w:val="22"/>
      <w:szCs w:val="22"/>
      <w:lang w:val="sk-SK"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99089E"/>
    <w:pPr>
      <w:jc w:val="both"/>
    </w:pPr>
    <w:rPr>
      <w:lang w:val="sk-SK" w:eastAsia="sk-SK"/>
    </w:rPr>
  </w:style>
  <w:style w:type="character" w:customStyle="1" w:styleId="ZkladntextChar">
    <w:name w:val="Základný text Char"/>
    <w:basedOn w:val="Predvolenpsmoodseku"/>
    <w:link w:val="Zkladntext"/>
    <w:uiPriority w:val="99"/>
    <w:rsid w:val="0099089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99089E"/>
    <w:pPr>
      <w:ind w:left="720"/>
      <w:contextualSpacing/>
    </w:pPr>
  </w:style>
  <w:style w:type="paragraph" w:styleId="Normlnywebov">
    <w:name w:val="Normal (Web)"/>
    <w:basedOn w:val="Normlny"/>
    <w:uiPriority w:val="99"/>
    <w:semiHidden/>
    <w:unhideWhenUsed/>
    <w:rsid w:val="0099089E"/>
    <w:pPr>
      <w:spacing w:before="100" w:beforeAutospacing="1" w:after="100" w:afterAutospacing="1"/>
    </w:pPr>
    <w:rPr>
      <w:lang w:val="sk-SK" w:eastAsia="sk-SK"/>
    </w:rPr>
  </w:style>
  <w:style w:type="paragraph" w:customStyle="1" w:styleId="CM1">
    <w:name w:val="CM1"/>
    <w:basedOn w:val="Normlny"/>
    <w:next w:val="Normlny"/>
    <w:uiPriority w:val="99"/>
    <w:rsid w:val="00C1456F"/>
    <w:pPr>
      <w:autoSpaceDE w:val="0"/>
      <w:autoSpaceDN w:val="0"/>
      <w:adjustRightInd w:val="0"/>
    </w:pPr>
    <w:rPr>
      <w:rFonts w:ascii="EUAlbertina" w:eastAsiaTheme="minorHAnsi" w:hAnsi="EUAlbertina" w:cstheme="minorBidi"/>
      <w:lang w:val="sk-SK" w:eastAsia="en-US"/>
    </w:rPr>
  </w:style>
  <w:style w:type="paragraph" w:styleId="Hlavika">
    <w:name w:val="header"/>
    <w:basedOn w:val="Normlny"/>
    <w:link w:val="HlavikaChar"/>
    <w:uiPriority w:val="99"/>
    <w:unhideWhenUsed/>
    <w:rsid w:val="00C1456F"/>
    <w:pPr>
      <w:tabs>
        <w:tab w:val="center" w:pos="4536"/>
        <w:tab w:val="right" w:pos="9072"/>
      </w:tabs>
    </w:pPr>
  </w:style>
  <w:style w:type="character" w:customStyle="1" w:styleId="HlavikaChar">
    <w:name w:val="Hlavička Char"/>
    <w:basedOn w:val="Predvolenpsmoodseku"/>
    <w:link w:val="Hlavika"/>
    <w:uiPriority w:val="99"/>
    <w:rsid w:val="00C1456F"/>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C1456F"/>
    <w:pPr>
      <w:tabs>
        <w:tab w:val="center" w:pos="4536"/>
        <w:tab w:val="right" w:pos="9072"/>
      </w:tabs>
    </w:pPr>
  </w:style>
  <w:style w:type="character" w:customStyle="1" w:styleId="PtaChar">
    <w:name w:val="Päta Char"/>
    <w:basedOn w:val="Predvolenpsmoodseku"/>
    <w:link w:val="Pta"/>
    <w:uiPriority w:val="99"/>
    <w:rsid w:val="00C1456F"/>
    <w:rPr>
      <w:rFonts w:ascii="Times New Roman" w:eastAsia="Times New Roman" w:hAnsi="Times New Roman" w:cs="Times New Roman"/>
      <w:sz w:val="24"/>
      <w:szCs w:val="24"/>
      <w:lang w:val="cs-CZ" w:eastAsia="cs-CZ"/>
    </w:rPr>
  </w:style>
  <w:style w:type="table" w:customStyle="1" w:styleId="Mriekatabuky1">
    <w:name w:val="Mriežka tabuľky1"/>
    <w:basedOn w:val="Normlnatabuka"/>
    <w:next w:val="Mriekatabuky"/>
    <w:uiPriority w:val="59"/>
    <w:rsid w:val="001F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F1776"/>
    <w:rPr>
      <w:color w:val="0563C1" w:themeColor="hyperlink"/>
      <w:u w:val="single"/>
    </w:rPr>
  </w:style>
  <w:style w:type="table" w:styleId="Mriekatabuky">
    <w:name w:val="Table Grid"/>
    <w:basedOn w:val="Normlnatabuka"/>
    <w:uiPriority w:val="39"/>
    <w:rsid w:val="001F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00e1lny">
    <w:name w:val="norm_00e1lny"/>
    <w:basedOn w:val="Normlny"/>
    <w:rsid w:val="001F1776"/>
    <w:pPr>
      <w:spacing w:line="200" w:lineRule="atLeast"/>
    </w:pPr>
    <w:rPr>
      <w:sz w:val="20"/>
      <w:szCs w:val="20"/>
      <w:lang w:val="sk-SK" w:eastAsia="sk-SK"/>
    </w:rPr>
  </w:style>
  <w:style w:type="paragraph" w:styleId="Textbubliny">
    <w:name w:val="Balloon Text"/>
    <w:basedOn w:val="Normlny"/>
    <w:link w:val="TextbublinyChar"/>
    <w:uiPriority w:val="99"/>
    <w:semiHidden/>
    <w:unhideWhenUsed/>
    <w:rsid w:val="001F1776"/>
    <w:rPr>
      <w:rFonts w:ascii="Tahoma" w:eastAsiaTheme="minorHAnsi" w:hAnsi="Tahoma" w:cs="Tahoma"/>
      <w:sz w:val="16"/>
      <w:szCs w:val="16"/>
      <w:lang w:val="sk-SK" w:eastAsia="en-US"/>
    </w:rPr>
  </w:style>
  <w:style w:type="character" w:customStyle="1" w:styleId="TextbublinyChar">
    <w:name w:val="Text bubliny Char"/>
    <w:basedOn w:val="Predvolenpsmoodseku"/>
    <w:link w:val="Textbubliny"/>
    <w:uiPriority w:val="99"/>
    <w:semiHidden/>
    <w:rsid w:val="001F1776"/>
    <w:rPr>
      <w:rFonts w:ascii="Tahoma" w:hAnsi="Tahoma" w:cs="Tahoma"/>
      <w:sz w:val="16"/>
      <w:szCs w:val="16"/>
    </w:rPr>
  </w:style>
  <w:style w:type="character" w:styleId="slostrany">
    <w:name w:val="page number"/>
    <w:basedOn w:val="Predvolenpsmoodseku"/>
    <w:uiPriority w:val="99"/>
    <w:rsid w:val="001F1776"/>
    <w:rPr>
      <w:rFonts w:cs="Times New Roman"/>
    </w:rPr>
  </w:style>
  <w:style w:type="paragraph" w:styleId="Zarkazkladnhotextu">
    <w:name w:val="Body Text Indent"/>
    <w:basedOn w:val="Normlny"/>
    <w:link w:val="ZarkazkladnhotextuChar"/>
    <w:uiPriority w:val="99"/>
    <w:semiHidden/>
    <w:unhideWhenUsed/>
    <w:rsid w:val="0081442F"/>
    <w:pPr>
      <w:spacing w:after="120"/>
      <w:ind w:left="283"/>
    </w:pPr>
  </w:style>
  <w:style w:type="character" w:customStyle="1" w:styleId="ZarkazkladnhotextuChar">
    <w:name w:val="Zarážka základného textu Char"/>
    <w:basedOn w:val="Predvolenpsmoodseku"/>
    <w:link w:val="Zarkazkladnhotextu"/>
    <w:uiPriority w:val="99"/>
    <w:semiHidden/>
    <w:rsid w:val="0081442F"/>
    <w:rPr>
      <w:rFonts w:ascii="Times New Roman" w:eastAsia="Times New Roman" w:hAnsi="Times New Roman" w:cs="Times New Roman"/>
      <w:sz w:val="24"/>
      <w:szCs w:val="24"/>
      <w:lang w:val="cs-CZ" w:eastAsia="cs-CZ"/>
    </w:rPr>
  </w:style>
  <w:style w:type="character" w:customStyle="1" w:styleId="Nadpis1Char">
    <w:name w:val="Nadpis 1 Char"/>
    <w:basedOn w:val="Predvolenpsmoodseku"/>
    <w:link w:val="Nadpis1"/>
    <w:uiPriority w:val="9"/>
    <w:rsid w:val="00812F3B"/>
    <w:rPr>
      <w:rFonts w:ascii="Times New Roman" w:eastAsia="Times New Roman" w:hAnsi="Times New Roman" w:cs="Times New Roman"/>
      <w:b/>
      <w:bCs/>
      <w:sz w:val="24"/>
      <w:szCs w:val="24"/>
      <w:lang w:eastAsia="ar-SA"/>
    </w:rPr>
  </w:style>
  <w:style w:type="character" w:customStyle="1" w:styleId="Nadpis4Char">
    <w:name w:val="Nadpis 4 Char"/>
    <w:basedOn w:val="Predvolenpsmoodseku"/>
    <w:link w:val="Nadpis4"/>
    <w:uiPriority w:val="9"/>
    <w:rsid w:val="00812F3B"/>
    <w:rPr>
      <w:rFonts w:ascii="Times New Roman" w:eastAsia="Times New Roman" w:hAnsi="Times New Roman" w:cs="Times New Roman"/>
      <w:b/>
      <w:bCs/>
      <w:lang w:eastAsia="ar-SA"/>
    </w:rPr>
  </w:style>
  <w:style w:type="paragraph" w:customStyle="1" w:styleId="Normlny0">
    <w:name w:val="_Normálny"/>
    <w:basedOn w:val="Normlny"/>
    <w:uiPriority w:val="99"/>
    <w:rsid w:val="00812F3B"/>
    <w:pPr>
      <w:suppressAutoHyphens/>
      <w:autoSpaceDE w:val="0"/>
    </w:pPr>
    <w:rPr>
      <w:sz w:val="20"/>
      <w:szCs w:val="20"/>
      <w:lang w:val="sk-SK" w:eastAsia="ar-SA"/>
    </w:rPr>
  </w:style>
  <w:style w:type="paragraph" w:styleId="Textpoznmkypodiarou">
    <w:name w:val="footnote text"/>
    <w:basedOn w:val="Normlny"/>
    <w:link w:val="TextpoznmkypodiarouChar"/>
    <w:uiPriority w:val="99"/>
    <w:rsid w:val="00812F3B"/>
    <w:pPr>
      <w:suppressAutoHyphens/>
      <w:autoSpaceDE w:val="0"/>
    </w:pPr>
    <w:rPr>
      <w:sz w:val="20"/>
      <w:szCs w:val="20"/>
      <w:lang w:val="sk-SK" w:eastAsia="ar-SA"/>
    </w:rPr>
  </w:style>
  <w:style w:type="character" w:customStyle="1" w:styleId="TextpoznmkypodiarouChar">
    <w:name w:val="Text poznámky pod čiarou Char"/>
    <w:basedOn w:val="Predvolenpsmoodseku"/>
    <w:link w:val="Textpoznmkypodiarou"/>
    <w:uiPriority w:val="99"/>
    <w:rsid w:val="00812F3B"/>
    <w:rPr>
      <w:rFonts w:ascii="Times New Roman" w:eastAsia="Times New Roman" w:hAnsi="Times New Roman" w:cs="Times New Roman"/>
      <w:sz w:val="20"/>
      <w:szCs w:val="20"/>
      <w:lang w:eastAsia="ar-SA"/>
    </w:rPr>
  </w:style>
  <w:style w:type="character" w:customStyle="1" w:styleId="PtaChar1">
    <w:name w:val="Päta Char1"/>
    <w:basedOn w:val="Predvolenpsmoodseku"/>
    <w:uiPriority w:val="99"/>
    <w:locked/>
    <w:rsid w:val="00812F3B"/>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secikova@minv.sk"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legal-content/SK/TXT/?uri=NIM:140926&amp;qid=1627647816631"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sr.sk/sk/financie/institut-financnej-politiky/ekonomicke-prognozy/makroekonomicke-prognozy/57-zasadnutie-vyboru-makroekonomicke-prognozy-september-2021.html" TargetMode="External"/><Relationship Id="rId24" Type="http://schemas.openxmlformats.org/officeDocument/2006/relationships/hyperlink" Target="https://eur-lex.europa.eu/legal-content/SK/TXT/?uri=NIM:21870&amp;qid=162764781663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ur-lex.europa.eu/legal-content/SK/TXT/?uri=NIM:140926&amp;qid=1627647816631" TargetMode="External"/><Relationship Id="rId10" Type="http://schemas.openxmlformats.org/officeDocument/2006/relationships/hyperlink" Target="https://www.minv.sk/?statistiky-2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lenka.bradacova@minv.sk"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E38A-0E0D-4028-BE8C-B0E219E0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10847</Words>
  <Characters>61833</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Bradáčová</dc:creator>
  <cp:keywords/>
  <dc:description/>
  <cp:lastModifiedBy>Nataša Wiedemannová</cp:lastModifiedBy>
  <cp:revision>22</cp:revision>
  <dcterms:created xsi:type="dcterms:W3CDTF">2021-09-23T12:01:00Z</dcterms:created>
  <dcterms:modified xsi:type="dcterms:W3CDTF">2022-01-14T11:58:00Z</dcterms:modified>
</cp:coreProperties>
</file>