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D3" w:rsidRDefault="00B167D3" w:rsidP="00B167D3">
      <w:pPr>
        <w:pStyle w:val="Nzov"/>
        <w:rPr>
          <w:caps/>
          <w:sz w:val="24"/>
          <w:szCs w:val="24"/>
        </w:rPr>
      </w:pPr>
      <w:r w:rsidRPr="00023DAB">
        <w:rPr>
          <w:caps/>
          <w:sz w:val="24"/>
          <w:szCs w:val="24"/>
        </w:rPr>
        <w:t>Národná rada Slovenskej republiky</w:t>
      </w:r>
    </w:p>
    <w:p w:rsidR="00B167D3" w:rsidRPr="00023DAB" w:rsidRDefault="00B167D3" w:rsidP="00B167D3">
      <w:pPr>
        <w:pStyle w:val="Nzov"/>
        <w:rPr>
          <w:caps/>
          <w:sz w:val="24"/>
          <w:szCs w:val="24"/>
        </w:rPr>
      </w:pPr>
    </w:p>
    <w:p w:rsidR="00B167D3" w:rsidRPr="00B30DBC" w:rsidRDefault="00B167D3" w:rsidP="00B167D3">
      <w:pPr>
        <w:pStyle w:val="Nzov"/>
        <w:rPr>
          <w:b w:val="0"/>
          <w:sz w:val="24"/>
          <w:szCs w:val="24"/>
        </w:rPr>
      </w:pPr>
      <w:r w:rsidRPr="00B30DBC">
        <w:rPr>
          <w:b w:val="0"/>
          <w:sz w:val="24"/>
          <w:szCs w:val="24"/>
        </w:rPr>
        <w:t>VIII. volebné obdobie</w:t>
      </w:r>
    </w:p>
    <w:p w:rsidR="00B167D3" w:rsidRDefault="00B167D3" w:rsidP="00B167D3">
      <w:pPr>
        <w:pStyle w:val="Nzov"/>
        <w:jc w:val="both"/>
      </w:pPr>
      <w:r>
        <w:t>_____________________________________________________________________</w:t>
      </w:r>
    </w:p>
    <w:p w:rsidR="00B167D3" w:rsidRDefault="00B167D3" w:rsidP="00B167D3">
      <w:pPr>
        <w:pStyle w:val="Nzov"/>
        <w:jc w:val="both"/>
      </w:pPr>
    </w:p>
    <w:p w:rsidR="00B167D3" w:rsidRDefault="00B167D3" w:rsidP="00B167D3">
      <w:pPr>
        <w:spacing w:after="0" w:line="240" w:lineRule="auto"/>
        <w:jc w:val="center"/>
        <w:rPr>
          <w:b/>
          <w:bCs/>
        </w:rPr>
      </w:pPr>
    </w:p>
    <w:p w:rsidR="00B167D3" w:rsidRPr="00B30DBC" w:rsidRDefault="00965198" w:rsidP="00B16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839</w:t>
      </w:r>
    </w:p>
    <w:p w:rsidR="00B167D3" w:rsidRPr="00B30DBC" w:rsidRDefault="00B167D3" w:rsidP="00B167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167D3" w:rsidRPr="00B30DBC" w:rsidRDefault="00B167D3" w:rsidP="00B16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DBC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:rsidR="00B167D3" w:rsidRPr="00B30DBC" w:rsidRDefault="00B167D3" w:rsidP="00B167D3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B167D3" w:rsidRPr="00B30DBC" w:rsidRDefault="00B167D3" w:rsidP="00B167D3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707EA0" w:rsidRPr="00B27228" w:rsidRDefault="00707EA0" w:rsidP="00707EA0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:rsidR="00707EA0" w:rsidRPr="00B27228" w:rsidRDefault="00707EA0" w:rsidP="00707EA0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B27228">
        <w:rPr>
          <w:b/>
          <w:bCs/>
        </w:rPr>
        <w:t xml:space="preserve">Z Á K O N </w:t>
      </w:r>
    </w:p>
    <w:p w:rsidR="00707EA0" w:rsidRPr="00B27228" w:rsidRDefault="00707EA0" w:rsidP="00707EA0">
      <w:pPr>
        <w:pStyle w:val="Normlnywebov"/>
        <w:spacing w:before="0" w:beforeAutospacing="0" w:after="0" w:afterAutospacing="0"/>
        <w:jc w:val="center"/>
      </w:pPr>
    </w:p>
    <w:p w:rsidR="00707EA0" w:rsidRPr="00B27228" w:rsidRDefault="00707EA0" w:rsidP="00707EA0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B27228">
        <w:rPr>
          <w:b/>
          <w:bCs/>
        </w:rPr>
        <w:t>z ... 202</w:t>
      </w:r>
      <w:r w:rsidR="00B2130C">
        <w:rPr>
          <w:b/>
          <w:bCs/>
        </w:rPr>
        <w:t>2</w:t>
      </w:r>
      <w:r w:rsidRPr="00B27228">
        <w:rPr>
          <w:b/>
          <w:bCs/>
        </w:rPr>
        <w:t xml:space="preserve">, </w:t>
      </w:r>
    </w:p>
    <w:p w:rsidR="00707EA0" w:rsidRPr="00B27228" w:rsidRDefault="00707EA0" w:rsidP="00707EA0">
      <w:pPr>
        <w:pStyle w:val="Normlnywebov"/>
        <w:spacing w:before="0" w:beforeAutospacing="0" w:after="0" w:afterAutospacing="0"/>
        <w:jc w:val="center"/>
      </w:pPr>
    </w:p>
    <w:p w:rsidR="00707EA0" w:rsidRPr="00B27228" w:rsidRDefault="00707EA0" w:rsidP="00707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228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a dopĺňa zákon č. 523/2004 Z. z. o rozpočtových pravidlách verejnej správy a o zmene a doplnení niektorých zákonov v znení neskorších predpisov </w:t>
      </w:r>
    </w:p>
    <w:p w:rsidR="00707EA0" w:rsidRPr="00B27228" w:rsidRDefault="00707EA0" w:rsidP="00707EA0">
      <w:pPr>
        <w:pStyle w:val="Normlnywebov"/>
        <w:spacing w:before="0" w:beforeAutospacing="0" w:after="0" w:afterAutospacing="0"/>
        <w:jc w:val="center"/>
      </w:pPr>
    </w:p>
    <w:p w:rsidR="00707EA0" w:rsidRPr="00B27228" w:rsidRDefault="00707EA0" w:rsidP="00707EA0">
      <w:pPr>
        <w:pStyle w:val="Normlnywebov"/>
        <w:spacing w:before="0" w:beforeAutospacing="0" w:after="0" w:afterAutospacing="0"/>
      </w:pPr>
      <w:r w:rsidRPr="00B27228">
        <w:rPr>
          <w:b/>
          <w:bCs/>
        </w:rPr>
        <w:t> </w:t>
      </w:r>
    </w:p>
    <w:p w:rsidR="00707EA0" w:rsidRPr="00B27228" w:rsidRDefault="00707EA0" w:rsidP="00707EA0">
      <w:pPr>
        <w:pStyle w:val="Normlnywebov"/>
        <w:spacing w:before="0" w:beforeAutospacing="0" w:after="0" w:afterAutospacing="0"/>
      </w:pPr>
      <w:r w:rsidRPr="00B27228">
        <w:t>Národná rada Slovenskej republiky sa uzniesla na tomto zákone:</w:t>
      </w:r>
    </w:p>
    <w:p w:rsidR="00707EA0" w:rsidRPr="00B27228" w:rsidRDefault="00707EA0" w:rsidP="00707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30C" w:rsidRPr="00172EBB" w:rsidRDefault="00B2130C" w:rsidP="00B2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EB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B2130C" w:rsidRPr="00172EBB" w:rsidRDefault="00B2130C" w:rsidP="00B2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30C" w:rsidRPr="00172EBB" w:rsidRDefault="00B2130C" w:rsidP="00B213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EBB">
        <w:rPr>
          <w:rFonts w:ascii="Times New Roman" w:hAnsi="Times New Roman" w:cs="Times New Roman"/>
          <w:sz w:val="24"/>
          <w:szCs w:val="24"/>
        </w:rPr>
        <w:t xml:space="preserve">Zákon č. 523/2004 Z. z. </w:t>
      </w:r>
      <w:r w:rsidRPr="00172EBB">
        <w:rPr>
          <w:rFonts w:ascii="Times New Roman" w:hAnsi="Times New Roman" w:cs="Times New Roman"/>
          <w:bCs/>
          <w:sz w:val="24"/>
          <w:szCs w:val="24"/>
        </w:rPr>
        <w:t>o rozpočtových pravidlách verejnej správy a o zmene a doplnení niektorých zákonov v znení zákona č. 747/2004 Z. z., zákona č. 171/2005 Z. z., zákona č. 266/2005 Z. z., zákona č. 534/2005 Z. z., zákona č. 584/2005 Z. z., zákona č. 659/2005 Z. z., zákona č. 275/2006 Z. z., zákona č. 527/2006 Z. z., zákona č. 678/2006 Z. z., zákona č. 198/2007 Z. z., zákona č. 199/2007 Z. z., zákona č. 323/2007 Z. z., zákona č. 653/2007 Z. z., zákona č. 165/2008 Z. z., zákona č. 383/2008 Z. z., zákona  č. 465/2008 Z. z., zákona č. 192/2009 Z. z., zákona č. 390/2009 Z. z., zákona č. 492/2009 Z. z., zákona č. 57/2010 Z. z., zákona č. 403/2010 Z. z., zákona č. 468/2010 Z. z., zákona č. 223/2011 Z. z., zákona č. 512/2011 Z. z., zákona č. 69/2012 Z. z., zákona č. 223/2012 Z. z., zákona č. 287/2012 Z. z., zákona č. 345/2012 Z. z., zákona č. 352/2013 Z. z., zákona č. 436/2013 Z. z., zákona č. 102/2014 Z. z., zákona č. 292/2014 Z. z., zákona č. 324/2014 Z. z., zákona č. 374/2014 Z. z., zákona č. 171/2015 Z. z., zákona č. 357/2015 Z. z., zákona č. 375/2015 Z. z., zákona č. 91/2016 Z. z., zákona č. 301/2016 Z. z., zákona č. 310/2016 Z. z., zákona č. 315/2016 Z. z., zákona č. 352/2016 Z. z., zákona č.146/2017 Z. z., zákona č. 243/2017 Z. z., zákona č. 177/2018 Z. z., zákona č. 372/2018 Z. z., zákona č. 221/2019 Z. z.,  zákona č. 134/2020 Z. z., zákona č. 360/2020 Z. z., zákona č. 423/2020 Z. z., zákona č. 214/2021 Z. z., zákona č. 310/2021 Z. z., zákona č. 368/2021 Z. z.  a zákona č. 503/2021 Z. z. sa mení a dopĺňa takto:</w:t>
      </w:r>
    </w:p>
    <w:p w:rsidR="00B2130C" w:rsidRPr="00172EBB" w:rsidRDefault="00B2130C" w:rsidP="00B213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30C" w:rsidRPr="00172EBB" w:rsidRDefault="00B2130C" w:rsidP="00B2130C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EBB">
        <w:rPr>
          <w:rFonts w:ascii="Times New Roman" w:hAnsi="Times New Roman" w:cs="Times New Roman"/>
          <w:bCs/>
          <w:sz w:val="24"/>
          <w:szCs w:val="24"/>
        </w:rPr>
        <w:t>V § 4 odsek 2 znie:</w:t>
      </w:r>
    </w:p>
    <w:p w:rsidR="00B2130C" w:rsidRPr="00172EBB" w:rsidRDefault="00B2130C" w:rsidP="00B2130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72EBB">
        <w:rPr>
          <w:rFonts w:ascii="Times New Roman" w:hAnsi="Times New Roman" w:cs="Times New Roman"/>
          <w:bCs/>
          <w:sz w:val="24"/>
          <w:szCs w:val="24"/>
        </w:rPr>
        <w:t xml:space="preserve">„(2) </w:t>
      </w:r>
      <w:r w:rsidRPr="00172EBB">
        <w:rPr>
          <w:rFonts w:ascii="Times New Roman" w:hAnsi="Times New Roman" w:cs="Times New Roman"/>
          <w:sz w:val="24"/>
          <w:szCs w:val="24"/>
        </w:rPr>
        <w:t>Súčasťou rozpočtu verejnej správy je limit verejných výdavkov. Rozpočet verejnej správy sa zostavuje a realizuje v súlade s limitom verejných výdavkov na základe scenárov nezmenených politík. V rozpočte verejnej správy sa prihliada na výsledky hodnotenia efektívnosti a účinnosti verejných výdavkov vo vybraných oblastiach (ďalej len „revízia výdavkov“) schválené vládou.“.</w:t>
      </w:r>
    </w:p>
    <w:p w:rsidR="00B2130C" w:rsidRPr="00172EBB" w:rsidRDefault="00B2130C" w:rsidP="00B2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30C" w:rsidRPr="00172EBB" w:rsidRDefault="00B2130C" w:rsidP="00B2130C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BB">
        <w:rPr>
          <w:rFonts w:ascii="Times New Roman" w:hAnsi="Times New Roman" w:cs="Times New Roman"/>
          <w:sz w:val="24"/>
          <w:szCs w:val="24"/>
        </w:rPr>
        <w:lastRenderedPageBreak/>
        <w:t>V § 4 ods. 3 druhej vete sa za slová „(ďalej len „národná rada“)“ vkladajú slová „návrh rozpočtu verejnej správy a“,  vypúšťajú sa slová „a na informáciu rozpočet verejnej správy“ a na konci sa pripájajú tieto vety: „Súčasne s návrhom zákona o štátnom rozpočte na príslušný rozpočtový rok schvaľuje národná rada limity verejných výdavkov subjektov verejnej správy a ďalších súčastí rozpočtu verejnej správy rozpočtovaných v rozpočte verejnej správy. Na základe splnomocnenia národnej rady môže vláda pri dodržaní celkového limitu verejných výdavkov upraviť limity verejných výdavkov subjektov verejnej správy a  ďalších súčastí rozpočtu verejnej správy rozpočtovaných v rozpočte verejnej správy.“.</w:t>
      </w:r>
    </w:p>
    <w:p w:rsidR="00B2130C" w:rsidRPr="00172EBB" w:rsidRDefault="00B2130C" w:rsidP="00B2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30C" w:rsidRPr="00172EBB" w:rsidRDefault="00B2130C" w:rsidP="00B2130C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BB">
        <w:rPr>
          <w:rFonts w:ascii="Times New Roman" w:hAnsi="Times New Roman" w:cs="Times New Roman"/>
          <w:sz w:val="24"/>
          <w:szCs w:val="24"/>
        </w:rPr>
        <w:t>V § 4 ods. 5 písm. a) sa na konci pripájajú tieto slová: „vrátane limitu verejných výdavkov“.</w:t>
      </w:r>
    </w:p>
    <w:p w:rsidR="00B2130C" w:rsidRPr="00172EBB" w:rsidRDefault="00B2130C" w:rsidP="00B2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30C" w:rsidRPr="00172EBB" w:rsidRDefault="00B2130C" w:rsidP="00B2130C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BB">
        <w:rPr>
          <w:rFonts w:ascii="Times New Roman" w:hAnsi="Times New Roman" w:cs="Times New Roman"/>
          <w:sz w:val="24"/>
          <w:szCs w:val="24"/>
        </w:rPr>
        <w:t xml:space="preserve">§ 6 sa dopĺňa odsekom 6, ktorý znie: </w:t>
      </w:r>
    </w:p>
    <w:p w:rsidR="00B2130C" w:rsidRPr="00172EBB" w:rsidRDefault="00B2130C" w:rsidP="00B2130C">
      <w:pPr>
        <w:pStyle w:val="Zkladntext"/>
        <w:ind w:left="708"/>
        <w:rPr>
          <w:rStyle w:val="slostrany"/>
          <w:color w:val="auto"/>
        </w:rPr>
      </w:pPr>
      <w:r w:rsidRPr="00172EBB">
        <w:rPr>
          <w:rStyle w:val="slostrany"/>
          <w:color w:val="auto"/>
        </w:rPr>
        <w:t xml:space="preserve">„(6) Ministerstvo financií zohľadňuje limit verejných výdavkov v štátnom rozpočte, </w:t>
      </w:r>
      <w:r w:rsidRPr="00172EBB">
        <w:rPr>
          <w:szCs w:val="24"/>
        </w:rPr>
        <w:t xml:space="preserve">oznamuje limity verejných výdavkov správcom kapitol najneskôr do 30 dní od schválenia limitov verejných výdavkov národnou radou podľa § 4 ods. 3 tretej vety </w:t>
      </w:r>
      <w:r w:rsidRPr="00172EBB">
        <w:rPr>
          <w:rStyle w:val="slostrany"/>
          <w:color w:val="auto"/>
        </w:rPr>
        <w:t>a zabezpečuje jeho dodržiavanie.“.</w:t>
      </w:r>
    </w:p>
    <w:p w:rsidR="00B2130C" w:rsidRPr="00172EBB" w:rsidRDefault="00B2130C" w:rsidP="00B2130C">
      <w:pPr>
        <w:pStyle w:val="Zkladntext"/>
        <w:rPr>
          <w:rStyle w:val="slostrany"/>
          <w:color w:val="auto"/>
        </w:rPr>
      </w:pPr>
    </w:p>
    <w:p w:rsidR="00B2130C" w:rsidRPr="00172EBB" w:rsidRDefault="00B2130C" w:rsidP="00B2130C">
      <w:pPr>
        <w:pStyle w:val="Zkladntext"/>
        <w:numPr>
          <w:ilvl w:val="0"/>
          <w:numId w:val="5"/>
        </w:numPr>
        <w:rPr>
          <w:szCs w:val="24"/>
        </w:rPr>
      </w:pPr>
      <w:r w:rsidRPr="00172EBB">
        <w:rPr>
          <w:rStyle w:val="slostrany"/>
          <w:color w:val="auto"/>
        </w:rPr>
        <w:t>V § 8 ods. 6 sa na konci bodka nahrádza čiarkou a pripájajú sa tieto slová: „</w:t>
      </w:r>
      <w:r w:rsidRPr="00172EBB">
        <w:rPr>
          <w:szCs w:val="24"/>
        </w:rPr>
        <w:t xml:space="preserve">pričom ak ide o výdavky, na ktoré sa vzťahuje limit verejných výdavkov, ministerstvo financií môže povoliť prekročenie </w:t>
      </w:r>
      <w:r w:rsidRPr="00172EBB">
        <w:t>limitu výdavkov tak, aby bol zabezpečený súlad s limitom verejných výdavkov</w:t>
      </w:r>
      <w:r w:rsidRPr="00172EBB">
        <w:rPr>
          <w:szCs w:val="24"/>
        </w:rPr>
        <w:t>.“.</w:t>
      </w:r>
    </w:p>
    <w:p w:rsidR="00B2130C" w:rsidRPr="00172EBB" w:rsidRDefault="00B2130C" w:rsidP="00B2130C">
      <w:pPr>
        <w:pStyle w:val="Zkladntext"/>
        <w:rPr>
          <w:szCs w:val="24"/>
        </w:rPr>
      </w:pPr>
    </w:p>
    <w:p w:rsidR="00B2130C" w:rsidRPr="00172EBB" w:rsidRDefault="00B2130C" w:rsidP="00B2130C">
      <w:pPr>
        <w:pStyle w:val="Zkladntext"/>
        <w:numPr>
          <w:ilvl w:val="0"/>
          <w:numId w:val="5"/>
        </w:numPr>
        <w:rPr>
          <w:szCs w:val="24"/>
        </w:rPr>
      </w:pPr>
      <w:r w:rsidRPr="00172EBB">
        <w:rPr>
          <w:rStyle w:val="slostrany"/>
          <w:color w:val="auto"/>
        </w:rPr>
        <w:t xml:space="preserve">V § 9 ods. 3 sa na konci pripája táto veta: „V kapitole Všeobecná pokladničná správa sa môžu rozpočtovať aj výdavky </w:t>
      </w:r>
      <w:r w:rsidRPr="00172EBB">
        <w:t>ostatných kapitol na investície, ak tak ustanoví zákon o štátnom rozpočte na príslušný rozpočtový rok.“.</w:t>
      </w:r>
    </w:p>
    <w:p w:rsidR="00B2130C" w:rsidRPr="00172EBB" w:rsidRDefault="00B2130C" w:rsidP="00B2130C">
      <w:pPr>
        <w:pStyle w:val="Zkladntext"/>
        <w:ind w:left="720"/>
        <w:rPr>
          <w:rStyle w:val="slostrany"/>
          <w:color w:val="auto"/>
        </w:rPr>
      </w:pPr>
    </w:p>
    <w:p w:rsidR="00B2130C" w:rsidRPr="00172EBB" w:rsidRDefault="00B2130C" w:rsidP="00B2130C">
      <w:pPr>
        <w:pStyle w:val="Zkladntext"/>
        <w:numPr>
          <w:ilvl w:val="0"/>
          <w:numId w:val="5"/>
        </w:numPr>
        <w:rPr>
          <w:rStyle w:val="slostrany"/>
          <w:color w:val="auto"/>
        </w:rPr>
      </w:pPr>
      <w:r w:rsidRPr="00172EBB">
        <w:rPr>
          <w:rStyle w:val="slostrany"/>
          <w:color w:val="auto"/>
        </w:rPr>
        <w:t>V § 9 ods. 4 písmeno i) znie:</w:t>
      </w:r>
    </w:p>
    <w:p w:rsidR="00B2130C" w:rsidRPr="00172EBB" w:rsidRDefault="00B2130C" w:rsidP="00B2130C">
      <w:pPr>
        <w:pStyle w:val="Zkladntext"/>
        <w:ind w:left="708"/>
        <w:rPr>
          <w:szCs w:val="24"/>
        </w:rPr>
      </w:pPr>
      <w:r w:rsidRPr="00172EBB">
        <w:rPr>
          <w:rStyle w:val="slostrany"/>
          <w:color w:val="auto"/>
        </w:rPr>
        <w:t xml:space="preserve">„i) </w:t>
      </w:r>
      <w:r w:rsidRPr="00172EBB">
        <w:rPr>
          <w:szCs w:val="24"/>
        </w:rPr>
        <w:t>určovať limit verejných výdavkov pre rozpočtové organizácie a príspevkové organizácie vo svojej  zriaďovateľskej pôsobnosti, zabezpečovať dodržiavanie limitu verejných výdavkov v rámci kapitoly a usmerňovať hospodárenie s rozpočtovými prostriedkami kapitoly,“.</w:t>
      </w:r>
    </w:p>
    <w:p w:rsidR="00B2130C" w:rsidRPr="00172EBB" w:rsidRDefault="00B2130C" w:rsidP="00B2130C">
      <w:pPr>
        <w:pStyle w:val="Zkladntext"/>
        <w:ind w:left="708"/>
        <w:rPr>
          <w:szCs w:val="24"/>
        </w:rPr>
      </w:pPr>
    </w:p>
    <w:p w:rsidR="00B2130C" w:rsidRPr="00172EBB" w:rsidRDefault="00B2130C" w:rsidP="00B2130C">
      <w:pPr>
        <w:pStyle w:val="Zkladntext"/>
        <w:numPr>
          <w:ilvl w:val="0"/>
          <w:numId w:val="5"/>
        </w:numPr>
        <w:rPr>
          <w:szCs w:val="24"/>
        </w:rPr>
      </w:pPr>
      <w:r w:rsidRPr="00172EBB">
        <w:rPr>
          <w:szCs w:val="24"/>
        </w:rPr>
        <w:t>V § 9 ods. 4 písm. m) sa slová „hodnotení efektívnosti a účinnosti verejných výdavkov vo vybraných oblastiach (ďalej len „revízia výdavkov“)“ nahrádzajú slovami „revízii výdavkov“.</w:t>
      </w:r>
    </w:p>
    <w:p w:rsidR="00B2130C" w:rsidRPr="00172EBB" w:rsidRDefault="00B2130C" w:rsidP="00B2130C">
      <w:pPr>
        <w:pStyle w:val="Zkladntext"/>
        <w:rPr>
          <w:szCs w:val="24"/>
        </w:rPr>
      </w:pPr>
    </w:p>
    <w:p w:rsidR="00B2130C" w:rsidRPr="00172EBB" w:rsidRDefault="00B2130C" w:rsidP="00B2130C">
      <w:pPr>
        <w:pStyle w:val="Zkladntext"/>
        <w:numPr>
          <w:ilvl w:val="0"/>
          <w:numId w:val="5"/>
        </w:numPr>
        <w:rPr>
          <w:szCs w:val="24"/>
        </w:rPr>
      </w:pPr>
      <w:r w:rsidRPr="00172EBB">
        <w:rPr>
          <w:szCs w:val="24"/>
        </w:rPr>
        <w:t>V § 10 odsek 1 znie:</w:t>
      </w:r>
    </w:p>
    <w:p w:rsidR="00B2130C" w:rsidRPr="00172EBB" w:rsidRDefault="00B2130C" w:rsidP="00B2130C">
      <w:pPr>
        <w:pStyle w:val="Zkladntext"/>
        <w:ind w:left="720"/>
      </w:pPr>
      <w:r w:rsidRPr="00172EBB">
        <w:rPr>
          <w:szCs w:val="24"/>
        </w:rPr>
        <w:t xml:space="preserve">„(1) </w:t>
      </w:r>
      <w:r w:rsidRPr="00172EBB">
        <w:t>Na zabezpečenie rozpočtového hospodárenia sa na krytie v čase alebo výške neistých nevyhnutných alebo nepredvídateľných výdavkov vytvárajú v štátnom rozpočte rezervy.“.</w:t>
      </w:r>
    </w:p>
    <w:p w:rsidR="00B2130C" w:rsidRPr="00172EBB" w:rsidRDefault="00B2130C" w:rsidP="00B2130C">
      <w:pPr>
        <w:pStyle w:val="Zkladntext"/>
        <w:ind w:left="720"/>
        <w:rPr>
          <w:szCs w:val="24"/>
        </w:rPr>
      </w:pPr>
    </w:p>
    <w:p w:rsidR="00B2130C" w:rsidRPr="00172EBB" w:rsidRDefault="00B2130C" w:rsidP="00B2130C">
      <w:pPr>
        <w:pStyle w:val="Zkladntext"/>
        <w:numPr>
          <w:ilvl w:val="0"/>
          <w:numId w:val="5"/>
        </w:numPr>
        <w:rPr>
          <w:szCs w:val="24"/>
        </w:rPr>
      </w:pPr>
      <w:r w:rsidRPr="00172EBB">
        <w:rPr>
          <w:szCs w:val="24"/>
        </w:rPr>
        <w:t>§ 14 sa dopĺňa odsekmi 9 až 11, ktoré znejú:</w:t>
      </w:r>
    </w:p>
    <w:p w:rsidR="00B2130C" w:rsidRPr="00172EBB" w:rsidRDefault="00B2130C" w:rsidP="00B2130C">
      <w:pPr>
        <w:pStyle w:val="Zkladntext"/>
        <w:ind w:left="708"/>
        <w:rPr>
          <w:szCs w:val="24"/>
        </w:rPr>
      </w:pPr>
      <w:r w:rsidRPr="00172EBB">
        <w:rPr>
          <w:szCs w:val="24"/>
        </w:rPr>
        <w:t>„(9) Limit verejných výdavkov schválený národnou radou je záväzný pre subjekty verejnej správy, ktorých výdavky sú súčasťou rozpočtu verejnej správy a na ktoré sa limit verejných výdavkov vzťahuje; nedodržanie tohto limitu sa považuje za porušenie povinnosti podľa tohto zákona. Ministerstvo financií najneskôr do 30 dní od schválenia limitov verejných výdavkov národnou radou podľa § 4 ods. 3 tretej vety oznamuje tieto limity verejných výdavkov subjektom verejnej správy.</w:t>
      </w:r>
    </w:p>
    <w:p w:rsidR="00B2130C" w:rsidRPr="00172EBB" w:rsidRDefault="00B2130C" w:rsidP="00B2130C">
      <w:pPr>
        <w:pStyle w:val="Zkladntext"/>
        <w:ind w:left="708"/>
        <w:rPr>
          <w:szCs w:val="24"/>
        </w:rPr>
      </w:pPr>
    </w:p>
    <w:p w:rsidR="00B2130C" w:rsidRPr="00172EBB" w:rsidRDefault="00B2130C" w:rsidP="00B2130C">
      <w:pPr>
        <w:pStyle w:val="Zkladntext0"/>
        <w:ind w:left="708"/>
        <w:jc w:val="both"/>
        <w:rPr>
          <w:iCs/>
          <w:color w:val="auto"/>
          <w:lang w:eastAsia="sk-SK"/>
        </w:rPr>
      </w:pPr>
      <w:r w:rsidRPr="00172EBB">
        <w:rPr>
          <w:color w:val="auto"/>
        </w:rPr>
        <w:t>(10) Ministerstvo zdravotníctva Slovenskej republiky zabezpečuje dodržiavanie limitu verejných výdavkov verejného zdravotného poistenia a  súhrnného rozpočtu za zdravotnícke zariadenia zaradené v ústrednej správe. Ministerstvo školstva, vedy, výskumu a športu Slovenskej republiky zabezpečuje dodržiavanie limitu verejných výdavkov verejných vysokých škôl. Správca kapitoly zabezpečuje dodržiavanie limitu verejných výdavkov</w:t>
      </w:r>
      <w:r w:rsidRPr="00172EBB">
        <w:rPr>
          <w:iCs/>
          <w:color w:val="auto"/>
          <w:lang w:eastAsia="sk-SK"/>
        </w:rPr>
        <w:t xml:space="preserve"> subjektami verejnej správy vo svojej zakladateľskej pôsobnosti a zriaďovateľskej pôsobnosti, ktorých príjmy a výdavky nie sú súčasťou rozpočtu kapitoly tohto správcu.</w:t>
      </w:r>
    </w:p>
    <w:p w:rsidR="00B2130C" w:rsidRPr="00172EBB" w:rsidRDefault="00B2130C" w:rsidP="00B2130C">
      <w:pPr>
        <w:pStyle w:val="Zkladntext0"/>
        <w:ind w:left="708"/>
        <w:jc w:val="both"/>
        <w:rPr>
          <w:iCs/>
          <w:color w:val="auto"/>
          <w:lang w:eastAsia="sk-SK"/>
        </w:rPr>
      </w:pPr>
    </w:p>
    <w:p w:rsidR="00B2130C" w:rsidRPr="00172EBB" w:rsidRDefault="00B2130C" w:rsidP="00B2130C">
      <w:pPr>
        <w:pStyle w:val="Zkladntext0"/>
        <w:ind w:left="708"/>
        <w:jc w:val="both"/>
        <w:rPr>
          <w:color w:val="auto"/>
        </w:rPr>
      </w:pPr>
      <w:r w:rsidRPr="00172EBB">
        <w:rPr>
          <w:iCs/>
          <w:color w:val="auto"/>
          <w:lang w:eastAsia="sk-SK"/>
        </w:rPr>
        <w:t xml:space="preserve">(11) Ministerstvo financií najmenej raz za štvrťrok monitoruje plnenie limitu verejných výdavkov a ak zistí skutočnosti nasvedčujúce prekročeniu limitu verejných výdavkov, </w:t>
      </w:r>
      <w:r w:rsidRPr="00172EBB">
        <w:t>vyzve správcu kapitoly alebo iný subjekt verejnej správy podľa § 4 ods. 3 tretej vety na odôvodnenie týchto skutočností a prijatie opatrení na dodržanie limitu verejných výdavkov v termíne určenom ministerstvom financií.</w:t>
      </w:r>
      <w:r w:rsidRPr="00172EBB">
        <w:rPr>
          <w:iCs/>
          <w:color w:val="auto"/>
          <w:lang w:eastAsia="sk-SK"/>
        </w:rPr>
        <w:t>“.</w:t>
      </w:r>
    </w:p>
    <w:p w:rsidR="00B2130C" w:rsidRPr="00172EBB" w:rsidRDefault="00B2130C" w:rsidP="00B2130C">
      <w:pPr>
        <w:pStyle w:val="Zkladntext"/>
        <w:rPr>
          <w:rStyle w:val="slostrany"/>
          <w:color w:val="auto"/>
        </w:rPr>
      </w:pPr>
    </w:p>
    <w:p w:rsidR="00B2130C" w:rsidRPr="00172EBB" w:rsidRDefault="00B2130C" w:rsidP="00B2130C">
      <w:pPr>
        <w:pStyle w:val="Zkladntext"/>
        <w:numPr>
          <w:ilvl w:val="0"/>
          <w:numId w:val="5"/>
        </w:numPr>
        <w:rPr>
          <w:rStyle w:val="slostrany"/>
          <w:color w:val="auto"/>
        </w:rPr>
      </w:pPr>
      <w:r w:rsidRPr="00172EBB">
        <w:rPr>
          <w:rStyle w:val="slostrany"/>
          <w:color w:val="auto"/>
        </w:rPr>
        <w:t>V § 15 odsek 1 znie:</w:t>
      </w:r>
    </w:p>
    <w:p w:rsidR="00B2130C" w:rsidRPr="00172EBB" w:rsidRDefault="00B2130C" w:rsidP="00B2130C">
      <w:pPr>
        <w:pStyle w:val="Zkladntext0"/>
        <w:ind w:left="708"/>
        <w:jc w:val="both"/>
        <w:rPr>
          <w:color w:val="auto"/>
        </w:rPr>
      </w:pPr>
      <w:r w:rsidRPr="00172EBB">
        <w:rPr>
          <w:rStyle w:val="slostrany"/>
          <w:color w:val="auto"/>
        </w:rPr>
        <w:t xml:space="preserve">„(1) </w:t>
      </w:r>
      <w:r w:rsidRPr="00172EBB">
        <w:rPr>
          <w:color w:val="auto"/>
        </w:rPr>
        <w:t xml:space="preserve">Vláda alebo na základe jej splnomocnenia minister financií môže za podmienok ustanovených zákonom o štátnom rozpočte na príslušný rozpočtový rok povoliť uskutočnenie výdavku nevyhnutného pre hospodárstvo Slovenskej republiky a nezabezpečeného v štátnom rozpočte. Ak v priebehu roka vznikne potreba úhrady, ktorá nie je v rozpočte kapitoly zabezpečená, možno úhradu realizovať na základe vykonaného rozpočtového opatrenia. V štátnom rozpočte možno vykonávať len také rozpočtové opatrenia, ktorými sa neprekročí limit verejných výdavkov; týmto nie je dotknuté ustanovenie § 17 ods. 4 poslednej vety.“.  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>§ 17 sa dopĺňa odsekom 5, ktorý znie: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 xml:space="preserve">„(5) </w:t>
      </w:r>
      <w:r w:rsidRPr="00172EBB">
        <w:rPr>
          <w:rStyle w:val="spanr"/>
        </w:rPr>
        <w:t>Ak výsledkom aktualizácie limitu verejných výdavkov je jeho zvýšenie, ministerstvo financií na základe rozhodnutia vlády povolí prekročenie limitu výdavkov</w:t>
      </w:r>
      <w:r w:rsidRPr="00172EBB">
        <w:rPr>
          <w:color w:val="auto"/>
        </w:rPr>
        <w:t xml:space="preserve">.“. 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 xml:space="preserve">  </w:t>
      </w: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>V § 18 sa za odsek 5 vkladá nový odsek 6, ktorý znie: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 xml:space="preserve">„(6) </w:t>
      </w:r>
      <w:r w:rsidRPr="00172EBB">
        <w:rPr>
          <w:rStyle w:val="spanr"/>
        </w:rPr>
        <w:t>Ak výsledkom aktualizácie limitu verejných výdavkov je jeho zníženie, ministerstvo financií na základe rozhodnutia vlády viaže rozpočtové prostriedky v rozpočte kapitoly</w:t>
      </w:r>
      <w:r w:rsidRPr="00172EBB">
        <w:rPr>
          <w:color w:val="auto"/>
        </w:rPr>
        <w:t>.“.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>Doterajší odsek 6 sa označuje ako odsek 7.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t>V § 19 ods. 11 sa za slovo „celku“ vkladá čiarka a slová „pri obstaraní tovarov, služieb a stavebných prác prostredníctvom agentúry alebo orgánu Európskej únie alebo prostredníctvom agentúry alebo orgánu Organizácie Severoatlantickej zmluvy v súlade s ich pravidlami“.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>Za § 24 sa vkladá § 25, ktorý znie:</w:t>
      </w:r>
    </w:p>
    <w:p w:rsidR="00B2130C" w:rsidRPr="00172EBB" w:rsidRDefault="00B2130C" w:rsidP="00B2130C">
      <w:pPr>
        <w:pStyle w:val="Zkladntext0"/>
        <w:ind w:left="720"/>
        <w:jc w:val="center"/>
        <w:rPr>
          <w:color w:val="auto"/>
        </w:rPr>
      </w:pPr>
      <w:r w:rsidRPr="00172EBB">
        <w:rPr>
          <w:color w:val="auto"/>
        </w:rPr>
        <w:t>„§ 25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>Štátne rozpočtové organizácie a štátne príspevkové organizácie sú povinné dodržiavať limit verejných výdavkov určený ich zriaďovateľom.“.</w:t>
      </w:r>
    </w:p>
    <w:p w:rsidR="00B2130C" w:rsidRPr="00172EBB" w:rsidRDefault="00B2130C" w:rsidP="00B2130C">
      <w:pPr>
        <w:pStyle w:val="Zkladntext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 xml:space="preserve">V § 29 ods. 4 sa za prvú vetu vkladá nová druhá veta a tretia veta, ktoré znejú: „Súčasťou </w:t>
      </w:r>
      <w:r w:rsidRPr="00172EBB">
        <w:rPr>
          <w:color w:val="auto"/>
        </w:rPr>
        <w:lastRenderedPageBreak/>
        <w:t>záverečného účtu kapitoly je aj hodnotenie dodržania limitu verejných výdavkov kapitoly a pri prekročení limitu verejných výdavkov kapitoly odôvodnenie tohto prekročenia. Š</w:t>
      </w:r>
      <w:r w:rsidRPr="00172EBB">
        <w:t>tatutárny orgán správcu kapitoly odôvodní v príslušnom výbore národnej rady prekročenie limitu verejných výdavkov kapitoly, a to do 30 dní od predloženia záverečného účtu kapitoly príslušnému výboru národnej rady</w:t>
      </w:r>
      <w:r w:rsidRPr="00172EBB">
        <w:rPr>
          <w:color w:val="auto"/>
        </w:rPr>
        <w:t>.“.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>V § 29a ods. 1 písm. a) sa slová „výdavkoch a“ nahrádzajú slovami „výdavkoch vrátane údajov o plnení limitu verejných výdavkov a údaje o“.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</w:pPr>
      <w:r w:rsidRPr="00172EBB">
        <w:t>V § 30 ods. 3 sa za slová „rozpočtového roka“ vkladajú slová „vrátane očakávaného plnenia limitu verejných výdavkov“.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tabs>
          <w:tab w:val="left" w:pos="6804"/>
        </w:tabs>
        <w:jc w:val="both"/>
        <w:rPr>
          <w:color w:val="auto"/>
        </w:rPr>
      </w:pPr>
      <w:r w:rsidRPr="00172EBB">
        <w:rPr>
          <w:color w:val="auto"/>
        </w:rPr>
        <w:t>V § 30a ods. 1 tretej vete sa slová „minimálne riziká“ nahrádzajú slovami „nízke riziká“.</w:t>
      </w:r>
    </w:p>
    <w:p w:rsidR="00B2130C" w:rsidRPr="00172EBB" w:rsidRDefault="00B2130C" w:rsidP="00B2130C">
      <w:pPr>
        <w:pStyle w:val="Zkladntext0"/>
        <w:tabs>
          <w:tab w:val="left" w:pos="6804"/>
        </w:tabs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tabs>
          <w:tab w:val="left" w:pos="6804"/>
        </w:tabs>
        <w:jc w:val="both"/>
        <w:rPr>
          <w:color w:val="auto"/>
        </w:rPr>
      </w:pPr>
      <w:r w:rsidRPr="00172EBB">
        <w:rPr>
          <w:color w:val="auto"/>
        </w:rPr>
        <w:t>V § 30a odsek 2 znie: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>„(2) Pri výraznom odchýlení sa</w:t>
      </w:r>
      <w:hyperlink r:id="rId8" w:anchor="poznamky.poznamka-42af" w:tooltip="Odkaz na predpis alebo ustanovenie" w:history="1">
        <w:r w:rsidRPr="00172EBB">
          <w:rPr>
            <w:bCs/>
            <w:color w:val="auto"/>
            <w:vertAlign w:val="superscript"/>
          </w:rPr>
          <w:t>42af</w:t>
        </w:r>
        <w:r w:rsidRPr="00172EBB">
          <w:rPr>
            <w:bCs/>
            <w:color w:val="auto"/>
          </w:rPr>
          <w:t>)</w:t>
        </w:r>
      </w:hyperlink>
      <w:r w:rsidRPr="00172EBB">
        <w:rPr>
          <w:color w:val="auto"/>
        </w:rPr>
        <w:t xml:space="preserve"> od strednodobého cieľa alebo postupu vedúcemu k tomuto cieľu podľa odseku 1 sa uplatní korekčný mechanizmus; ministerstvo financií v súlade s postupmi podľa osobitných predpisov</w:t>
      </w:r>
      <w:hyperlink r:id="rId9" w:anchor="poznamky.poznamka-42ag" w:tooltip="Odkaz na predpis alebo ustanovenie" w:history="1">
        <w:r w:rsidRPr="00172EBB">
          <w:rPr>
            <w:bCs/>
            <w:color w:val="auto"/>
            <w:vertAlign w:val="superscript"/>
          </w:rPr>
          <w:t>42ag</w:t>
        </w:r>
        <w:r w:rsidRPr="00172EBB">
          <w:rPr>
            <w:bCs/>
            <w:color w:val="auto"/>
          </w:rPr>
          <w:t>)</w:t>
        </w:r>
      </w:hyperlink>
      <w:r w:rsidRPr="00172EBB">
        <w:rPr>
          <w:color w:val="auto"/>
        </w:rPr>
        <w:t xml:space="preserve"> zverejňuje, či došlo k výraznému odchýleniu. Ak ministerstvo financií zverejní, že došlo k výraznému odchýleniu, navrhne vláde opatrenia na obdobie korekcie výrazného odchýlenia, zohľadňujúc veľkosť odchýlky, ktorá nastala, rešpektujúc dosiahnutie strednodobého cieľa a každoročné znižovanie podielu schodku rozpočtu verejnej správy na hrubom domácom produkte v súlade s osobitnými predpismi.</w:t>
      </w:r>
      <w:hyperlink r:id="rId10" w:anchor="poznamky.poznamka-42ag" w:tooltip="Odkaz na predpis alebo ustanovenie" w:history="1">
        <w:r w:rsidRPr="00172EBB">
          <w:rPr>
            <w:bCs/>
            <w:color w:val="auto"/>
            <w:vertAlign w:val="superscript"/>
          </w:rPr>
          <w:t>42ag</w:t>
        </w:r>
        <w:r w:rsidRPr="00172EBB">
          <w:rPr>
            <w:bCs/>
            <w:color w:val="auto"/>
          </w:rPr>
          <w:t>)</w:t>
        </w:r>
      </w:hyperlink>
      <w:r w:rsidRPr="00172EBB">
        <w:rPr>
          <w:color w:val="auto"/>
        </w:rPr>
        <w:t xml:space="preserve"> Návrh opatrení s vplyvom na územnú samosprávu ministerstvo financií vopred prerokuje s republikovými združeniami obcí a so zástupcami vyšších územných celkov. Vláda rozhodne o korekčnom mechanizme a schváli opatrenia, ktoré sa budú v rámci korekčného mechanizmu realizovať; pred rozhodnutím vlády návrh posúdi Rada pre rozpočtovú zodpovednosť.</w:t>
      </w:r>
      <w:hyperlink r:id="rId11" w:anchor="poznamky.poznamka-42ah" w:tooltip="Odkaz na predpis alebo ustanovenie" w:history="1">
        <w:r w:rsidRPr="00172EBB">
          <w:rPr>
            <w:bCs/>
            <w:color w:val="auto"/>
            <w:vertAlign w:val="superscript"/>
          </w:rPr>
          <w:t>42ah</w:t>
        </w:r>
        <w:r w:rsidRPr="00172EBB">
          <w:rPr>
            <w:bCs/>
            <w:color w:val="auto"/>
          </w:rPr>
          <w:t>)</w:t>
        </w:r>
      </w:hyperlink>
      <w:r w:rsidRPr="00172EBB">
        <w:rPr>
          <w:color w:val="auto"/>
        </w:rPr>
        <w:t xml:space="preserve"> Ak vláda rozhodne, že sa korekčný mechanizmus neuplatní, zašle národnej rade písomné zdôvodnenie rozhodnutia o neuplatnení korekčného mechanizmu.“.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>Poznámky pod čiarou k odkazom 42af a 42ag znejú: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>„</w:t>
      </w:r>
      <w:r w:rsidRPr="00172EBB">
        <w:rPr>
          <w:color w:val="auto"/>
          <w:vertAlign w:val="superscript"/>
        </w:rPr>
        <w:t>42af</w:t>
      </w:r>
      <w:r w:rsidRPr="00172EBB">
        <w:rPr>
          <w:color w:val="auto"/>
        </w:rPr>
        <w:t xml:space="preserve">) Čl. 6 nariadenia (ES) č. </w:t>
      </w:r>
      <w:r w:rsidRPr="00172EBB">
        <w:rPr>
          <w:iCs/>
          <w:color w:val="auto"/>
        </w:rPr>
        <w:t>1466/97</w:t>
      </w:r>
      <w:r w:rsidRPr="00172EBB">
        <w:rPr>
          <w:color w:val="auto"/>
        </w:rPr>
        <w:t xml:space="preserve"> v platnom znení.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  <w:vertAlign w:val="superscript"/>
        </w:rPr>
        <w:t>42ag</w:t>
      </w:r>
      <w:r w:rsidRPr="00172EBB">
        <w:rPr>
          <w:color w:val="auto"/>
        </w:rPr>
        <w:t xml:space="preserve">) Čl. 5 a 6 nariadenia (ES) č. </w:t>
      </w:r>
      <w:r w:rsidRPr="00172EBB">
        <w:rPr>
          <w:iCs/>
          <w:color w:val="auto"/>
        </w:rPr>
        <w:t>1466/97</w:t>
      </w:r>
      <w:r w:rsidRPr="00172EBB">
        <w:rPr>
          <w:color w:val="auto"/>
        </w:rPr>
        <w:t xml:space="preserve"> v platnom znení. 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 xml:space="preserve">Čl. 3 ods. 4 nariadenia (ES) č. </w:t>
      </w:r>
      <w:r w:rsidRPr="00172EBB">
        <w:rPr>
          <w:iCs/>
          <w:color w:val="auto"/>
        </w:rPr>
        <w:t>1467/97</w:t>
      </w:r>
      <w:r w:rsidRPr="00172EBB">
        <w:rPr>
          <w:color w:val="auto"/>
        </w:rPr>
        <w:t xml:space="preserve"> v platnom znení.“.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 xml:space="preserve"> V § 33 ods. 1 sa za slová „verejnej správy“ vkladajú slová „a predpokladané dôsledky na dodržanie limitu verejných výdavkov“. 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>V § 33 odsek 2 znie: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>„(2) Navrhovatelia sú povinní predpokladané dôsledky návrhov právnych predpisov a iných opatrení podľa odseku 1 vopred prerokovať s ministerstvom financií; na požiadanie ministerstva financií posúdi Rada pre rozpočtovú zodpovednosť návrhy právnych predpisov a iných opatrení podľa odseku 1 z hľadiska vplyvu na aktualizáciu limitu verejných výdavkov.“.</w:t>
      </w:r>
    </w:p>
    <w:p w:rsidR="00B2130C" w:rsidRPr="00172EBB" w:rsidRDefault="00B2130C" w:rsidP="00B2130C">
      <w:pPr>
        <w:pStyle w:val="Zkladntext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>Za § 37l sa vkladá § 37m, ktorý vrátane nadpisu znie:</w:t>
      </w:r>
    </w:p>
    <w:p w:rsidR="00B2130C" w:rsidRPr="00172EBB" w:rsidRDefault="00B2130C" w:rsidP="00B2130C">
      <w:pPr>
        <w:pStyle w:val="Zkladntext0"/>
        <w:ind w:left="720"/>
        <w:jc w:val="center"/>
        <w:rPr>
          <w:color w:val="auto"/>
        </w:rPr>
      </w:pPr>
      <w:r w:rsidRPr="00172EBB">
        <w:rPr>
          <w:color w:val="auto"/>
        </w:rPr>
        <w:t>„§ 37m</w:t>
      </w:r>
    </w:p>
    <w:p w:rsidR="00B2130C" w:rsidRPr="00172EBB" w:rsidRDefault="00B2130C" w:rsidP="00B2130C">
      <w:pPr>
        <w:pStyle w:val="Zkladntext0"/>
        <w:ind w:left="720"/>
        <w:jc w:val="center"/>
        <w:rPr>
          <w:color w:val="auto"/>
        </w:rPr>
      </w:pPr>
      <w:r w:rsidRPr="00172EBB">
        <w:rPr>
          <w:color w:val="auto"/>
        </w:rPr>
        <w:t>Prechodné ustanovenia k úpravám účinným od 15. apríla 2022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 xml:space="preserve">(1) Limit verejných výdavkov sa prvýkrát uplatní v rozpočtovom procese verejnej </w:t>
      </w:r>
      <w:r w:rsidRPr="00172EBB">
        <w:rPr>
          <w:color w:val="auto"/>
        </w:rPr>
        <w:lastRenderedPageBreak/>
        <w:t>správy v roku 2022 pre rozpočet verejnej správy na roky 2023 až 2025.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>(2) V roku 2022 sa ustanovenia § 15 ods. 1  a § 30a ods. 2 uplatnia v znení účinnom do 14. apríla 2022. “.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>V prílohe druhý bod znie: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  <w:r w:rsidRPr="00172EBB">
        <w:rPr>
          <w:color w:val="auto"/>
        </w:rPr>
        <w:t>„2. Smernica Rady 2011/85/EÚ z 8. novembra 2011 o požiadavkách na rozpočtové rámce členských štátov (Ú. v. L 306, 23. 11. 2011).“.</w:t>
      </w:r>
    </w:p>
    <w:p w:rsidR="00B2130C" w:rsidRPr="00172EBB" w:rsidRDefault="00B2130C" w:rsidP="00B2130C">
      <w:pPr>
        <w:pStyle w:val="Zkladntext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numPr>
          <w:ilvl w:val="0"/>
          <w:numId w:val="5"/>
        </w:numPr>
        <w:jc w:val="both"/>
        <w:rPr>
          <w:color w:val="auto"/>
        </w:rPr>
      </w:pPr>
      <w:r w:rsidRPr="00172EBB">
        <w:rPr>
          <w:color w:val="auto"/>
        </w:rPr>
        <w:t xml:space="preserve">V prílohe sa vypúšťa tretí bod. </w:t>
      </w:r>
    </w:p>
    <w:p w:rsidR="00B2130C" w:rsidRPr="00172EBB" w:rsidRDefault="00B2130C" w:rsidP="00B2130C">
      <w:pPr>
        <w:pStyle w:val="Zkladntext0"/>
        <w:ind w:left="72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ind w:left="720"/>
        <w:jc w:val="both"/>
        <w:rPr>
          <w:rFonts w:ascii="Helvetica" w:hAnsi="Helvetica" w:cs="Helvetica"/>
          <w:color w:val="494949"/>
          <w:sz w:val="21"/>
          <w:szCs w:val="21"/>
        </w:rPr>
      </w:pPr>
    </w:p>
    <w:p w:rsidR="00B2130C" w:rsidRPr="00172EBB" w:rsidRDefault="00B2130C" w:rsidP="00B2130C">
      <w:pPr>
        <w:pStyle w:val="Zkladntext0"/>
        <w:jc w:val="both"/>
        <w:rPr>
          <w:color w:val="auto"/>
        </w:rPr>
      </w:pPr>
    </w:p>
    <w:p w:rsidR="00B2130C" w:rsidRPr="00172EBB" w:rsidRDefault="00B2130C" w:rsidP="00B2130C">
      <w:pPr>
        <w:pStyle w:val="Zkladntext0"/>
        <w:jc w:val="center"/>
        <w:rPr>
          <w:b/>
          <w:color w:val="auto"/>
        </w:rPr>
      </w:pPr>
      <w:r w:rsidRPr="00172EBB">
        <w:rPr>
          <w:b/>
          <w:color w:val="auto"/>
        </w:rPr>
        <w:t>Čl. II</w:t>
      </w:r>
    </w:p>
    <w:p w:rsidR="00B2130C" w:rsidRPr="00172EBB" w:rsidRDefault="00B2130C" w:rsidP="00B2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30C" w:rsidRPr="000378E6" w:rsidRDefault="00B2130C" w:rsidP="00B2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BB">
        <w:rPr>
          <w:rFonts w:ascii="Times New Roman" w:hAnsi="Times New Roman" w:cs="Times New Roman"/>
          <w:sz w:val="24"/>
          <w:szCs w:val="24"/>
        </w:rPr>
        <w:t>Tento zákon nadobúda účinnosť 15. apríla 2022.</w:t>
      </w:r>
      <w:r w:rsidRPr="000378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01BA" w:rsidRPr="000378E6" w:rsidRDefault="005B01BA" w:rsidP="005B0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78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01BA" w:rsidRPr="000378E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0FF" w:rsidRDefault="007360FF" w:rsidP="00D27845">
      <w:pPr>
        <w:spacing w:after="0" w:line="240" w:lineRule="auto"/>
      </w:pPr>
      <w:r>
        <w:separator/>
      </w:r>
    </w:p>
  </w:endnote>
  <w:endnote w:type="continuationSeparator" w:id="0">
    <w:p w:rsidR="007360FF" w:rsidRDefault="007360FF" w:rsidP="00D2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6352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6CD" w:rsidRPr="00AC66CD" w:rsidRDefault="00AC66CD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6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6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6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130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C66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6CD" w:rsidRDefault="00AC66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0FF" w:rsidRDefault="007360FF" w:rsidP="00D27845">
      <w:pPr>
        <w:spacing w:after="0" w:line="240" w:lineRule="auto"/>
      </w:pPr>
      <w:r>
        <w:separator/>
      </w:r>
    </w:p>
  </w:footnote>
  <w:footnote w:type="continuationSeparator" w:id="0">
    <w:p w:rsidR="007360FF" w:rsidRDefault="007360FF" w:rsidP="00D2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3DA"/>
    <w:multiLevelType w:val="hybridMultilevel"/>
    <w:tmpl w:val="2C1E0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12F"/>
    <w:multiLevelType w:val="hybridMultilevel"/>
    <w:tmpl w:val="BC1048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A44A2"/>
    <w:multiLevelType w:val="hybridMultilevel"/>
    <w:tmpl w:val="8F9E3E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7841"/>
    <w:multiLevelType w:val="hybridMultilevel"/>
    <w:tmpl w:val="6CC2CD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2CC8"/>
    <w:multiLevelType w:val="hybridMultilevel"/>
    <w:tmpl w:val="F9A26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482B"/>
    <w:multiLevelType w:val="hybridMultilevel"/>
    <w:tmpl w:val="0F547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21977"/>
    <w:multiLevelType w:val="hybridMultilevel"/>
    <w:tmpl w:val="3F7853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554B6"/>
    <w:multiLevelType w:val="hybridMultilevel"/>
    <w:tmpl w:val="3EE65B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704A2"/>
    <w:multiLevelType w:val="hybridMultilevel"/>
    <w:tmpl w:val="DC6CA5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F2EB3"/>
    <w:multiLevelType w:val="hybridMultilevel"/>
    <w:tmpl w:val="6E96EAE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F58BB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2CC7942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A0"/>
    <w:rsid w:val="00002200"/>
    <w:rsid w:val="00011264"/>
    <w:rsid w:val="00034EEC"/>
    <w:rsid w:val="00037372"/>
    <w:rsid w:val="0004571C"/>
    <w:rsid w:val="0005582C"/>
    <w:rsid w:val="00067C06"/>
    <w:rsid w:val="00094D18"/>
    <w:rsid w:val="000B6DBF"/>
    <w:rsid w:val="00122941"/>
    <w:rsid w:val="001349C2"/>
    <w:rsid w:val="00140339"/>
    <w:rsid w:val="001744B3"/>
    <w:rsid w:val="00193059"/>
    <w:rsid w:val="001A15EC"/>
    <w:rsid w:val="001D3513"/>
    <w:rsid w:val="001D6DD1"/>
    <w:rsid w:val="001E5B7B"/>
    <w:rsid w:val="001F610C"/>
    <w:rsid w:val="00207B96"/>
    <w:rsid w:val="002656D8"/>
    <w:rsid w:val="002669B7"/>
    <w:rsid w:val="002744D9"/>
    <w:rsid w:val="002A0EB4"/>
    <w:rsid w:val="002A3A09"/>
    <w:rsid w:val="002A4A40"/>
    <w:rsid w:val="002A7702"/>
    <w:rsid w:val="002E4824"/>
    <w:rsid w:val="002E7DFD"/>
    <w:rsid w:val="00304FCA"/>
    <w:rsid w:val="0032767E"/>
    <w:rsid w:val="0033562A"/>
    <w:rsid w:val="00370D77"/>
    <w:rsid w:val="00375FE0"/>
    <w:rsid w:val="0038767F"/>
    <w:rsid w:val="003B038C"/>
    <w:rsid w:val="003B4E5B"/>
    <w:rsid w:val="003C28BD"/>
    <w:rsid w:val="003C3A57"/>
    <w:rsid w:val="003D0F0F"/>
    <w:rsid w:val="003D6DCE"/>
    <w:rsid w:val="004175FA"/>
    <w:rsid w:val="00426A8D"/>
    <w:rsid w:val="004273A0"/>
    <w:rsid w:val="00451324"/>
    <w:rsid w:val="00453EDD"/>
    <w:rsid w:val="004556CF"/>
    <w:rsid w:val="0048260F"/>
    <w:rsid w:val="00487728"/>
    <w:rsid w:val="004A0A60"/>
    <w:rsid w:val="004A14FC"/>
    <w:rsid w:val="004B38ED"/>
    <w:rsid w:val="004B3E0C"/>
    <w:rsid w:val="004F6D78"/>
    <w:rsid w:val="00500730"/>
    <w:rsid w:val="0052256A"/>
    <w:rsid w:val="00522BC8"/>
    <w:rsid w:val="0054716E"/>
    <w:rsid w:val="00551AD8"/>
    <w:rsid w:val="00594F85"/>
    <w:rsid w:val="0059650B"/>
    <w:rsid w:val="005A1D8F"/>
    <w:rsid w:val="005A4714"/>
    <w:rsid w:val="005B01BA"/>
    <w:rsid w:val="005D50AC"/>
    <w:rsid w:val="005F1FC0"/>
    <w:rsid w:val="005F6464"/>
    <w:rsid w:val="00611EAA"/>
    <w:rsid w:val="00612AEE"/>
    <w:rsid w:val="00617709"/>
    <w:rsid w:val="006236C8"/>
    <w:rsid w:val="00640171"/>
    <w:rsid w:val="00653F6B"/>
    <w:rsid w:val="00657E13"/>
    <w:rsid w:val="00670B05"/>
    <w:rsid w:val="00680E85"/>
    <w:rsid w:val="006872E5"/>
    <w:rsid w:val="0069001E"/>
    <w:rsid w:val="00691102"/>
    <w:rsid w:val="00696A81"/>
    <w:rsid w:val="006A2986"/>
    <w:rsid w:val="006C3389"/>
    <w:rsid w:val="00707EA0"/>
    <w:rsid w:val="007105A3"/>
    <w:rsid w:val="007105E7"/>
    <w:rsid w:val="00716D57"/>
    <w:rsid w:val="0073383A"/>
    <w:rsid w:val="007360FF"/>
    <w:rsid w:val="00772103"/>
    <w:rsid w:val="007771B8"/>
    <w:rsid w:val="00786046"/>
    <w:rsid w:val="007C23C4"/>
    <w:rsid w:val="007E01B0"/>
    <w:rsid w:val="007E435A"/>
    <w:rsid w:val="007F0870"/>
    <w:rsid w:val="007F6BB2"/>
    <w:rsid w:val="007F75A8"/>
    <w:rsid w:val="008007FD"/>
    <w:rsid w:val="00801EC0"/>
    <w:rsid w:val="008145BD"/>
    <w:rsid w:val="0083736E"/>
    <w:rsid w:val="00857154"/>
    <w:rsid w:val="00867221"/>
    <w:rsid w:val="00875372"/>
    <w:rsid w:val="008756B0"/>
    <w:rsid w:val="00882C89"/>
    <w:rsid w:val="008B540C"/>
    <w:rsid w:val="008C6AA3"/>
    <w:rsid w:val="008D663F"/>
    <w:rsid w:val="008E4F5E"/>
    <w:rsid w:val="009220B2"/>
    <w:rsid w:val="00926C4E"/>
    <w:rsid w:val="009406C3"/>
    <w:rsid w:val="009509A3"/>
    <w:rsid w:val="00965198"/>
    <w:rsid w:val="009B14F3"/>
    <w:rsid w:val="009C0EF8"/>
    <w:rsid w:val="009C141B"/>
    <w:rsid w:val="009C39BB"/>
    <w:rsid w:val="009D427B"/>
    <w:rsid w:val="009F1A25"/>
    <w:rsid w:val="00A015F7"/>
    <w:rsid w:val="00A04BCB"/>
    <w:rsid w:val="00A2720C"/>
    <w:rsid w:val="00A27274"/>
    <w:rsid w:val="00A35B26"/>
    <w:rsid w:val="00A40D58"/>
    <w:rsid w:val="00A44EC9"/>
    <w:rsid w:val="00A450C2"/>
    <w:rsid w:val="00A5053A"/>
    <w:rsid w:val="00A54F4A"/>
    <w:rsid w:val="00A73ABB"/>
    <w:rsid w:val="00A775DD"/>
    <w:rsid w:val="00A94070"/>
    <w:rsid w:val="00AB420B"/>
    <w:rsid w:val="00AB49A9"/>
    <w:rsid w:val="00AB76E1"/>
    <w:rsid w:val="00AC66CD"/>
    <w:rsid w:val="00AE4788"/>
    <w:rsid w:val="00B00555"/>
    <w:rsid w:val="00B02CA1"/>
    <w:rsid w:val="00B02EC3"/>
    <w:rsid w:val="00B167D3"/>
    <w:rsid w:val="00B17E3C"/>
    <w:rsid w:val="00B2130C"/>
    <w:rsid w:val="00B27228"/>
    <w:rsid w:val="00B4475D"/>
    <w:rsid w:val="00B46AEB"/>
    <w:rsid w:val="00B75D59"/>
    <w:rsid w:val="00B842BC"/>
    <w:rsid w:val="00B87EE4"/>
    <w:rsid w:val="00B91CC1"/>
    <w:rsid w:val="00BA36B7"/>
    <w:rsid w:val="00BA4DD2"/>
    <w:rsid w:val="00BB03D8"/>
    <w:rsid w:val="00BC71C0"/>
    <w:rsid w:val="00BE2687"/>
    <w:rsid w:val="00C1279C"/>
    <w:rsid w:val="00C32CBB"/>
    <w:rsid w:val="00C34CE5"/>
    <w:rsid w:val="00C46BD3"/>
    <w:rsid w:val="00C607EA"/>
    <w:rsid w:val="00CB7A4F"/>
    <w:rsid w:val="00CB7DCC"/>
    <w:rsid w:val="00CD46F5"/>
    <w:rsid w:val="00CD6376"/>
    <w:rsid w:val="00CE4A20"/>
    <w:rsid w:val="00CF7471"/>
    <w:rsid w:val="00D02F4E"/>
    <w:rsid w:val="00D27845"/>
    <w:rsid w:val="00D63825"/>
    <w:rsid w:val="00D6483D"/>
    <w:rsid w:val="00D81B2A"/>
    <w:rsid w:val="00D90145"/>
    <w:rsid w:val="00D948D6"/>
    <w:rsid w:val="00D97393"/>
    <w:rsid w:val="00DB1D4A"/>
    <w:rsid w:val="00DB7C46"/>
    <w:rsid w:val="00DD4EDC"/>
    <w:rsid w:val="00DF59B6"/>
    <w:rsid w:val="00DF6882"/>
    <w:rsid w:val="00E0204C"/>
    <w:rsid w:val="00E035BA"/>
    <w:rsid w:val="00E03B9F"/>
    <w:rsid w:val="00E211D2"/>
    <w:rsid w:val="00E336C0"/>
    <w:rsid w:val="00E46D9C"/>
    <w:rsid w:val="00E50D4B"/>
    <w:rsid w:val="00E66BC7"/>
    <w:rsid w:val="00E7341D"/>
    <w:rsid w:val="00EB1577"/>
    <w:rsid w:val="00EC027E"/>
    <w:rsid w:val="00F03246"/>
    <w:rsid w:val="00F06B15"/>
    <w:rsid w:val="00F22FB2"/>
    <w:rsid w:val="00F27DAD"/>
    <w:rsid w:val="00F369AB"/>
    <w:rsid w:val="00F43C6D"/>
    <w:rsid w:val="00F560F2"/>
    <w:rsid w:val="00F670BB"/>
    <w:rsid w:val="00F71B85"/>
    <w:rsid w:val="00F76A8E"/>
    <w:rsid w:val="00F81CD5"/>
    <w:rsid w:val="00F849C8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7EE77-F87C-4DDC-AECB-6406564D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7EA0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0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D46F5"/>
    <w:pPr>
      <w:ind w:left="720"/>
      <w:contextualSpacing/>
    </w:pPr>
  </w:style>
  <w:style w:type="paragraph" w:styleId="Zkladntext">
    <w:name w:val="Body Text"/>
    <w:basedOn w:val="Normlny"/>
    <w:link w:val="ZkladntextChar"/>
    <w:rsid w:val="008E4F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E4F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autoRedefine/>
    <w:rsid w:val="008E4F5E"/>
    <w:rPr>
      <w:color w:val="000000"/>
      <w:szCs w:val="24"/>
    </w:rPr>
  </w:style>
  <w:style w:type="paragraph" w:customStyle="1" w:styleId="Zkladntext0">
    <w:name w:val="Základní text"/>
    <w:rsid w:val="008E4F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453EDD"/>
    <w:rPr>
      <w:rFonts w:asciiTheme="minorHAnsi" w:hAnsi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9A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7845"/>
    <w:rPr>
      <w:rFonts w:asciiTheme="minorHAnsi" w:hAnsiTheme="minorHAnsi"/>
    </w:rPr>
  </w:style>
  <w:style w:type="paragraph" w:styleId="Pta">
    <w:name w:val="footer"/>
    <w:basedOn w:val="Normlny"/>
    <w:link w:val="PtaChar"/>
    <w:uiPriority w:val="99"/>
    <w:unhideWhenUsed/>
    <w:rsid w:val="00D2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7845"/>
    <w:rPr>
      <w:rFonts w:asciiTheme="minorHAnsi" w:hAnsiTheme="minorHAnsi"/>
    </w:rPr>
  </w:style>
  <w:style w:type="character" w:styleId="Hypertextovprepojenie">
    <w:name w:val="Hyperlink"/>
    <w:basedOn w:val="Predvolenpsmoodseku"/>
    <w:uiPriority w:val="99"/>
    <w:semiHidden/>
    <w:unhideWhenUsed/>
    <w:rsid w:val="00716D57"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rsid w:val="00B167D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B167D3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spanr">
    <w:name w:val="span_r"/>
    <w:basedOn w:val="Predvolenpsmoodseku"/>
    <w:qFormat/>
    <w:rsid w:val="00B21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523/20210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4/523/202101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04/523/2021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523/20210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FA3C-D5C7-41EA-A652-2745BE22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Herkova Lenka</cp:lastModifiedBy>
  <cp:revision>22</cp:revision>
  <cp:lastPrinted>2021-09-10T08:03:00Z</cp:lastPrinted>
  <dcterms:created xsi:type="dcterms:W3CDTF">2021-09-16T08:40:00Z</dcterms:created>
  <dcterms:modified xsi:type="dcterms:W3CDTF">2022-01-12T11:45:00Z</dcterms:modified>
</cp:coreProperties>
</file>