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01274" w14:textId="77777777" w:rsidR="00A523B7" w:rsidRPr="00A7127C" w:rsidRDefault="00487295" w:rsidP="00487295">
      <w:pPr>
        <w:spacing w:before="100" w:beforeAutospacing="1" w:line="276" w:lineRule="auto"/>
        <w:jc w:val="center"/>
        <w:outlineLvl w:val="1"/>
        <w:rPr>
          <w:b/>
          <w:bCs/>
        </w:rPr>
      </w:pPr>
      <w:r w:rsidRPr="00A7127C">
        <w:rPr>
          <w:b/>
          <w:bCs/>
        </w:rPr>
        <w:t>„</w:t>
      </w:r>
      <w:r w:rsidR="00A523B7" w:rsidRPr="00A7127C">
        <w:rPr>
          <w:b/>
          <w:bCs/>
        </w:rPr>
        <w:t>VYHLÁŠKA</w:t>
      </w:r>
      <w:r w:rsidR="00A523B7" w:rsidRPr="00A7127C">
        <w:rPr>
          <w:b/>
          <w:bCs/>
        </w:rPr>
        <w:br/>
      </w:r>
      <w:r w:rsidR="00C621C2" w:rsidRPr="00A7127C">
        <w:rPr>
          <w:b/>
          <w:bCs/>
        </w:rPr>
        <w:t xml:space="preserve">Úradu pre územné plánovanie </w:t>
      </w:r>
      <w:r w:rsidR="0084521D" w:rsidRPr="00A7127C">
        <w:rPr>
          <w:b/>
          <w:bCs/>
        </w:rPr>
        <w:t>a</w:t>
      </w:r>
      <w:r w:rsidR="00CF2EB2" w:rsidRPr="00A7127C">
        <w:rPr>
          <w:b/>
          <w:bCs/>
        </w:rPr>
        <w:t xml:space="preserve"> výstavb</w:t>
      </w:r>
      <w:r w:rsidR="00C621C2" w:rsidRPr="00A7127C">
        <w:rPr>
          <w:b/>
          <w:bCs/>
        </w:rPr>
        <w:t>u</w:t>
      </w:r>
      <w:r w:rsidR="00A523B7" w:rsidRPr="00A7127C">
        <w:rPr>
          <w:b/>
          <w:bCs/>
        </w:rPr>
        <w:t xml:space="preserve"> Slovenskej republiky </w:t>
      </w:r>
    </w:p>
    <w:p w14:paraId="4C00BC77" w14:textId="77777777" w:rsidR="00487295" w:rsidRPr="00A7127C" w:rsidRDefault="00487295" w:rsidP="00487295">
      <w:pPr>
        <w:spacing w:line="276" w:lineRule="auto"/>
        <w:jc w:val="center"/>
        <w:rPr>
          <w:b/>
        </w:rPr>
      </w:pPr>
      <w:r w:rsidRPr="00A7127C">
        <w:rPr>
          <w:b/>
        </w:rPr>
        <w:t xml:space="preserve">z </w:t>
      </w:r>
      <w:r w:rsidR="00C621C2" w:rsidRPr="00A7127C">
        <w:rPr>
          <w:b/>
        </w:rPr>
        <w:t>2022</w:t>
      </w:r>
      <w:r w:rsidRPr="00A7127C">
        <w:rPr>
          <w:b/>
        </w:rPr>
        <w:t>,</w:t>
      </w:r>
    </w:p>
    <w:p w14:paraId="534AF047" w14:textId="77777777" w:rsidR="00682895" w:rsidRPr="00A7127C" w:rsidRDefault="004649F2" w:rsidP="00682895">
      <w:pPr>
        <w:spacing w:line="276" w:lineRule="auto"/>
        <w:jc w:val="center"/>
        <w:rPr>
          <w:b/>
        </w:rPr>
      </w:pPr>
      <w:r>
        <w:rPr>
          <w:b/>
        </w:rPr>
        <w:t xml:space="preserve">ktorou sa ustanovujú podrobnosti </w:t>
      </w:r>
      <w:r w:rsidR="00C621C2" w:rsidRPr="00A7127C">
        <w:rPr>
          <w:b/>
        </w:rPr>
        <w:t>o</w:t>
      </w:r>
      <w:r w:rsidR="00C52051">
        <w:rPr>
          <w:b/>
        </w:rPr>
        <w:t xml:space="preserve"> podobe štruktúrovaných údajov evidovaných v </w:t>
      </w:r>
      <w:r w:rsidR="008C6A92">
        <w:rPr>
          <w:b/>
        </w:rPr>
        <w:t>informačno</w:t>
      </w:r>
      <w:r w:rsidR="00C52051">
        <w:rPr>
          <w:b/>
        </w:rPr>
        <w:t>m</w:t>
      </w:r>
      <w:r w:rsidR="008C6A92">
        <w:rPr>
          <w:b/>
        </w:rPr>
        <w:t xml:space="preserve"> systém</w:t>
      </w:r>
      <w:r w:rsidR="00C52051">
        <w:rPr>
          <w:b/>
        </w:rPr>
        <w:t>e</w:t>
      </w:r>
      <w:r w:rsidR="008C6A92">
        <w:rPr>
          <w:b/>
        </w:rPr>
        <w:t xml:space="preserve"> </w:t>
      </w:r>
      <w:r w:rsidR="00081758">
        <w:rPr>
          <w:b/>
        </w:rPr>
        <w:t>územného plánovania a výstavby</w:t>
      </w:r>
      <w:r w:rsidR="00487295" w:rsidRPr="00A7127C">
        <w:rPr>
          <w:b/>
          <w:bCs/>
        </w:rPr>
        <w:t>“</w:t>
      </w:r>
    </w:p>
    <w:p w14:paraId="7CF0C5D5" w14:textId="77777777" w:rsidR="00682895" w:rsidRDefault="00682895" w:rsidP="00682895">
      <w:pPr>
        <w:spacing w:line="276" w:lineRule="auto"/>
        <w:jc w:val="center"/>
      </w:pPr>
    </w:p>
    <w:p w14:paraId="3BE267C0" w14:textId="07829867" w:rsidR="00A523B7" w:rsidRPr="00682895" w:rsidRDefault="00A523B7" w:rsidP="00682895">
      <w:pPr>
        <w:spacing w:line="276" w:lineRule="auto"/>
        <w:jc w:val="both"/>
      </w:pPr>
      <w:r w:rsidRPr="00F44787">
        <w:rPr>
          <w:color w:val="000000"/>
        </w:rPr>
        <w:br/>
      </w:r>
      <w:r w:rsidR="00C621C2">
        <w:rPr>
          <w:color w:val="000000"/>
        </w:rPr>
        <w:t>Úrad pre územné plánovanie</w:t>
      </w:r>
      <w:r w:rsidR="0084521D">
        <w:rPr>
          <w:color w:val="000000"/>
        </w:rPr>
        <w:t xml:space="preserve"> </w:t>
      </w:r>
      <w:r w:rsidRPr="00235BA3">
        <w:rPr>
          <w:color w:val="000000"/>
        </w:rPr>
        <w:t xml:space="preserve"> </w:t>
      </w:r>
      <w:r w:rsidR="00243A5C">
        <w:rPr>
          <w:color w:val="000000"/>
        </w:rPr>
        <w:t xml:space="preserve">a </w:t>
      </w:r>
      <w:r w:rsidRPr="00235BA3">
        <w:rPr>
          <w:color w:val="000000"/>
        </w:rPr>
        <w:t>výstavb</w:t>
      </w:r>
      <w:r w:rsidR="00C621C2">
        <w:rPr>
          <w:color w:val="000000"/>
        </w:rPr>
        <w:t>u</w:t>
      </w:r>
      <w:r w:rsidRPr="00235BA3">
        <w:rPr>
          <w:color w:val="000000"/>
        </w:rPr>
        <w:t xml:space="preserve">  </w:t>
      </w:r>
      <w:r w:rsidRPr="00F44787">
        <w:rPr>
          <w:color w:val="000000"/>
        </w:rPr>
        <w:t xml:space="preserve">Slovenskej republiky podľa § </w:t>
      </w:r>
      <w:r w:rsidR="007003FD">
        <w:rPr>
          <w:color w:val="000000"/>
        </w:rPr>
        <w:t>40</w:t>
      </w:r>
      <w:r>
        <w:rPr>
          <w:color w:val="000000"/>
        </w:rPr>
        <w:t xml:space="preserve"> ods. 1 písm. </w:t>
      </w:r>
      <w:r w:rsidR="00AE0E88">
        <w:rPr>
          <w:color w:val="000000"/>
        </w:rPr>
        <w:t>e</w:t>
      </w:r>
      <w:bookmarkStart w:id="0" w:name="_GoBack"/>
      <w:bookmarkEnd w:id="0"/>
      <w:r w:rsidR="00E13535">
        <w:rPr>
          <w:color w:val="000000"/>
        </w:rPr>
        <w:t>)</w:t>
      </w:r>
      <w:r>
        <w:rPr>
          <w:color w:val="000000"/>
        </w:rPr>
        <w:t xml:space="preserve"> </w:t>
      </w:r>
      <w:r w:rsidR="00C621C2">
        <w:rPr>
          <w:color w:val="000000"/>
        </w:rPr>
        <w:t xml:space="preserve">zákona </w:t>
      </w:r>
      <w:r w:rsidRPr="00F44787">
        <w:rPr>
          <w:color w:val="000000"/>
        </w:rPr>
        <w:t xml:space="preserve">č. </w:t>
      </w:r>
      <w:r w:rsidRPr="00235BA3">
        <w:rPr>
          <w:color w:val="000000"/>
        </w:rPr>
        <w:t>.</w:t>
      </w:r>
      <w:r w:rsidR="00AB366F">
        <w:rPr>
          <w:color w:val="000000"/>
        </w:rPr>
        <w:t>..</w:t>
      </w:r>
      <w:r>
        <w:rPr>
          <w:color w:val="000000"/>
        </w:rPr>
        <w:t>/</w:t>
      </w:r>
      <w:r w:rsidR="00C621C2">
        <w:rPr>
          <w:color w:val="000000"/>
        </w:rPr>
        <w:t>2021</w:t>
      </w:r>
      <w:r w:rsidR="00AB366F">
        <w:rPr>
          <w:color w:val="000000"/>
        </w:rPr>
        <w:t xml:space="preserve"> Z. z.</w:t>
      </w:r>
      <w:r w:rsidRPr="00F44787">
        <w:rPr>
          <w:color w:val="000000"/>
        </w:rPr>
        <w:t xml:space="preserve"> o územnom plánovaní </w:t>
      </w:r>
      <w:r w:rsidR="00CB4355">
        <w:rPr>
          <w:color w:val="000000"/>
        </w:rPr>
        <w:t>ust</w:t>
      </w:r>
      <w:r w:rsidRPr="00F44787">
        <w:rPr>
          <w:color w:val="000000"/>
        </w:rPr>
        <w:t>anovuje:</w:t>
      </w:r>
    </w:p>
    <w:p w14:paraId="77B315D3" w14:textId="77777777" w:rsidR="00C621C2" w:rsidRPr="00F44787" w:rsidRDefault="00C621C2" w:rsidP="00C621C2">
      <w:pPr>
        <w:spacing w:before="100" w:beforeAutospacing="1"/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>§ 1</w:t>
      </w:r>
    </w:p>
    <w:p w14:paraId="2C594121" w14:textId="362A5F51" w:rsidR="008C6A92" w:rsidRPr="003B3C5A" w:rsidRDefault="00C621C2" w:rsidP="00C52051">
      <w:pPr>
        <w:jc w:val="both"/>
        <w:rPr>
          <w:bCs/>
          <w:color w:val="000000"/>
        </w:rPr>
      </w:pPr>
      <w:r w:rsidRPr="00F44787">
        <w:rPr>
          <w:color w:val="000000"/>
        </w:rPr>
        <w:br/>
      </w:r>
      <w:bookmarkStart w:id="1" w:name="_Hlk79345150"/>
      <w:bookmarkStart w:id="2" w:name="_Hlk79345169"/>
      <w:r w:rsidR="003B3C5A" w:rsidRPr="003B3C5A">
        <w:rPr>
          <w:bCs/>
          <w:color w:val="000000"/>
        </w:rPr>
        <w:t>Štruktúra údajov evidovaných v informačnom systéme územného plánovania a výstavby sa riadi technickými normami</w:t>
      </w:r>
      <w:r w:rsidR="001F34A5">
        <w:rPr>
          <w:rStyle w:val="Odkaznapoznmkupodiarou"/>
          <w:bCs/>
          <w:color w:val="000000"/>
        </w:rPr>
        <w:footnoteReference w:id="1"/>
      </w:r>
      <w:r w:rsidR="001F34A5">
        <w:rPr>
          <w:bCs/>
          <w:color w:val="000000"/>
        </w:rPr>
        <w:t>)</w:t>
      </w:r>
      <w:r w:rsidR="00065FB5">
        <w:rPr>
          <w:bCs/>
          <w:color w:val="000000"/>
        </w:rPr>
        <w:t xml:space="preserve"> </w:t>
      </w:r>
      <w:r w:rsidR="003B3C5A" w:rsidRPr="003B3C5A">
        <w:rPr>
          <w:bCs/>
          <w:color w:val="000000"/>
        </w:rPr>
        <w:t>alebo ich ekvivalentom, ak sa takýmto postupom dosiahne rovnaký výsledok. V prípade pochybnosti o vhodnosti použitia ekvivalentnej normy alebo špecifikácie podľa prvej vety je rozhodujúce vyjadrenie Úradu pre územné plánovanie a výstavbu Slovenskej republiky</w:t>
      </w:r>
      <w:bookmarkEnd w:id="1"/>
      <w:r w:rsidR="003B3C5A">
        <w:rPr>
          <w:bCs/>
          <w:color w:val="000000"/>
        </w:rPr>
        <w:t>.</w:t>
      </w:r>
      <w:bookmarkStart w:id="3" w:name="_Hlk79345323"/>
      <w:bookmarkEnd w:id="2"/>
    </w:p>
    <w:bookmarkEnd w:id="3"/>
    <w:p w14:paraId="77246407" w14:textId="77777777" w:rsidR="000D4B40" w:rsidRPr="007003FD" w:rsidRDefault="000D4B40" w:rsidP="007003FD">
      <w:pPr>
        <w:pStyle w:val="Odsekzoznamu"/>
        <w:jc w:val="both"/>
        <w:rPr>
          <w:color w:val="000000"/>
        </w:rPr>
      </w:pPr>
    </w:p>
    <w:p w14:paraId="4A1E66F7" w14:textId="77777777" w:rsidR="00E13535" w:rsidRPr="00174D68" w:rsidRDefault="00E13535" w:rsidP="00174D68">
      <w:pPr>
        <w:jc w:val="both"/>
      </w:pPr>
    </w:p>
    <w:p w14:paraId="24122BF2" w14:textId="77777777" w:rsidR="00657DAA" w:rsidRDefault="00A523B7" w:rsidP="00657DAA">
      <w:pPr>
        <w:spacing w:before="100" w:beforeAutospacing="1" w:after="100" w:afterAutospacing="1"/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 xml:space="preserve">§ </w:t>
      </w:r>
      <w:r w:rsidR="00E13535">
        <w:rPr>
          <w:b/>
          <w:bCs/>
          <w:color w:val="303030"/>
        </w:rPr>
        <w:t>2</w:t>
      </w:r>
    </w:p>
    <w:p w14:paraId="682C97A9" w14:textId="49F0B09B" w:rsidR="00A523B7" w:rsidRPr="00657DAA" w:rsidRDefault="00A523B7" w:rsidP="00657DAA">
      <w:pPr>
        <w:spacing w:before="100" w:beforeAutospacing="1" w:after="100" w:afterAutospacing="1"/>
        <w:outlineLvl w:val="4"/>
        <w:rPr>
          <w:b/>
          <w:bCs/>
          <w:color w:val="303030"/>
        </w:rPr>
      </w:pPr>
      <w:r w:rsidRPr="00F44787">
        <w:rPr>
          <w:color w:val="000000"/>
        </w:rPr>
        <w:br/>
        <w:t>Táto vyhláška nadobúda účinnosť</w:t>
      </w:r>
      <w:r w:rsidR="001F34A5">
        <w:rPr>
          <w:color w:val="000000"/>
        </w:rPr>
        <w:t xml:space="preserve"> </w:t>
      </w:r>
      <w:r w:rsidR="00C621C2">
        <w:rPr>
          <w:color w:val="000000"/>
        </w:rPr>
        <w:t>1. januára 202</w:t>
      </w:r>
      <w:r w:rsidR="009770DE">
        <w:rPr>
          <w:color w:val="000000"/>
        </w:rPr>
        <w:t>3</w:t>
      </w:r>
      <w:r w:rsidR="00C621C2">
        <w:rPr>
          <w:color w:val="000000"/>
        </w:rPr>
        <w:t>.</w:t>
      </w:r>
    </w:p>
    <w:p w14:paraId="11C329CE" w14:textId="77777777" w:rsidR="00A523B7" w:rsidRDefault="00A523B7" w:rsidP="00A523B7"/>
    <w:p w14:paraId="07277D89" w14:textId="77777777" w:rsidR="00A7127C" w:rsidRDefault="00A7127C" w:rsidP="00A523B7"/>
    <w:p w14:paraId="11079F01" w14:textId="77777777" w:rsidR="00A7127C" w:rsidRDefault="00A7127C" w:rsidP="00A523B7"/>
    <w:sectPr w:rsidR="00A7127C" w:rsidSect="00162952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ECE5D" w14:textId="77777777" w:rsidR="00924541" w:rsidRDefault="00924541">
      <w:r>
        <w:separator/>
      </w:r>
    </w:p>
  </w:endnote>
  <w:endnote w:type="continuationSeparator" w:id="0">
    <w:p w14:paraId="5AD38CAB" w14:textId="77777777" w:rsidR="00924541" w:rsidRDefault="0092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BC97A" w14:textId="77777777" w:rsidR="00924541" w:rsidRDefault="00924541">
      <w:r>
        <w:separator/>
      </w:r>
    </w:p>
  </w:footnote>
  <w:footnote w:type="continuationSeparator" w:id="0">
    <w:p w14:paraId="02A98C31" w14:textId="77777777" w:rsidR="00924541" w:rsidRDefault="00924541">
      <w:r>
        <w:continuationSeparator/>
      </w:r>
    </w:p>
  </w:footnote>
  <w:footnote w:id="1">
    <w:p w14:paraId="0237F15E" w14:textId="77777777" w:rsidR="001F34A5" w:rsidRPr="00365998" w:rsidRDefault="001F34A5" w:rsidP="001F34A5">
      <w:pPr>
        <w:pStyle w:val="Textpoznmkypodiarou"/>
      </w:pPr>
      <w:r>
        <w:rPr>
          <w:rStyle w:val="Odkaznapoznmkupodiarou"/>
        </w:rPr>
        <w:footnoteRef/>
      </w:r>
      <w:r>
        <w:t xml:space="preserve"> ) </w:t>
      </w:r>
      <w:r w:rsidRPr="00365998">
        <w:t>STN EN ISO 12006-3 Pozemné staviteľstvo – Usporiadanie informácií o stavebných prácach. Časť 3: Rámec pre objektovo orientované informácie, </w:t>
      </w:r>
    </w:p>
    <w:p w14:paraId="373362EA" w14:textId="77777777" w:rsidR="001F34A5" w:rsidRPr="00365998" w:rsidRDefault="001F34A5" w:rsidP="001F34A5">
      <w:pPr>
        <w:pStyle w:val="Textpoznmkypodiarou"/>
      </w:pPr>
      <w:r w:rsidRPr="00365998">
        <w:t>STN EN ISO 29481-1 Informačné modely stavieb (BIM). Príručka na odovzdávanie informácií. Časť 1: Metodika a formát, </w:t>
      </w:r>
    </w:p>
    <w:p w14:paraId="49667497" w14:textId="77777777" w:rsidR="001F34A5" w:rsidRPr="00365998" w:rsidRDefault="001F34A5" w:rsidP="001F34A5">
      <w:pPr>
        <w:pStyle w:val="Textpoznmkypodiarou"/>
      </w:pPr>
      <w:r w:rsidRPr="00365998">
        <w:t>STN EN ISO 29481-2 Informačné modely stavieb (BIM) – Príručka na odovzdávanie informácií. Časť 2: Rámec interakcie,</w:t>
      </w:r>
    </w:p>
    <w:p w14:paraId="7A939D91" w14:textId="77777777" w:rsidR="001F34A5" w:rsidRPr="00365998" w:rsidRDefault="001F34A5" w:rsidP="001F34A5">
      <w:pPr>
        <w:pStyle w:val="Textpoznmkypodiarou"/>
      </w:pPr>
      <w:r w:rsidRPr="00365998">
        <w:t>Norma, ktorá definuje dátový formát IFC, v pôvodnom jazyku ako STN EN ISO 16739 Dátový formát Industry </w:t>
      </w:r>
      <w:proofErr w:type="spellStart"/>
      <w:r w:rsidRPr="00365998">
        <w:t>Foundation</w:t>
      </w:r>
      <w:proofErr w:type="spellEnd"/>
      <w:r w:rsidRPr="00365998">
        <w:t> </w:t>
      </w:r>
      <w:proofErr w:type="spellStart"/>
      <w:r w:rsidRPr="00365998">
        <w:t>Classes</w:t>
      </w:r>
      <w:proofErr w:type="spellEnd"/>
      <w:r w:rsidRPr="00365998">
        <w:t> (IFC) pre zdieľanie dát v stavebníctve a </w:t>
      </w:r>
      <w:proofErr w:type="spellStart"/>
      <w:r w:rsidRPr="00365998">
        <w:t>facility</w:t>
      </w:r>
      <w:proofErr w:type="spellEnd"/>
      <w:r w:rsidRPr="00365998">
        <w:t> manažmente,</w:t>
      </w:r>
    </w:p>
    <w:p w14:paraId="0C10C647" w14:textId="77777777" w:rsidR="001F34A5" w:rsidRPr="00365998" w:rsidRDefault="001F34A5" w:rsidP="001F34A5">
      <w:pPr>
        <w:pStyle w:val="Textpoznmkypodiarou"/>
      </w:pPr>
      <w:r w:rsidRPr="00365998">
        <w:t>§ 5 zákona 3/2010 Z. z. o Národnej infraštruktúre priestorových informácií 1</w:t>
      </w:r>
      <w:r>
        <w:t>,</w:t>
      </w:r>
    </w:p>
    <w:p w14:paraId="7A935C58" w14:textId="77777777" w:rsidR="001F34A5" w:rsidRPr="00365998" w:rsidRDefault="001F34A5" w:rsidP="001F34A5">
      <w:pPr>
        <w:pStyle w:val="Textpoznmkypodiarou"/>
      </w:pPr>
      <w:r w:rsidRPr="00365998">
        <w:t>publikačné minimum verejnej správy.</w:t>
      </w:r>
    </w:p>
    <w:p w14:paraId="430CEB1F" w14:textId="6AE22F28" w:rsidR="001F34A5" w:rsidRDefault="001F34A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6D851" w14:textId="77777777" w:rsidR="00562EA4" w:rsidRDefault="00652BB5" w:rsidP="001568E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562EA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AA57616" w14:textId="77777777" w:rsidR="00562EA4" w:rsidRDefault="00562EA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36023" w14:textId="37671052" w:rsidR="00562EA4" w:rsidRDefault="00652BB5" w:rsidP="001568E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562EA4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F34A5">
      <w:rPr>
        <w:rStyle w:val="slostrany"/>
        <w:noProof/>
      </w:rPr>
      <w:t>2</w:t>
    </w:r>
    <w:r>
      <w:rPr>
        <w:rStyle w:val="slostrany"/>
      </w:rPr>
      <w:fldChar w:fldCharType="end"/>
    </w:r>
  </w:p>
  <w:p w14:paraId="7A5BF807" w14:textId="77777777" w:rsidR="00562EA4" w:rsidRDefault="00562EA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375"/>
    <w:multiLevelType w:val="multilevel"/>
    <w:tmpl w:val="9C04CC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E01ED8"/>
    <w:multiLevelType w:val="hybridMultilevel"/>
    <w:tmpl w:val="DF50A0EC"/>
    <w:lvl w:ilvl="0" w:tplc="21C6F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9BA3CA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8A380C"/>
    <w:multiLevelType w:val="hybridMultilevel"/>
    <w:tmpl w:val="EC16D086"/>
    <w:lvl w:ilvl="0" w:tplc="BB2C2B78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7B224A"/>
    <w:multiLevelType w:val="multilevel"/>
    <w:tmpl w:val="6216744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83A47F1"/>
    <w:multiLevelType w:val="multilevel"/>
    <w:tmpl w:val="C05E9038"/>
    <w:lvl w:ilvl="0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(%2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48B62566"/>
    <w:multiLevelType w:val="multilevel"/>
    <w:tmpl w:val="DE4CC0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60363234"/>
    <w:multiLevelType w:val="hybridMultilevel"/>
    <w:tmpl w:val="30E06054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0CE7A5F"/>
    <w:multiLevelType w:val="hybridMultilevel"/>
    <w:tmpl w:val="F72CDC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FC39AB"/>
    <w:multiLevelType w:val="hybridMultilevel"/>
    <w:tmpl w:val="8D9046A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CD733C"/>
    <w:multiLevelType w:val="hybridMultilevel"/>
    <w:tmpl w:val="454604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282062"/>
    <w:multiLevelType w:val="hybridMultilevel"/>
    <w:tmpl w:val="9C56381C"/>
    <w:lvl w:ilvl="0" w:tplc="25CC51B2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D1"/>
    <w:rsid w:val="000207E8"/>
    <w:rsid w:val="00026E28"/>
    <w:rsid w:val="00030657"/>
    <w:rsid w:val="00057930"/>
    <w:rsid w:val="00065FB5"/>
    <w:rsid w:val="00070D76"/>
    <w:rsid w:val="000710B8"/>
    <w:rsid w:val="00081758"/>
    <w:rsid w:val="00084463"/>
    <w:rsid w:val="000A1C9E"/>
    <w:rsid w:val="000D0999"/>
    <w:rsid w:val="000D4B40"/>
    <w:rsid w:val="00105D4B"/>
    <w:rsid w:val="00114D21"/>
    <w:rsid w:val="001243EB"/>
    <w:rsid w:val="0014552C"/>
    <w:rsid w:val="001466C8"/>
    <w:rsid w:val="001568ED"/>
    <w:rsid w:val="00156E46"/>
    <w:rsid w:val="00162952"/>
    <w:rsid w:val="00174D68"/>
    <w:rsid w:val="00180549"/>
    <w:rsid w:val="00192B31"/>
    <w:rsid w:val="00193D57"/>
    <w:rsid w:val="001B60CB"/>
    <w:rsid w:val="001B7278"/>
    <w:rsid w:val="001C045D"/>
    <w:rsid w:val="001E2CEF"/>
    <w:rsid w:val="001F34A5"/>
    <w:rsid w:val="00243A5C"/>
    <w:rsid w:val="00250B53"/>
    <w:rsid w:val="00272CD4"/>
    <w:rsid w:val="00285389"/>
    <w:rsid w:val="002B236D"/>
    <w:rsid w:val="00301752"/>
    <w:rsid w:val="00365998"/>
    <w:rsid w:val="003972C7"/>
    <w:rsid w:val="003A27A0"/>
    <w:rsid w:val="003A41A5"/>
    <w:rsid w:val="003B3C5A"/>
    <w:rsid w:val="003B7A14"/>
    <w:rsid w:val="0040357F"/>
    <w:rsid w:val="00404885"/>
    <w:rsid w:val="00444D0E"/>
    <w:rsid w:val="004649F2"/>
    <w:rsid w:val="00473B6B"/>
    <w:rsid w:val="00487295"/>
    <w:rsid w:val="00493132"/>
    <w:rsid w:val="004C1735"/>
    <w:rsid w:val="004C5D58"/>
    <w:rsid w:val="004E512B"/>
    <w:rsid w:val="0051282A"/>
    <w:rsid w:val="00522284"/>
    <w:rsid w:val="0053766B"/>
    <w:rsid w:val="0055696D"/>
    <w:rsid w:val="00562EA4"/>
    <w:rsid w:val="00580FEF"/>
    <w:rsid w:val="00584BB4"/>
    <w:rsid w:val="0059365A"/>
    <w:rsid w:val="005A5FBE"/>
    <w:rsid w:val="005C5214"/>
    <w:rsid w:val="005F6EB5"/>
    <w:rsid w:val="00643B31"/>
    <w:rsid w:val="00652BB5"/>
    <w:rsid w:val="00657DAA"/>
    <w:rsid w:val="00665C93"/>
    <w:rsid w:val="00667CB6"/>
    <w:rsid w:val="00682895"/>
    <w:rsid w:val="00694E4A"/>
    <w:rsid w:val="00697A3F"/>
    <w:rsid w:val="006D79EB"/>
    <w:rsid w:val="007003FD"/>
    <w:rsid w:val="00700D8E"/>
    <w:rsid w:val="00766CA5"/>
    <w:rsid w:val="00784A62"/>
    <w:rsid w:val="00786B65"/>
    <w:rsid w:val="007A6CFF"/>
    <w:rsid w:val="007C74FA"/>
    <w:rsid w:val="008023EF"/>
    <w:rsid w:val="00823FFD"/>
    <w:rsid w:val="0084521D"/>
    <w:rsid w:val="0086204A"/>
    <w:rsid w:val="00886BF8"/>
    <w:rsid w:val="00887216"/>
    <w:rsid w:val="00893DAB"/>
    <w:rsid w:val="00894049"/>
    <w:rsid w:val="008C157F"/>
    <w:rsid w:val="008C6A92"/>
    <w:rsid w:val="009051F9"/>
    <w:rsid w:val="00910FD9"/>
    <w:rsid w:val="00924541"/>
    <w:rsid w:val="00946D68"/>
    <w:rsid w:val="00964BF1"/>
    <w:rsid w:val="00966962"/>
    <w:rsid w:val="009770DE"/>
    <w:rsid w:val="00987644"/>
    <w:rsid w:val="009A6F1E"/>
    <w:rsid w:val="009C1341"/>
    <w:rsid w:val="009E0576"/>
    <w:rsid w:val="00A075B5"/>
    <w:rsid w:val="00A1102C"/>
    <w:rsid w:val="00A45EFD"/>
    <w:rsid w:val="00A523B7"/>
    <w:rsid w:val="00A7127C"/>
    <w:rsid w:val="00A9568B"/>
    <w:rsid w:val="00AA473F"/>
    <w:rsid w:val="00AB366F"/>
    <w:rsid w:val="00AC1CA9"/>
    <w:rsid w:val="00AE0E88"/>
    <w:rsid w:val="00AE4F85"/>
    <w:rsid w:val="00AF06D4"/>
    <w:rsid w:val="00B31AFA"/>
    <w:rsid w:val="00B47FCE"/>
    <w:rsid w:val="00B672FD"/>
    <w:rsid w:val="00B736A7"/>
    <w:rsid w:val="00B90F99"/>
    <w:rsid w:val="00C0730E"/>
    <w:rsid w:val="00C26FC3"/>
    <w:rsid w:val="00C33D1F"/>
    <w:rsid w:val="00C401AD"/>
    <w:rsid w:val="00C52051"/>
    <w:rsid w:val="00C621C2"/>
    <w:rsid w:val="00C7079E"/>
    <w:rsid w:val="00C736E4"/>
    <w:rsid w:val="00C83D0E"/>
    <w:rsid w:val="00C96A89"/>
    <w:rsid w:val="00CB4355"/>
    <w:rsid w:val="00CD438C"/>
    <w:rsid w:val="00CF2EB2"/>
    <w:rsid w:val="00CF6B5A"/>
    <w:rsid w:val="00D26DEB"/>
    <w:rsid w:val="00D275F0"/>
    <w:rsid w:val="00D32BEA"/>
    <w:rsid w:val="00D337B3"/>
    <w:rsid w:val="00D55B0F"/>
    <w:rsid w:val="00D57A59"/>
    <w:rsid w:val="00DB069C"/>
    <w:rsid w:val="00DB5BB3"/>
    <w:rsid w:val="00DC2D7B"/>
    <w:rsid w:val="00DD11D1"/>
    <w:rsid w:val="00E10CAC"/>
    <w:rsid w:val="00E12E2B"/>
    <w:rsid w:val="00E13535"/>
    <w:rsid w:val="00E3420A"/>
    <w:rsid w:val="00E34D1B"/>
    <w:rsid w:val="00E53FE5"/>
    <w:rsid w:val="00E565A3"/>
    <w:rsid w:val="00E56ADA"/>
    <w:rsid w:val="00E62067"/>
    <w:rsid w:val="00E72044"/>
    <w:rsid w:val="00E73F32"/>
    <w:rsid w:val="00EC18E5"/>
    <w:rsid w:val="00EC383D"/>
    <w:rsid w:val="00F30ADF"/>
    <w:rsid w:val="00F41E7F"/>
    <w:rsid w:val="00F51D83"/>
    <w:rsid w:val="00F91C12"/>
    <w:rsid w:val="00FB2AF8"/>
    <w:rsid w:val="00FC55F3"/>
    <w:rsid w:val="00FD3074"/>
    <w:rsid w:val="00FD4472"/>
    <w:rsid w:val="00FF443D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A32FE"/>
  <w15:docId w15:val="{EE426FCA-ED6A-446F-B81D-2400E60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66C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80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DD11D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lang w:val="cs-CZ" w:eastAsia="cs-CZ"/>
    </w:rPr>
  </w:style>
  <w:style w:type="character" w:styleId="Siln">
    <w:name w:val="Strong"/>
    <w:basedOn w:val="Predvolenpsmoodseku"/>
    <w:uiPriority w:val="22"/>
    <w:qFormat/>
    <w:rsid w:val="00C83D0E"/>
    <w:rPr>
      <w:rFonts w:cs="Times New Roman"/>
      <w:b/>
    </w:rPr>
  </w:style>
  <w:style w:type="paragraph" w:customStyle="1" w:styleId="as-slovanie">
    <w:name w:val="as-slovanie"/>
    <w:basedOn w:val="Normlny"/>
    <w:rsid w:val="00C83D0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C83D0E"/>
    <w:pPr>
      <w:tabs>
        <w:tab w:val="left" w:pos="360"/>
      </w:tabs>
      <w:autoSpaceDE w:val="0"/>
      <w:autoSpaceDN w:val="0"/>
      <w:adjustRightInd w:val="0"/>
      <w:jc w:val="both"/>
    </w:pPr>
    <w:rPr>
      <w:rFonts w:cs="Arial"/>
      <w:sz w:val="22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1466C8"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98764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1466C8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1629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466C8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162952"/>
    <w:rPr>
      <w:rFonts w:cs="Times New Roman"/>
    </w:rPr>
  </w:style>
  <w:style w:type="paragraph" w:customStyle="1" w:styleId="Nzovpredpisu">
    <w:name w:val="Názov predpisu"/>
    <w:basedOn w:val="Normlny"/>
    <w:rsid w:val="00C96A89"/>
    <w:pPr>
      <w:spacing w:line="288" w:lineRule="auto"/>
      <w:jc w:val="center"/>
    </w:pPr>
    <w:rPr>
      <w:b/>
      <w:sz w:val="28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4048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04885"/>
  </w:style>
  <w:style w:type="character" w:styleId="Odkaznapoznmkupodiarou">
    <w:name w:val="footnote reference"/>
    <w:basedOn w:val="Predvolenpsmoodseku"/>
    <w:uiPriority w:val="99"/>
    <w:rsid w:val="00404885"/>
    <w:rPr>
      <w:rFonts w:ascii="Times New Roman" w:hAnsi="Times New Roman"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580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580FEF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E13535"/>
    <w:pPr>
      <w:ind w:left="720"/>
      <w:contextualSpacing/>
    </w:pPr>
  </w:style>
  <w:style w:type="character" w:customStyle="1" w:styleId="normaltextrun">
    <w:name w:val="normaltextrun"/>
    <w:basedOn w:val="Predvolenpsmoodseku"/>
    <w:rsid w:val="00E13535"/>
  </w:style>
  <w:style w:type="character" w:customStyle="1" w:styleId="eop">
    <w:name w:val="eop"/>
    <w:basedOn w:val="Predvolenpsmoodseku"/>
    <w:rsid w:val="00E13535"/>
  </w:style>
  <w:style w:type="paragraph" w:styleId="Textbubliny">
    <w:name w:val="Balloon Text"/>
    <w:basedOn w:val="Normlny"/>
    <w:link w:val="TextbublinyChar"/>
    <w:semiHidden/>
    <w:unhideWhenUsed/>
    <w:rsid w:val="00174D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7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yhlaska-struktura-udajov-IS"/>
    <f:field ref="objsubject" par="" edit="true" text=""/>
    <f:field ref="objcreatedby" par="" text="Semanco, Martin, JUDr."/>
    <f:field ref="objcreatedat" par="" text="29.6.2021 17:56:32"/>
    <f:field ref="objchangedby" par="" text="Administrator, System"/>
    <f:field ref="objmodifiedat" par="" text="29.6.2021 17:56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3150996-9C43-4129-B178-91117F6C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o d k l a d</vt:lpstr>
    </vt:vector>
  </TitlesOfParts>
  <Company>MVRR SR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k l a d</dc:title>
  <dc:creator>Administrator</dc:creator>
  <cp:lastModifiedBy>Semanco Martin</cp:lastModifiedBy>
  <cp:revision>3</cp:revision>
  <cp:lastPrinted>2021-09-23T10:22:00Z</cp:lastPrinted>
  <dcterms:created xsi:type="dcterms:W3CDTF">2021-09-23T10:22:00Z</dcterms:created>
  <dcterms:modified xsi:type="dcterms:W3CDTF">2021-10-14T09:20:00Z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style="text-align:justify;text-indent:35.4pt"&gt;Verejnosť nebola o&amp;nbsp;príprave návrhu zákona o&amp;nbsp;územnom plánovaní informovaná prostredníctvom predbežnej informácie k&amp;nbsp;predmetnému návrhu zákona zverejnenej v&amp;nbsp;informačnom systéme verejnej spr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Stavebníctvo a architektúra_x000d_
Územná samospráva_x000d_
Štátna správa_x000d_
Posudzovanie vplyvov na životné prostredie_x000d_
Geológia, geodézia, kartografia_x000d_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Semanco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Andrej Doležal</vt:lpwstr>
  </property>
  <property fmtid="{D5CDD505-2E9C-101B-9397-08002B2CF9AE}" pid="14" name="FSC#SKEDITIONSLOVLEX@103.510:nazovpredpis">
    <vt:lpwstr> o územnom plánovaní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SR na roky 2021-2024</vt:lpwstr>
  </property>
  <property fmtid="{D5CDD505-2E9C-101B-9397-08002B2CF9AE}" pid="23" name="FSC#SKEDITIONSLOVLEX@103.510:plnynazovpredpis">
    <vt:lpwstr> Zákon o územnom plánovaní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4070/2021/OLOUOSS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LP/2021/347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</vt:lpwstr>
  </property>
  <property fmtid="{D5CDD505-2E9C-101B-9397-08002B2CF9AE}" pid="47" name="FSC#SKEDITIONSLOVLEX@103.510:AttrStrListDocPropSekundarneLegPravoPO">
    <vt:lpwstr>smernica Európskeho parlamentu a Rady 2001/42/ES z 27. júna 2001 o posudzovaní účinkov určitých plánov a programov na životné prostredie (Ú. v. ES L 197, 21.7.2001; Mimoriadne vydanie Ú. v. EÚ, kap. 15/zv. 6)- gestor: Ministerstvo životného prostredia SR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</vt:lpwstr>
  </property>
  <property fmtid="{D5CDD505-2E9C-101B-9397-08002B2CF9AE}" pid="52" name="FSC#SKEDITIONSLOVLEX@103.510:AttrStrListDocPropLehotaPrebratieSmernice">
    <vt:lpwstr>lehota na prebranie smernice Európskeho parlamentu a Rady 2001/42/ES z 27. júna 2001 o posudzovaní účinkov určitých plánov a programov na životné prostredie (Ú. v. ES L 197, 21.7.2001; Mimoriadne vydanie Ú. v. EÚ, kap. 15/zv. 6)- 21. júla 2004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informácia o právnych predpisoch, v ktorých je smernica 2001/42/ES už prebratá spolu s uvedením rozsahu ich prebratia:_x000d_
Zákon č. 24/2006 Z. z. o posudzovaní vplyvov na životné prostredie a o zmene a doplnení niektorých zákonov v znení neskorších predpisov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19. 4. 2021</vt:lpwstr>
  </property>
  <property fmtid="{D5CDD505-2E9C-101B-9397-08002B2CF9AE}" pid="59" name="FSC#SKEDITIONSLOVLEX@103.510:AttrDateDocPropUkonceniePKK">
    <vt:lpwstr>3. 5. 2021</vt:lpwstr>
  </property>
  <property fmtid="{D5CDD505-2E9C-101B-9397-08002B2CF9AE}" pid="60" name="FSC#SKEDITIONSLOVLEX@103.510:AttrStrDocPropVplyvRozpocetVS">
    <vt:lpwstr>Žiadne_x000d_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&lt;p&gt;&lt;strong&gt;V &lt;/strong&gt;zmysle pripomienok z&amp;nbsp;MPK&lt;/p&gt;&lt;ul&gt;	&lt;li&gt;kvôli prehľadnosti a&amp;nbsp; sú kvantifikované vplyvy na rozpočet verejnej správy predložených materiálov iba v jednom z&amp;nbsp;nich – pri Kompetenčnom zákone,&lt;/li&gt;	&lt;li&gt;analýza vplyvov na podnika</vt:lpwstr>
  </property>
  <property fmtid="{D5CDD505-2E9C-101B-9397-08002B2CF9AE}" pid="66" name="FSC#SKEDITIONSLOVLEX@103.510:AttrStrListDocPropAltRiesenia">
    <vt:lpwstr>Pri príprave nového konceptu boli zvažované alternatívne návrhy.Alternatíva	krátky popis	popisA1	as is 	Žiadna zmena legislatívy. Žiadny IS. (tj ponechanie procesov územného plánovania a procesov výstavby úpravou doterajšieho zákona č. 50/1976 Zb. o územn</vt:lpwstr>
  </property>
  <property fmtid="{D5CDD505-2E9C-101B-9397-08002B2CF9AE}" pid="67" name="FSC#SKEDITIONSLOVLEX@103.510:AttrStrListDocPropStanoviskoGest">
    <vt:lpwstr>&lt;table border="1" cellpadding="0" cellspacing="0" width="918"&gt;	&lt;tbody&gt;		&lt;tr&gt;			&lt;td style="width:611px;"&gt;			&lt;p&gt;&lt;em&gt;Uveďte stanovisko Komisie pre posudzovanie vybraných vplyvov, ktoré Vám bolo zaslané v&amp;nbsp;rámci predbežného pripomienkového konania&lt;/em&gt;&lt;/p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Slovenskej republiky_x000d_
ministri_x000d_
predsedovia ostatných ústredných orgánov štátnej správy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minister dopravy a výstavby Slovenskej republiky, </vt:lpwstr>
  </property>
  <property fmtid="{D5CDD505-2E9C-101B-9397-08002B2CF9AE}" pid="145" name="FSC#SKEDITIONSLOVLEX@103.510:funkciaDalsiPredAkuzativ">
    <vt:lpwstr>ministra dopravy a výstavby Slovenskej republiky, </vt:lpwstr>
  </property>
  <property fmtid="{D5CDD505-2E9C-101B-9397-08002B2CF9AE}" pid="146" name="FSC#SKEDITIONSLOVLEX@103.510:funkciaDalsiPredDativ">
    <vt:lpwstr>ministrovi dopravy a výstavby Slovenskej republiky, </vt:lpwstr>
  </property>
  <property fmtid="{D5CDD505-2E9C-101B-9397-08002B2CF9AE}" pid="147" name="FSC#SKEDITIONSLOVLEX@103.510:predkladateliaObalSD">
    <vt:lpwstr>Štefan Holý_x000d_
podpredseda vlády Slovenskej republiky_x000d_
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&lt;p&gt;Podpredseda vlády Slovenskej republiky a&amp;nbsp;minister dopravy a&amp;nbsp;výstavby Slovenskej republiky predkladajú návrh zákona o&amp;nbsp;územnom plánovaní (ďalej len „návrh zákona“) vypracovaný na základe Programového vyhlásenia vlády Slovenskej republiky n</vt:lpwstr>
  </property>
  <property fmtid="{D5CDD505-2E9C-101B-9397-08002B2CF9AE}" pid="150" name="FSC#SKEDITIONSLOVLEX@103.510:vytvorenedna">
    <vt:lpwstr>29. 6. 2021</vt:lpwstr>
  </property>
  <property fmtid="{D5CDD505-2E9C-101B-9397-08002B2CF9AE}" pid="151" name="FSC#COOSYSTEM@1.1:Container">
    <vt:lpwstr>COO.2145.1000.3.4439995</vt:lpwstr>
  </property>
  <property fmtid="{D5CDD505-2E9C-101B-9397-08002B2CF9AE}" pid="152" name="FSC#FSCFOLIO@1.1001:docpropproject">
    <vt:lpwstr/>
  </property>
</Properties>
</file>