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B7" w:rsidRPr="00A7127C" w:rsidRDefault="00487295" w:rsidP="00487295">
      <w:pPr>
        <w:spacing w:before="100" w:beforeAutospacing="1" w:line="276" w:lineRule="auto"/>
        <w:jc w:val="center"/>
        <w:outlineLvl w:val="1"/>
        <w:rPr>
          <w:b/>
          <w:bCs/>
        </w:rPr>
      </w:pPr>
      <w:bookmarkStart w:id="0" w:name="_GoBack"/>
      <w:bookmarkEnd w:id="0"/>
      <w:r w:rsidRPr="00A7127C">
        <w:rPr>
          <w:b/>
          <w:bCs/>
        </w:rPr>
        <w:t>„</w:t>
      </w:r>
      <w:r w:rsidR="00A523B7" w:rsidRPr="00A7127C">
        <w:rPr>
          <w:b/>
          <w:bCs/>
        </w:rPr>
        <w:t>VYHLÁŠKA</w:t>
      </w:r>
      <w:r w:rsidR="00A523B7" w:rsidRPr="00A7127C">
        <w:rPr>
          <w:b/>
          <w:bCs/>
        </w:rPr>
        <w:br/>
      </w:r>
      <w:r w:rsidR="00C621C2" w:rsidRPr="00A7127C">
        <w:rPr>
          <w:b/>
          <w:bCs/>
        </w:rPr>
        <w:t xml:space="preserve">Úradu pre územné plánovanie </w:t>
      </w:r>
      <w:r w:rsidR="0084521D" w:rsidRPr="00A7127C">
        <w:rPr>
          <w:b/>
          <w:bCs/>
        </w:rPr>
        <w:t>a</w:t>
      </w:r>
      <w:r w:rsidR="00CF2EB2" w:rsidRPr="00A7127C">
        <w:rPr>
          <w:b/>
          <w:bCs/>
        </w:rPr>
        <w:t xml:space="preserve"> výstavb</w:t>
      </w:r>
      <w:r w:rsidR="00C621C2" w:rsidRPr="00A7127C">
        <w:rPr>
          <w:b/>
          <w:bCs/>
        </w:rPr>
        <w:t>u</w:t>
      </w:r>
      <w:r w:rsidR="00A523B7" w:rsidRPr="00A7127C">
        <w:rPr>
          <w:b/>
          <w:bCs/>
        </w:rPr>
        <w:t xml:space="preserve"> Slovenskej republiky </w:t>
      </w:r>
    </w:p>
    <w:p w:rsidR="00487295" w:rsidRPr="00A7127C" w:rsidRDefault="00487295" w:rsidP="00487295">
      <w:pPr>
        <w:spacing w:line="276" w:lineRule="auto"/>
        <w:jc w:val="center"/>
        <w:rPr>
          <w:b/>
        </w:rPr>
      </w:pPr>
      <w:r w:rsidRPr="00A7127C">
        <w:rPr>
          <w:b/>
        </w:rPr>
        <w:t xml:space="preserve">z </w:t>
      </w:r>
      <w:r w:rsidR="00C621C2" w:rsidRPr="00A7127C">
        <w:rPr>
          <w:b/>
        </w:rPr>
        <w:t>2022</w:t>
      </w:r>
      <w:r w:rsidRPr="00A7127C">
        <w:rPr>
          <w:b/>
        </w:rPr>
        <w:t>,</w:t>
      </w:r>
    </w:p>
    <w:p w:rsidR="00682895" w:rsidRPr="00A7127C" w:rsidRDefault="00C621C2" w:rsidP="00682895">
      <w:pPr>
        <w:spacing w:line="276" w:lineRule="auto"/>
        <w:jc w:val="center"/>
        <w:rPr>
          <w:b/>
        </w:rPr>
      </w:pPr>
      <w:r w:rsidRPr="00A7127C">
        <w:rPr>
          <w:b/>
        </w:rPr>
        <w:t>o</w:t>
      </w:r>
      <w:r w:rsidR="00B672FD">
        <w:rPr>
          <w:b/>
        </w:rPr>
        <w:t> spôsobe výpočtu a výšky náhrady za obmedzenie vlastníckeho práva pri stavebnej uzávere</w:t>
      </w:r>
      <w:r w:rsidR="00487295" w:rsidRPr="00A7127C">
        <w:rPr>
          <w:b/>
          <w:bCs/>
        </w:rPr>
        <w:t>“</w:t>
      </w:r>
    </w:p>
    <w:p w:rsidR="00682895" w:rsidRDefault="00682895" w:rsidP="00682895">
      <w:pPr>
        <w:spacing w:line="276" w:lineRule="auto"/>
        <w:jc w:val="center"/>
      </w:pPr>
    </w:p>
    <w:p w:rsidR="00A523B7" w:rsidRPr="00682895" w:rsidRDefault="00A523B7" w:rsidP="00682895">
      <w:pPr>
        <w:spacing w:line="276" w:lineRule="auto"/>
        <w:jc w:val="both"/>
      </w:pPr>
      <w:r w:rsidRPr="00F44787">
        <w:rPr>
          <w:color w:val="000000"/>
        </w:rPr>
        <w:br/>
      </w:r>
      <w:r w:rsidR="00C621C2">
        <w:rPr>
          <w:color w:val="000000"/>
        </w:rPr>
        <w:t>Úrad pre územné plánovanie</w:t>
      </w:r>
      <w:r w:rsidR="0084521D">
        <w:rPr>
          <w:color w:val="000000"/>
        </w:rPr>
        <w:t xml:space="preserve"> </w:t>
      </w:r>
      <w:r w:rsidRPr="00235BA3">
        <w:rPr>
          <w:color w:val="000000"/>
        </w:rPr>
        <w:t xml:space="preserve"> </w:t>
      </w:r>
      <w:r w:rsidR="00243A5C">
        <w:rPr>
          <w:color w:val="000000"/>
        </w:rPr>
        <w:t xml:space="preserve">a </w:t>
      </w:r>
      <w:r w:rsidRPr="00235BA3">
        <w:rPr>
          <w:color w:val="000000"/>
        </w:rPr>
        <w:t>výstavb</w:t>
      </w:r>
      <w:r w:rsidR="00C621C2">
        <w:rPr>
          <w:color w:val="000000"/>
        </w:rPr>
        <w:t>u</w:t>
      </w:r>
      <w:r w:rsidRPr="00235BA3">
        <w:rPr>
          <w:color w:val="000000"/>
        </w:rPr>
        <w:t xml:space="preserve">  </w:t>
      </w:r>
      <w:r w:rsidRPr="00F44787">
        <w:rPr>
          <w:color w:val="000000"/>
        </w:rPr>
        <w:t xml:space="preserve">Slovenskej republiky podľa § </w:t>
      </w:r>
      <w:r w:rsidR="009C520D">
        <w:rPr>
          <w:color w:val="000000"/>
        </w:rPr>
        <w:t xml:space="preserve">40 </w:t>
      </w:r>
      <w:r>
        <w:rPr>
          <w:color w:val="000000"/>
        </w:rPr>
        <w:t xml:space="preserve">ods. 1 písm. </w:t>
      </w:r>
      <w:r w:rsidR="00B672FD">
        <w:rPr>
          <w:color w:val="000000"/>
        </w:rPr>
        <w:t>d</w:t>
      </w:r>
      <w:r w:rsidR="009B4946">
        <w:rPr>
          <w:color w:val="000000"/>
        </w:rPr>
        <w:t>)</w:t>
      </w:r>
      <w:r>
        <w:rPr>
          <w:color w:val="000000"/>
        </w:rPr>
        <w:t xml:space="preserve"> </w:t>
      </w:r>
      <w:r w:rsidR="00C621C2">
        <w:rPr>
          <w:color w:val="000000"/>
        </w:rPr>
        <w:t xml:space="preserve">zákona </w:t>
      </w:r>
      <w:r w:rsidRPr="00F44787">
        <w:rPr>
          <w:color w:val="000000"/>
        </w:rPr>
        <w:t xml:space="preserve">č. </w:t>
      </w:r>
      <w:r w:rsidRPr="00235BA3">
        <w:rPr>
          <w:color w:val="000000"/>
        </w:rPr>
        <w:t>.</w:t>
      </w:r>
      <w:r w:rsidR="00AB366F">
        <w:rPr>
          <w:color w:val="000000"/>
        </w:rPr>
        <w:t>..</w:t>
      </w:r>
      <w:r>
        <w:rPr>
          <w:color w:val="000000"/>
        </w:rPr>
        <w:t>/</w:t>
      </w:r>
      <w:r w:rsidR="00C621C2">
        <w:rPr>
          <w:color w:val="000000"/>
        </w:rPr>
        <w:t>2021</w:t>
      </w:r>
      <w:r w:rsidR="00AB366F">
        <w:rPr>
          <w:color w:val="000000"/>
        </w:rPr>
        <w:t xml:space="preserve"> Z. z.</w:t>
      </w:r>
      <w:r w:rsidRPr="00F44787">
        <w:rPr>
          <w:color w:val="000000"/>
        </w:rPr>
        <w:t xml:space="preserve"> o územnom plánovaní </w:t>
      </w:r>
      <w:r w:rsidR="00CB4355">
        <w:rPr>
          <w:color w:val="000000"/>
        </w:rPr>
        <w:t>ust</w:t>
      </w:r>
      <w:r w:rsidRPr="00F44787">
        <w:rPr>
          <w:color w:val="000000"/>
        </w:rPr>
        <w:t>anovuje:</w:t>
      </w:r>
    </w:p>
    <w:p w:rsidR="00C621C2" w:rsidRPr="00F44787" w:rsidRDefault="00C621C2" w:rsidP="00C621C2">
      <w:pPr>
        <w:spacing w:before="100" w:beforeAutospacing="1"/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>§ 1</w:t>
      </w:r>
    </w:p>
    <w:p w:rsidR="003F5EDA" w:rsidRPr="00273845" w:rsidRDefault="00C621C2" w:rsidP="003F5EDA">
      <w:pPr>
        <w:jc w:val="both"/>
        <w:rPr>
          <w:bCs/>
          <w:color w:val="303030"/>
        </w:rPr>
      </w:pPr>
      <w:r w:rsidRPr="00F44787">
        <w:rPr>
          <w:color w:val="000000"/>
        </w:rPr>
        <w:br/>
        <w:t xml:space="preserve">(1) </w:t>
      </w:r>
      <w:r w:rsidR="003F5EDA">
        <w:rPr>
          <w:color w:val="000000"/>
        </w:rPr>
        <w:t xml:space="preserve">Výška náhrady za obmedzenie vlastníckeho práva pri stavebnej uzávere sa stanoví výpočtom podľa vzťahu </w:t>
      </w:r>
    </w:p>
    <w:p w:rsidR="004F6B06" w:rsidRDefault="004F6B06" w:rsidP="00C621C2">
      <w:pPr>
        <w:jc w:val="both"/>
        <w:rPr>
          <w:color w:val="000000"/>
        </w:rPr>
      </w:pPr>
    </w:p>
    <w:p w:rsidR="004F6B06" w:rsidRDefault="004F6B06" w:rsidP="0079006D">
      <w:pPr>
        <w:jc w:val="center"/>
        <w:rPr>
          <w:color w:val="000000"/>
        </w:rPr>
      </w:pPr>
    </w:p>
    <w:p w:rsidR="00A936D0" w:rsidRPr="00210D07" w:rsidRDefault="004F6B06">
      <w:pPr>
        <w:rPr>
          <w:sz w:val="36"/>
          <w:szCs w:val="36"/>
        </w:rPr>
      </w:pPr>
      <w:r>
        <w:rPr>
          <w:rFonts w:ascii="Segoe UI" w:hAnsi="Segoe UI" w:cs="Segoe UI"/>
          <w:color w:val="494949"/>
          <w:sz w:val="21"/>
          <w:szCs w:val="21"/>
        </w:rPr>
        <w:br/>
      </w:r>
      <m:oMathPara>
        <m:oMath>
          <m:r>
            <w:rPr>
              <w:rFonts w:ascii="Cambria Math" w:hAnsi="Cambria Math"/>
              <w:sz w:val="36"/>
              <w:szCs w:val="36"/>
            </w:rPr>
            <m:t>VNstu=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VŠHpozmj*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1+k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*k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1+k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-1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</w:rPr>
                    <m:t>*kn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365</m:t>
                  </m:r>
                </m:den>
              </m:f>
            </m:e>
          </m:d>
          <m:r>
            <w:rPr>
              <w:rFonts w:ascii="Cambria Math" w:hAnsi="Cambria Math"/>
              <w:sz w:val="36"/>
              <w:szCs w:val="36"/>
            </w:rPr>
            <m:t>*t</m:t>
          </m:r>
        </m:oMath>
      </m:oMathPara>
    </w:p>
    <w:p w:rsidR="00C621C2" w:rsidRPr="0079006D" w:rsidRDefault="00C621C2" w:rsidP="004F6B06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C621C2" w:rsidRDefault="00C621C2" w:rsidP="00C621C2">
      <w:pPr>
        <w:jc w:val="both"/>
        <w:rPr>
          <w:color w:val="000000"/>
        </w:rPr>
      </w:pPr>
    </w:p>
    <w:p w:rsidR="00C621C2" w:rsidRDefault="004F6B06" w:rsidP="00C621C2">
      <w:pPr>
        <w:jc w:val="both"/>
        <w:rPr>
          <w:color w:val="000000"/>
        </w:rPr>
      </w:pPr>
      <w:r>
        <w:rPr>
          <w:color w:val="000000"/>
        </w:rPr>
        <w:t>Kde:</w:t>
      </w:r>
    </w:p>
    <w:p w:rsidR="004F6B06" w:rsidRDefault="004F6B06" w:rsidP="00C621C2">
      <w:pPr>
        <w:jc w:val="both"/>
        <w:rPr>
          <w:color w:val="000000"/>
        </w:rPr>
      </w:pPr>
    </w:p>
    <w:p w:rsidR="004F6B06" w:rsidRDefault="00C14662" w:rsidP="00C621C2">
      <w:pPr>
        <w:jc w:val="both"/>
        <w:rPr>
          <w:color w:val="000000"/>
        </w:rPr>
      </w:pPr>
      <w:r>
        <w:rPr>
          <w:color w:val="000000"/>
        </w:rPr>
        <w:t>VN</w:t>
      </w:r>
      <w:r w:rsidRPr="00C14662">
        <w:rPr>
          <w:color w:val="000000"/>
          <w:vertAlign w:val="subscript"/>
        </w:rPr>
        <w:t>stu</w:t>
      </w:r>
      <w:r w:rsidR="00210D07">
        <w:rPr>
          <w:color w:val="000000"/>
          <w:vertAlign w:val="subscript"/>
        </w:rPr>
        <w:t xml:space="preserve"> </w:t>
      </w:r>
      <w:r w:rsidR="00210D07">
        <w:rPr>
          <w:color w:val="000000"/>
        </w:rPr>
        <w:t>-</w:t>
      </w:r>
      <w:r w:rsidR="004F6B06">
        <w:rPr>
          <w:color w:val="000000"/>
        </w:rPr>
        <w:t xml:space="preserve"> je výsledná výška náhrady za </w:t>
      </w:r>
      <w:r w:rsidR="00605078" w:rsidRPr="00605078">
        <w:rPr>
          <w:color w:val="000000"/>
        </w:rPr>
        <w:t xml:space="preserve">obmedzenie </w:t>
      </w:r>
      <w:r w:rsidR="004F6B06">
        <w:rPr>
          <w:color w:val="000000"/>
        </w:rPr>
        <w:t xml:space="preserve">vlastníckeho práva, </w:t>
      </w:r>
    </w:p>
    <w:p w:rsidR="00C14662" w:rsidRPr="00311B2A" w:rsidRDefault="00C14662" w:rsidP="00311B2A">
      <w:pPr>
        <w:shd w:val="clear" w:color="auto" w:fill="FFFFFF"/>
        <w:jc w:val="both"/>
      </w:pPr>
      <w:r w:rsidRPr="00311B2A">
        <w:t>VŠH</w:t>
      </w:r>
      <w:r w:rsidR="00D1215C">
        <w:rPr>
          <w:vertAlign w:val="subscript"/>
        </w:rPr>
        <w:t>pozmj</w:t>
      </w:r>
      <w:r w:rsidRPr="00311B2A">
        <w:t> – všeobecná hodnota pozemku na mernú jednotku [€/m</w:t>
      </w:r>
      <w:r w:rsidRPr="00311B2A">
        <w:rPr>
          <w:vertAlign w:val="superscript"/>
        </w:rPr>
        <w:t>2</w:t>
      </w:r>
      <w:r w:rsidRPr="00311B2A">
        <w:t>],</w:t>
      </w:r>
    </w:p>
    <w:p w:rsidR="00C14662" w:rsidRPr="00311B2A" w:rsidRDefault="00C14662" w:rsidP="00311B2A">
      <w:pPr>
        <w:shd w:val="clear" w:color="auto" w:fill="FFFFFF"/>
        <w:jc w:val="both"/>
      </w:pPr>
      <w:r w:rsidRPr="00311B2A">
        <w:t>k – úroková miera, ktorá sa do výpočtu dosadzuje v desatinnom tvare [%/100],</w:t>
      </w:r>
    </w:p>
    <w:p w:rsidR="00C14662" w:rsidRPr="00311B2A" w:rsidRDefault="00C14662" w:rsidP="00311B2A">
      <w:pPr>
        <w:shd w:val="clear" w:color="auto" w:fill="FFFFFF"/>
        <w:jc w:val="both"/>
      </w:pPr>
      <w:r w:rsidRPr="00311B2A">
        <w:t>k</w:t>
      </w:r>
      <w:r w:rsidR="00D1215C">
        <w:rPr>
          <w:vertAlign w:val="subscript"/>
        </w:rPr>
        <w:t>n</w:t>
      </w:r>
      <w:r w:rsidRPr="00311B2A">
        <w:rPr>
          <w:vertAlign w:val="subscript"/>
        </w:rPr>
        <w:t> </w:t>
      </w:r>
      <w:r w:rsidRPr="00311B2A">
        <w:t>– koeficient zohľadňujúci daňové zaťaženie daňou z príjmu, ktorý sa rovná (100+N)/100, kde N vyjadruje náklady spojené s dosiahnutím hrubého výnosu (daň z príjmu v percentách),</w:t>
      </w:r>
    </w:p>
    <w:p w:rsidR="00C14662" w:rsidRDefault="00C14662" w:rsidP="00311B2A">
      <w:pPr>
        <w:shd w:val="clear" w:color="auto" w:fill="FFFFFF"/>
        <w:jc w:val="both"/>
      </w:pPr>
      <w:r w:rsidRPr="00311B2A">
        <w:t>n – obdobie predpokladanej návratnosti investície, spravidla v intervale 15 až 40 rokov, v závislosti od ekonomických, polohových a fyzických faktorov.</w:t>
      </w:r>
    </w:p>
    <w:p w:rsidR="0079006D" w:rsidRPr="00311B2A" w:rsidRDefault="0079006D" w:rsidP="00311B2A">
      <w:pPr>
        <w:shd w:val="clear" w:color="auto" w:fill="FFFFFF"/>
        <w:jc w:val="both"/>
      </w:pPr>
      <w:r>
        <w:t>t – počet dní stavebnej uzávery</w:t>
      </w:r>
    </w:p>
    <w:p w:rsidR="004F6B06" w:rsidRDefault="004F6B06" w:rsidP="00C621C2">
      <w:pPr>
        <w:jc w:val="both"/>
        <w:rPr>
          <w:color w:val="000000"/>
        </w:rPr>
      </w:pPr>
    </w:p>
    <w:p w:rsidR="004F6B06" w:rsidRDefault="004F6B06" w:rsidP="00C621C2">
      <w:pPr>
        <w:jc w:val="both"/>
        <w:rPr>
          <w:color w:val="000000"/>
        </w:rPr>
      </w:pPr>
    </w:p>
    <w:p w:rsidR="00C621C2" w:rsidRPr="00F44787" w:rsidRDefault="00C621C2" w:rsidP="00C621C2">
      <w:pPr>
        <w:jc w:val="both"/>
        <w:rPr>
          <w:color w:val="000000"/>
        </w:rPr>
      </w:pPr>
    </w:p>
    <w:p w:rsidR="00A7127C" w:rsidRDefault="00A7127C" w:rsidP="00C621C2">
      <w:pPr>
        <w:jc w:val="both"/>
        <w:rPr>
          <w:color w:val="000000"/>
        </w:rPr>
      </w:pPr>
    </w:p>
    <w:p w:rsidR="00C621C2" w:rsidRDefault="00273845" w:rsidP="00C621C2">
      <w:pPr>
        <w:jc w:val="center"/>
        <w:rPr>
          <w:b/>
          <w:bCs/>
          <w:color w:val="303030"/>
        </w:rPr>
      </w:pPr>
      <w:r>
        <w:rPr>
          <w:b/>
          <w:bCs/>
          <w:color w:val="303030"/>
        </w:rPr>
        <w:t>§ 2</w:t>
      </w:r>
    </w:p>
    <w:p w:rsidR="00A523B7" w:rsidRPr="00657DAA" w:rsidRDefault="00A523B7" w:rsidP="00657DAA">
      <w:pPr>
        <w:spacing w:before="100" w:beforeAutospacing="1" w:after="100" w:afterAutospacing="1"/>
        <w:outlineLvl w:val="4"/>
        <w:rPr>
          <w:b/>
          <w:bCs/>
          <w:color w:val="303030"/>
        </w:rPr>
      </w:pPr>
      <w:r w:rsidRPr="00F44787">
        <w:rPr>
          <w:color w:val="000000"/>
        </w:rPr>
        <w:t>Táto vyhláška nadobúda účinnosť</w:t>
      </w:r>
      <w:r w:rsidR="00C621C2">
        <w:rPr>
          <w:color w:val="000000"/>
        </w:rPr>
        <w:t>1. januára 202</w:t>
      </w:r>
      <w:r w:rsidR="009B4946">
        <w:rPr>
          <w:color w:val="000000"/>
        </w:rPr>
        <w:t>3</w:t>
      </w:r>
      <w:r w:rsidR="00C621C2">
        <w:rPr>
          <w:color w:val="000000"/>
        </w:rPr>
        <w:t>.</w:t>
      </w:r>
    </w:p>
    <w:p w:rsidR="00A523B7" w:rsidRDefault="00A523B7" w:rsidP="00A523B7"/>
    <w:p w:rsidR="00A7127C" w:rsidRDefault="00A7127C" w:rsidP="00A523B7"/>
    <w:p w:rsidR="00A7127C" w:rsidRDefault="00A7127C" w:rsidP="00A523B7"/>
    <w:p w:rsidR="00A7127C" w:rsidRDefault="00A7127C" w:rsidP="00A523B7"/>
    <w:p w:rsidR="00A7127C" w:rsidRDefault="00A7127C" w:rsidP="00A523B7"/>
    <w:sectPr w:rsidR="00A7127C" w:rsidSect="00162952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01" w:rsidRDefault="00D24B01">
      <w:r>
        <w:separator/>
      </w:r>
    </w:p>
  </w:endnote>
  <w:endnote w:type="continuationSeparator" w:id="0">
    <w:p w:rsidR="00D24B01" w:rsidRDefault="00D2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01" w:rsidRDefault="00D24B01">
      <w:r>
        <w:separator/>
      </w:r>
    </w:p>
  </w:footnote>
  <w:footnote w:type="continuationSeparator" w:id="0">
    <w:p w:rsidR="00D24B01" w:rsidRDefault="00D24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4" w:rsidRDefault="00652BB5" w:rsidP="001568E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562EA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62EA4" w:rsidRDefault="00562EA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4" w:rsidRDefault="00652BB5" w:rsidP="001568E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562EA4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10D07">
      <w:rPr>
        <w:rStyle w:val="slostrany"/>
        <w:noProof/>
      </w:rPr>
      <w:t>2</w:t>
    </w:r>
    <w:r>
      <w:rPr>
        <w:rStyle w:val="slostrany"/>
      </w:rPr>
      <w:fldChar w:fldCharType="end"/>
    </w:r>
  </w:p>
  <w:p w:rsidR="00562EA4" w:rsidRDefault="00562EA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375"/>
    <w:multiLevelType w:val="multilevel"/>
    <w:tmpl w:val="9C04CC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E01ED8"/>
    <w:multiLevelType w:val="hybridMultilevel"/>
    <w:tmpl w:val="DF50A0EC"/>
    <w:lvl w:ilvl="0" w:tplc="21C6F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9BA3CA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8A380C"/>
    <w:multiLevelType w:val="hybridMultilevel"/>
    <w:tmpl w:val="EC16D086"/>
    <w:lvl w:ilvl="0" w:tplc="BB2C2B78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7B224A"/>
    <w:multiLevelType w:val="multilevel"/>
    <w:tmpl w:val="6216744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83A47F1"/>
    <w:multiLevelType w:val="multilevel"/>
    <w:tmpl w:val="C05E9038"/>
    <w:lvl w:ilvl="0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(%2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48B62566"/>
    <w:multiLevelType w:val="multilevel"/>
    <w:tmpl w:val="DE4CC0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 w15:restartNumberingAfterBreak="0">
    <w:nsid w:val="60CE7A5F"/>
    <w:multiLevelType w:val="hybridMultilevel"/>
    <w:tmpl w:val="F72CDC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FC39AB"/>
    <w:multiLevelType w:val="hybridMultilevel"/>
    <w:tmpl w:val="8D9046A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CD733C"/>
    <w:multiLevelType w:val="hybridMultilevel"/>
    <w:tmpl w:val="454604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282062"/>
    <w:multiLevelType w:val="hybridMultilevel"/>
    <w:tmpl w:val="9C56381C"/>
    <w:lvl w:ilvl="0" w:tplc="25CC51B2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D1"/>
    <w:rsid w:val="00007F38"/>
    <w:rsid w:val="000207E8"/>
    <w:rsid w:val="00030657"/>
    <w:rsid w:val="00057930"/>
    <w:rsid w:val="00070D76"/>
    <w:rsid w:val="00084463"/>
    <w:rsid w:val="000A1C9E"/>
    <w:rsid w:val="000D0999"/>
    <w:rsid w:val="00105D4B"/>
    <w:rsid w:val="00114D21"/>
    <w:rsid w:val="001243EB"/>
    <w:rsid w:val="0014552C"/>
    <w:rsid w:val="001466C8"/>
    <w:rsid w:val="001568ED"/>
    <w:rsid w:val="00156E46"/>
    <w:rsid w:val="00162952"/>
    <w:rsid w:val="00180549"/>
    <w:rsid w:val="00192B31"/>
    <w:rsid w:val="00193D57"/>
    <w:rsid w:val="001B60CB"/>
    <w:rsid w:val="001B7278"/>
    <w:rsid w:val="001C045D"/>
    <w:rsid w:val="001C0F3E"/>
    <w:rsid w:val="001D561E"/>
    <w:rsid w:val="001E2CEF"/>
    <w:rsid w:val="00210D07"/>
    <w:rsid w:val="00243A5C"/>
    <w:rsid w:val="00250B53"/>
    <w:rsid w:val="00272CD4"/>
    <w:rsid w:val="00273845"/>
    <w:rsid w:val="00285389"/>
    <w:rsid w:val="002B236D"/>
    <w:rsid w:val="00301752"/>
    <w:rsid w:val="00311B2A"/>
    <w:rsid w:val="003972C7"/>
    <w:rsid w:val="003A27A0"/>
    <w:rsid w:val="003B69AC"/>
    <w:rsid w:val="003B7A14"/>
    <w:rsid w:val="003F5EDA"/>
    <w:rsid w:val="0040357F"/>
    <w:rsid w:val="00404885"/>
    <w:rsid w:val="00444D0E"/>
    <w:rsid w:val="00473B6B"/>
    <w:rsid w:val="00487295"/>
    <w:rsid w:val="00493132"/>
    <w:rsid w:val="004B0614"/>
    <w:rsid w:val="004C1735"/>
    <w:rsid w:val="004C5D58"/>
    <w:rsid w:val="004E512B"/>
    <w:rsid w:val="004F6B06"/>
    <w:rsid w:val="0051282A"/>
    <w:rsid w:val="00522284"/>
    <w:rsid w:val="0053766B"/>
    <w:rsid w:val="0055696D"/>
    <w:rsid w:val="00562EA4"/>
    <w:rsid w:val="0057499A"/>
    <w:rsid w:val="00580FEF"/>
    <w:rsid w:val="00584BB4"/>
    <w:rsid w:val="0059365A"/>
    <w:rsid w:val="005C5214"/>
    <w:rsid w:val="005F6EB5"/>
    <w:rsid w:val="00605078"/>
    <w:rsid w:val="00643B31"/>
    <w:rsid w:val="00652BB5"/>
    <w:rsid w:val="00657DAA"/>
    <w:rsid w:val="00665C93"/>
    <w:rsid w:val="00667CB6"/>
    <w:rsid w:val="00682895"/>
    <w:rsid w:val="00694E4A"/>
    <w:rsid w:val="00697A3F"/>
    <w:rsid w:val="006D79EB"/>
    <w:rsid w:val="00700D8E"/>
    <w:rsid w:val="00766CA5"/>
    <w:rsid w:val="00784A62"/>
    <w:rsid w:val="00786B65"/>
    <w:rsid w:val="0079006D"/>
    <w:rsid w:val="007A6CFF"/>
    <w:rsid w:val="007C74FA"/>
    <w:rsid w:val="008023EF"/>
    <w:rsid w:val="00823FFD"/>
    <w:rsid w:val="0084521D"/>
    <w:rsid w:val="0086204A"/>
    <w:rsid w:val="00886BF8"/>
    <w:rsid w:val="00887216"/>
    <w:rsid w:val="00893DAB"/>
    <w:rsid w:val="00894049"/>
    <w:rsid w:val="008C157F"/>
    <w:rsid w:val="008C6F7D"/>
    <w:rsid w:val="009051F9"/>
    <w:rsid w:val="00910FD9"/>
    <w:rsid w:val="00946D68"/>
    <w:rsid w:val="00964BF1"/>
    <w:rsid w:val="00966962"/>
    <w:rsid w:val="00987644"/>
    <w:rsid w:val="009A6F1E"/>
    <w:rsid w:val="009B4946"/>
    <w:rsid w:val="009C1341"/>
    <w:rsid w:val="009C520D"/>
    <w:rsid w:val="009E0576"/>
    <w:rsid w:val="00A1102C"/>
    <w:rsid w:val="00A45EFD"/>
    <w:rsid w:val="00A523B7"/>
    <w:rsid w:val="00A7127C"/>
    <w:rsid w:val="00A936D0"/>
    <w:rsid w:val="00A9568B"/>
    <w:rsid w:val="00AA473F"/>
    <w:rsid w:val="00AB366F"/>
    <w:rsid w:val="00AC1CA9"/>
    <w:rsid w:val="00AE4F85"/>
    <w:rsid w:val="00AF06D4"/>
    <w:rsid w:val="00B31AFA"/>
    <w:rsid w:val="00B47FCE"/>
    <w:rsid w:val="00B672FD"/>
    <w:rsid w:val="00B736A7"/>
    <w:rsid w:val="00B90F99"/>
    <w:rsid w:val="00C0730E"/>
    <w:rsid w:val="00C14662"/>
    <w:rsid w:val="00C26FC3"/>
    <w:rsid w:val="00C33D1F"/>
    <w:rsid w:val="00C401AD"/>
    <w:rsid w:val="00C621C2"/>
    <w:rsid w:val="00C7079E"/>
    <w:rsid w:val="00C736E4"/>
    <w:rsid w:val="00C83D0E"/>
    <w:rsid w:val="00C96A89"/>
    <w:rsid w:val="00CB4355"/>
    <w:rsid w:val="00CD438C"/>
    <w:rsid w:val="00CF2EB2"/>
    <w:rsid w:val="00CF6B5A"/>
    <w:rsid w:val="00D1215C"/>
    <w:rsid w:val="00D24B01"/>
    <w:rsid w:val="00D26DEB"/>
    <w:rsid w:val="00D275F0"/>
    <w:rsid w:val="00D32BEA"/>
    <w:rsid w:val="00D55B0F"/>
    <w:rsid w:val="00D57A59"/>
    <w:rsid w:val="00DB069C"/>
    <w:rsid w:val="00DB5BB3"/>
    <w:rsid w:val="00DC2D7B"/>
    <w:rsid w:val="00DD11D1"/>
    <w:rsid w:val="00E10CAC"/>
    <w:rsid w:val="00E12E2B"/>
    <w:rsid w:val="00E3420A"/>
    <w:rsid w:val="00E34D1B"/>
    <w:rsid w:val="00E51E3C"/>
    <w:rsid w:val="00E565A3"/>
    <w:rsid w:val="00E56ADA"/>
    <w:rsid w:val="00E62067"/>
    <w:rsid w:val="00EB61B1"/>
    <w:rsid w:val="00EC18E5"/>
    <w:rsid w:val="00EC383D"/>
    <w:rsid w:val="00F30ADF"/>
    <w:rsid w:val="00F41E7F"/>
    <w:rsid w:val="00F51D83"/>
    <w:rsid w:val="00F91C12"/>
    <w:rsid w:val="00FB2AF8"/>
    <w:rsid w:val="00FC55F3"/>
    <w:rsid w:val="00FD3074"/>
    <w:rsid w:val="00FD4472"/>
    <w:rsid w:val="00FF0BF1"/>
    <w:rsid w:val="00FF443D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426FCA-ED6A-446F-B81D-2400E606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66C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80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DD11D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lang w:val="cs-CZ" w:eastAsia="cs-CZ"/>
    </w:rPr>
  </w:style>
  <w:style w:type="character" w:styleId="Siln">
    <w:name w:val="Strong"/>
    <w:basedOn w:val="Predvolenpsmoodseku"/>
    <w:uiPriority w:val="22"/>
    <w:qFormat/>
    <w:rsid w:val="00C83D0E"/>
    <w:rPr>
      <w:rFonts w:cs="Times New Roman"/>
      <w:b/>
    </w:rPr>
  </w:style>
  <w:style w:type="paragraph" w:customStyle="1" w:styleId="as-slovanie">
    <w:name w:val="as-slovanie"/>
    <w:basedOn w:val="Normlny"/>
    <w:rsid w:val="00C83D0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C83D0E"/>
    <w:pPr>
      <w:tabs>
        <w:tab w:val="left" w:pos="360"/>
      </w:tabs>
      <w:autoSpaceDE w:val="0"/>
      <w:autoSpaceDN w:val="0"/>
      <w:adjustRightInd w:val="0"/>
      <w:jc w:val="both"/>
    </w:pPr>
    <w:rPr>
      <w:rFonts w:cs="Arial"/>
      <w:sz w:val="22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1466C8"/>
    <w:rPr>
      <w:rFonts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98764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1466C8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1629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466C8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162952"/>
    <w:rPr>
      <w:rFonts w:cs="Times New Roman"/>
    </w:rPr>
  </w:style>
  <w:style w:type="paragraph" w:customStyle="1" w:styleId="Nzovpredpisu">
    <w:name w:val="Názov predpisu"/>
    <w:basedOn w:val="Normlny"/>
    <w:rsid w:val="00C96A89"/>
    <w:pPr>
      <w:spacing w:line="288" w:lineRule="auto"/>
      <w:jc w:val="center"/>
    </w:pPr>
    <w:rPr>
      <w:b/>
      <w:sz w:val="28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4048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04885"/>
  </w:style>
  <w:style w:type="character" w:styleId="Odkaznapoznmkupodiarou">
    <w:name w:val="footnote reference"/>
    <w:basedOn w:val="Predvolenpsmoodseku"/>
    <w:uiPriority w:val="99"/>
    <w:rsid w:val="00404885"/>
    <w:rPr>
      <w:rFonts w:ascii="Times New Roman" w:hAnsi="Times New Roman"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580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580FEF"/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F6B06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605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05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28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62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5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8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yhlaska-o-stavebnej-uzavere"/>
    <f:field ref="objsubject" par="" edit="true" text=""/>
    <f:field ref="objcreatedby" par="" text="Semanco, Martin, JUDr."/>
    <f:field ref="objcreatedat" par="" text="29.6.2021 17:56:17"/>
    <f:field ref="objchangedby" par="" text="Administrator, System"/>
    <f:field ref="objmodifiedat" par="" text="29.6.2021 17:56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FA2ABAE-C376-4E32-A3BC-69F10A46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o d k l a d</vt:lpstr>
    </vt:vector>
  </TitlesOfParts>
  <Company>MVRR SR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k l a d</dc:title>
  <dc:creator>Administrator</dc:creator>
  <cp:lastModifiedBy>Semanco Martin</cp:lastModifiedBy>
  <cp:revision>2</cp:revision>
  <cp:lastPrinted>2021-09-23T10:21:00Z</cp:lastPrinted>
  <dcterms:created xsi:type="dcterms:W3CDTF">2021-09-23T10:21:00Z</dcterms:created>
  <dcterms:modified xsi:type="dcterms:W3CDTF">2021-09-23T10:21:00Z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style="text-align:justify;text-indent:35.4pt"&gt;Verejnosť nebola o&amp;nbsp;príprave návrhu zákona o&amp;nbsp;územnom plánovaní informovaná prostredníctvom predbežnej informácie k&amp;nbsp;predmetnému návrhu zákona zverejnenej v&amp;nbsp;informačnom systéme verejnej spr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Stavebníctvo a architektúra_x000d_
Územná samospráva_x000d_
Štátna správa_x000d_
Posudzovanie vplyvov na životné prostredie_x000d_
Geológia, geodézia, kartografia_x000d_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Semanco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>Andrej Doležal</vt:lpwstr>
  </property>
  <property fmtid="{D5CDD505-2E9C-101B-9397-08002B2CF9AE}" pid="14" name="FSC#SKEDITIONSLOVLEX@103.510:nazovpredpis">
    <vt:lpwstr> o územnom plánovaní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 - podpredseda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SR na roky 2021-2024</vt:lpwstr>
  </property>
  <property fmtid="{D5CDD505-2E9C-101B-9397-08002B2CF9AE}" pid="23" name="FSC#SKEDITIONSLOVLEX@103.510:plnynazovpredpis">
    <vt:lpwstr> Zákon o územnom plánovaní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4070/2021/OLOUOSS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LP/2021/347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</vt:lpwstr>
  </property>
  <property fmtid="{D5CDD505-2E9C-101B-9397-08002B2CF9AE}" pid="47" name="FSC#SKEDITIONSLOVLEX@103.510:AttrStrListDocPropSekundarneLegPravoPO">
    <vt:lpwstr>smernica Európskeho parlamentu a Rady 2001/42/ES z 27. júna 2001 o posudzovaní účinkov určitých plánov a programov na životné prostredie (Ú. v. ES L 197, 21.7.2001; Mimoriadne vydanie Ú. v. EÚ, kap. 15/zv. 6)- gestor: Ministerstvo životného prostredia SR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</vt:lpwstr>
  </property>
  <property fmtid="{D5CDD505-2E9C-101B-9397-08002B2CF9AE}" pid="52" name="FSC#SKEDITIONSLOVLEX@103.510:AttrStrListDocPropLehotaPrebratieSmernice">
    <vt:lpwstr>lehota na prebranie smernice Európskeho parlamentu a Rady 2001/42/ES z 27. júna 2001 o posudzovaní účinkov určitých plánov a programov na životné prostredie (Ú. v. ES L 197, 21.7.2001; Mimoriadne vydanie Ú. v. EÚ, kap. 15/zv. 6)- 21. júla 2004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informácia o právnych predpisoch, v ktorých je smernica 2001/42/ES už prebratá spolu s uvedením rozsahu ich prebratia:_x000d_
Zákon č. 24/2006 Z. z. o posudzovaní vplyvov na životné prostredie a o zmene a doplnení niektorých zákonov v znení neskorších predpisov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19. 4. 2021</vt:lpwstr>
  </property>
  <property fmtid="{D5CDD505-2E9C-101B-9397-08002B2CF9AE}" pid="59" name="FSC#SKEDITIONSLOVLEX@103.510:AttrDateDocPropUkonceniePKK">
    <vt:lpwstr>3. 5. 2021</vt:lpwstr>
  </property>
  <property fmtid="{D5CDD505-2E9C-101B-9397-08002B2CF9AE}" pid="60" name="FSC#SKEDITIONSLOVLEX@103.510:AttrStrDocPropVplyvRozpocetVS">
    <vt:lpwstr>Žiadne_x000d_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&lt;p&gt;&lt;strong&gt;V &lt;/strong&gt;zmysle pripomienok z&amp;nbsp;MPK&lt;/p&gt;&lt;ul&gt;	&lt;li&gt;kvôli prehľadnosti a&amp;nbsp; sú kvantifikované vplyvy na rozpočet verejnej správy predložených materiálov iba v jednom z&amp;nbsp;nich – pri Kompetenčnom zákone,&lt;/li&gt;	&lt;li&gt;analýza vplyvov na podnika</vt:lpwstr>
  </property>
  <property fmtid="{D5CDD505-2E9C-101B-9397-08002B2CF9AE}" pid="66" name="FSC#SKEDITIONSLOVLEX@103.510:AttrStrListDocPropAltRiesenia">
    <vt:lpwstr>Pri príprave nového konceptu boli zvažované alternatívne návrhy.Alternatíva	krátky popis	popisA1	as is 	Žiadna zmena legislatívy. Žiadny IS. (tj ponechanie procesov územného plánovania a procesov výstavby úpravou doterajšieho zákona č. 50/1976 Zb. o územn</vt:lpwstr>
  </property>
  <property fmtid="{D5CDD505-2E9C-101B-9397-08002B2CF9AE}" pid="67" name="FSC#SKEDITIONSLOVLEX@103.510:AttrStrListDocPropStanoviskoGest">
    <vt:lpwstr>&lt;table border="1" cellpadding="0" cellspacing="0" width="918"&gt;	&lt;tbody&gt;		&lt;tr&gt;			&lt;td style="width:611px;"&gt;			&lt;p&gt;&lt;em&gt;Uveďte stanovisko Komisie pre posudzovanie vybraných vplyvov, ktoré Vám bolo zaslané v&amp;nbsp;rámci predbežného pripomienkového konania&lt;/em&gt;&lt;/p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Slovenskej republiky_x000d_
ministri_x000d_
predsedovia ostatných ústredných orgánov štátnej správy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>minister dopravy a výstavby Slovenskej republiky, </vt:lpwstr>
  </property>
  <property fmtid="{D5CDD505-2E9C-101B-9397-08002B2CF9AE}" pid="145" name="FSC#SKEDITIONSLOVLEX@103.510:funkciaDalsiPredAkuzativ">
    <vt:lpwstr>ministra dopravy a výstavby Slovenskej republiky, </vt:lpwstr>
  </property>
  <property fmtid="{D5CDD505-2E9C-101B-9397-08002B2CF9AE}" pid="146" name="FSC#SKEDITIONSLOVLEX@103.510:funkciaDalsiPredDativ">
    <vt:lpwstr>ministrovi dopravy a výstavby Slovenskej republiky, </vt:lpwstr>
  </property>
  <property fmtid="{D5CDD505-2E9C-101B-9397-08002B2CF9AE}" pid="147" name="FSC#SKEDITIONSLOVLEX@103.510:predkladateliaObalSD">
    <vt:lpwstr>Štefan Holý_x000d_
podpredseda vlády Slovenskej republiky_x000d_
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&lt;p&gt;Podpredseda vlády Slovenskej republiky a&amp;nbsp;minister dopravy a&amp;nbsp;výstavby Slovenskej republiky predkladajú návrh zákona o&amp;nbsp;územnom plánovaní (ďalej len „návrh zákona“) vypracovaný na základe Programového vyhlásenia vlády Slovenskej republiky n</vt:lpwstr>
  </property>
  <property fmtid="{D5CDD505-2E9C-101B-9397-08002B2CF9AE}" pid="150" name="FSC#SKEDITIONSLOVLEX@103.510:vytvorenedna">
    <vt:lpwstr>29. 6. 2021</vt:lpwstr>
  </property>
  <property fmtid="{D5CDD505-2E9C-101B-9397-08002B2CF9AE}" pid="151" name="FSC#COOSYSTEM@1.1:Container">
    <vt:lpwstr>COO.2145.1000.3.4439994</vt:lpwstr>
  </property>
  <property fmtid="{D5CDD505-2E9C-101B-9397-08002B2CF9AE}" pid="152" name="FSC#FSCFOLIO@1.1001:docpropproject">
    <vt:lpwstr/>
  </property>
</Properties>
</file>