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CF" w:rsidRPr="00BC4502" w:rsidRDefault="00CC05CF" w:rsidP="00173E01">
      <w:pPr>
        <w:spacing w:after="0"/>
        <w:jc w:val="center"/>
        <w:rPr>
          <w:rFonts w:ascii="Times New Roman" w:hAnsi="Times New Roman" w:cs="Times New Roman"/>
          <w:b/>
          <w:sz w:val="24"/>
          <w:szCs w:val="24"/>
        </w:rPr>
      </w:pPr>
      <w:bookmarkStart w:id="0" w:name="_GoBack"/>
      <w:bookmarkEnd w:id="0"/>
      <w:r w:rsidRPr="00BC4502">
        <w:rPr>
          <w:rFonts w:ascii="Times New Roman" w:hAnsi="Times New Roman" w:cs="Times New Roman"/>
          <w:b/>
          <w:sz w:val="24"/>
          <w:szCs w:val="24"/>
        </w:rPr>
        <w:t>(Návrh)</w:t>
      </w:r>
    </w:p>
    <w:p w:rsidR="00CC05CF" w:rsidRPr="00BC4502" w:rsidRDefault="00CC05CF" w:rsidP="00173E01">
      <w:pPr>
        <w:spacing w:after="0"/>
        <w:jc w:val="center"/>
        <w:rPr>
          <w:rFonts w:ascii="Times New Roman" w:hAnsi="Times New Roman" w:cs="Times New Roman"/>
          <w:b/>
          <w:sz w:val="24"/>
          <w:szCs w:val="24"/>
        </w:rPr>
      </w:pPr>
    </w:p>
    <w:p w:rsidR="006760A7" w:rsidRPr="00BC4502" w:rsidRDefault="006760A7" w:rsidP="00173E01">
      <w:pPr>
        <w:spacing w:after="0"/>
        <w:jc w:val="center"/>
        <w:rPr>
          <w:rFonts w:ascii="Times New Roman" w:hAnsi="Times New Roman" w:cs="Times New Roman"/>
          <w:b/>
          <w:sz w:val="24"/>
          <w:szCs w:val="24"/>
        </w:rPr>
      </w:pPr>
      <w:r w:rsidRPr="00BC4502">
        <w:rPr>
          <w:rFonts w:ascii="Times New Roman" w:hAnsi="Times New Roman" w:cs="Times New Roman"/>
          <w:b/>
          <w:sz w:val="24"/>
          <w:szCs w:val="24"/>
        </w:rPr>
        <w:t>OPATRENIE</w:t>
      </w:r>
    </w:p>
    <w:p w:rsidR="006760A7" w:rsidRPr="00BC4502" w:rsidRDefault="006760A7" w:rsidP="00173E01">
      <w:pPr>
        <w:spacing w:after="0"/>
        <w:jc w:val="center"/>
        <w:rPr>
          <w:rFonts w:ascii="Times New Roman" w:hAnsi="Times New Roman" w:cs="Times New Roman"/>
          <w:b/>
          <w:sz w:val="24"/>
          <w:szCs w:val="24"/>
        </w:rPr>
      </w:pPr>
      <w:r w:rsidRPr="00BC4502">
        <w:rPr>
          <w:rFonts w:ascii="Times New Roman" w:hAnsi="Times New Roman" w:cs="Times New Roman"/>
          <w:b/>
          <w:sz w:val="24"/>
          <w:szCs w:val="24"/>
        </w:rPr>
        <w:t xml:space="preserve">Národnej banky Slovenska </w:t>
      </w:r>
    </w:p>
    <w:p w:rsidR="006760A7" w:rsidRPr="00BC4502" w:rsidRDefault="006760A7" w:rsidP="00173E01">
      <w:pPr>
        <w:spacing w:before="120" w:after="0"/>
        <w:jc w:val="center"/>
        <w:rPr>
          <w:rFonts w:ascii="Times New Roman" w:hAnsi="Times New Roman" w:cs="Times New Roman"/>
          <w:b/>
          <w:bCs/>
          <w:sz w:val="24"/>
          <w:szCs w:val="24"/>
        </w:rPr>
      </w:pPr>
      <w:r w:rsidRPr="00BC4502">
        <w:rPr>
          <w:rFonts w:ascii="Times New Roman" w:hAnsi="Times New Roman" w:cs="Times New Roman"/>
          <w:b/>
          <w:bCs/>
          <w:sz w:val="24"/>
          <w:szCs w:val="24"/>
        </w:rPr>
        <w:t>z ... 2022</w:t>
      </w:r>
    </w:p>
    <w:p w:rsidR="006760A7" w:rsidRPr="00BC4502" w:rsidRDefault="006760A7" w:rsidP="00173E01">
      <w:pPr>
        <w:spacing w:before="120" w:after="0"/>
        <w:jc w:val="center"/>
        <w:rPr>
          <w:rFonts w:ascii="Times New Roman" w:hAnsi="Times New Roman" w:cs="Times New Roman"/>
          <w:sz w:val="24"/>
          <w:szCs w:val="24"/>
        </w:rPr>
      </w:pPr>
    </w:p>
    <w:p w:rsidR="006760A7" w:rsidRPr="00BC4502" w:rsidRDefault="006760A7" w:rsidP="00173E01">
      <w:pPr>
        <w:spacing w:after="0"/>
        <w:jc w:val="center"/>
        <w:rPr>
          <w:rFonts w:ascii="Times New Roman" w:hAnsi="Times New Roman" w:cs="Times New Roman"/>
          <w:b/>
          <w:bCs/>
          <w:sz w:val="24"/>
          <w:szCs w:val="24"/>
        </w:rPr>
      </w:pPr>
      <w:r w:rsidRPr="00BC4502">
        <w:rPr>
          <w:rFonts w:ascii="Times New Roman" w:hAnsi="Times New Roman" w:cs="Times New Roman"/>
          <w:b/>
          <w:bCs/>
          <w:sz w:val="24"/>
          <w:szCs w:val="24"/>
        </w:rPr>
        <w:t>o predkladaní výkazov poskytovateľmi a distribútormi celoeurópskeho osobného dôchodkového produktu na úč</w:t>
      </w:r>
      <w:r w:rsidR="009F67DA" w:rsidRPr="00BC4502">
        <w:rPr>
          <w:rFonts w:ascii="Times New Roman" w:hAnsi="Times New Roman" w:cs="Times New Roman"/>
          <w:b/>
          <w:bCs/>
          <w:sz w:val="24"/>
          <w:szCs w:val="24"/>
        </w:rPr>
        <w:t>ely dohľadu nad finančným trhom</w:t>
      </w:r>
    </w:p>
    <w:p w:rsidR="006760A7" w:rsidRPr="00BC4502" w:rsidRDefault="006760A7" w:rsidP="00173E01">
      <w:pPr>
        <w:spacing w:after="0"/>
        <w:jc w:val="both"/>
        <w:rPr>
          <w:rFonts w:ascii="Times New Roman" w:hAnsi="Times New Roman" w:cs="Times New Roman"/>
          <w:sz w:val="24"/>
          <w:szCs w:val="24"/>
        </w:rPr>
      </w:pPr>
    </w:p>
    <w:p w:rsidR="00EA0725" w:rsidRPr="00BC4502" w:rsidRDefault="006760A7" w:rsidP="007609FA">
      <w:pPr>
        <w:pStyle w:val="Default"/>
        <w:jc w:val="both"/>
        <w:rPr>
          <w:color w:val="auto"/>
        </w:rPr>
      </w:pPr>
      <w:r w:rsidRPr="00BC4502">
        <w:t xml:space="preserve">     </w:t>
      </w:r>
      <w:r w:rsidRPr="00BC4502">
        <w:tab/>
      </w:r>
      <w:r w:rsidRPr="00BC4502">
        <w:rPr>
          <w:color w:val="auto"/>
        </w:rPr>
        <w:t xml:space="preserve">Národná banka Slovenska podľa § </w:t>
      </w:r>
      <w:r w:rsidR="004A27A9">
        <w:rPr>
          <w:color w:val="auto"/>
        </w:rPr>
        <w:t>13</w:t>
      </w:r>
      <w:r w:rsidRPr="00BC4502">
        <w:rPr>
          <w:color w:val="auto"/>
        </w:rPr>
        <w:t xml:space="preserve"> ods. </w:t>
      </w:r>
      <w:r w:rsidR="004A27A9">
        <w:rPr>
          <w:color w:val="auto"/>
        </w:rPr>
        <w:t>1</w:t>
      </w:r>
      <w:r w:rsidRPr="00BC4502">
        <w:rPr>
          <w:color w:val="auto"/>
        </w:rPr>
        <w:t xml:space="preserve"> zákona č. </w:t>
      </w:r>
      <w:r w:rsidR="00203FA2" w:rsidRPr="00BC4502">
        <w:rPr>
          <w:color w:val="auto"/>
        </w:rPr>
        <w:t>...</w:t>
      </w:r>
      <w:r w:rsidRPr="00BC4502">
        <w:rPr>
          <w:color w:val="auto"/>
        </w:rPr>
        <w:t>/2022 Z. z. o</w:t>
      </w:r>
      <w:r w:rsidR="004A27A9">
        <w:rPr>
          <w:color w:val="auto"/>
        </w:rPr>
        <w:t xml:space="preserve"> celoeurópskom </w:t>
      </w:r>
      <w:r w:rsidRPr="00BC4502">
        <w:rPr>
          <w:color w:val="auto"/>
        </w:rPr>
        <w:t xml:space="preserve">osobnom dôchodkovom produkte a o zmene a doplnení niektorých zákonov (ďalej len „zákon“) </w:t>
      </w:r>
      <w:r w:rsidR="009F67DA" w:rsidRPr="00BC4502">
        <w:rPr>
          <w:color w:val="auto"/>
        </w:rPr>
        <w:t xml:space="preserve">a § 35 ods. 2 zákona č. 747/2004 Z. z. o dohľade nad finančným trhom a o zmene a doplnení niektorých zákonov v znení neskorších predpisov </w:t>
      </w:r>
      <w:r w:rsidRPr="00BC4502">
        <w:rPr>
          <w:color w:val="auto"/>
        </w:rPr>
        <w:t xml:space="preserve">ustanovuje: </w:t>
      </w:r>
    </w:p>
    <w:p w:rsidR="00BC4502" w:rsidRDefault="00BC4502" w:rsidP="00173E01">
      <w:pPr>
        <w:spacing w:after="0"/>
        <w:jc w:val="center"/>
        <w:rPr>
          <w:rFonts w:ascii="Times New Roman" w:hAnsi="Times New Roman" w:cs="Times New Roman"/>
          <w:b/>
          <w:bCs/>
          <w:sz w:val="24"/>
          <w:szCs w:val="24"/>
        </w:rPr>
      </w:pPr>
    </w:p>
    <w:p w:rsidR="001929E1" w:rsidRPr="00BC4502" w:rsidRDefault="001929E1" w:rsidP="00173E01">
      <w:pPr>
        <w:spacing w:after="0"/>
        <w:jc w:val="center"/>
        <w:rPr>
          <w:rFonts w:ascii="Times New Roman" w:hAnsi="Times New Roman" w:cs="Times New Roman"/>
          <w:b/>
          <w:bCs/>
          <w:sz w:val="24"/>
          <w:szCs w:val="24"/>
        </w:rPr>
      </w:pPr>
      <w:r w:rsidRPr="00BC4502">
        <w:rPr>
          <w:rFonts w:ascii="Times New Roman" w:hAnsi="Times New Roman" w:cs="Times New Roman"/>
          <w:b/>
          <w:bCs/>
          <w:sz w:val="24"/>
          <w:szCs w:val="24"/>
        </w:rPr>
        <w:t>§ 1</w:t>
      </w:r>
    </w:p>
    <w:p w:rsidR="001929E1" w:rsidRPr="00BC4502" w:rsidRDefault="001929E1" w:rsidP="00173E01">
      <w:pPr>
        <w:spacing w:after="0"/>
        <w:ind w:firstLine="708"/>
        <w:jc w:val="both"/>
        <w:rPr>
          <w:rFonts w:ascii="Times New Roman" w:hAnsi="Times New Roman" w:cs="Times New Roman"/>
          <w:bCs/>
          <w:sz w:val="24"/>
          <w:szCs w:val="24"/>
        </w:rPr>
      </w:pPr>
      <w:r w:rsidRPr="00BC4502">
        <w:rPr>
          <w:rFonts w:ascii="Times New Roman" w:hAnsi="Times New Roman" w:cs="Times New Roman"/>
          <w:bCs/>
          <w:sz w:val="24"/>
          <w:szCs w:val="24"/>
        </w:rPr>
        <w:t>(1) Výkazy</w:t>
      </w:r>
      <w:r w:rsidR="00BB63B4" w:rsidRPr="00BC4502">
        <w:rPr>
          <w:rFonts w:ascii="Times New Roman" w:hAnsi="Times New Roman" w:cs="Times New Roman"/>
          <w:bCs/>
          <w:sz w:val="24"/>
          <w:szCs w:val="24"/>
        </w:rPr>
        <w:t>, hlásenia a iné správy (ďalej len „výkazy“)</w:t>
      </w:r>
      <w:r w:rsidRPr="00BC4502">
        <w:rPr>
          <w:rFonts w:ascii="Times New Roman" w:hAnsi="Times New Roman" w:cs="Times New Roman"/>
          <w:bCs/>
          <w:sz w:val="24"/>
          <w:szCs w:val="24"/>
        </w:rPr>
        <w:t xml:space="preserve"> predkladané poskytovateľom </w:t>
      </w:r>
      <w:r w:rsidR="00BB63B4" w:rsidRPr="00BC4502">
        <w:rPr>
          <w:rFonts w:ascii="Times New Roman" w:hAnsi="Times New Roman" w:cs="Times New Roman"/>
          <w:bCs/>
          <w:sz w:val="24"/>
          <w:szCs w:val="24"/>
        </w:rPr>
        <w:t>podľa § 4 ods. 2 písm. g)</w:t>
      </w:r>
      <w:r w:rsidR="005E040A" w:rsidRPr="00BC4502">
        <w:rPr>
          <w:rFonts w:ascii="Times New Roman" w:hAnsi="Times New Roman" w:cs="Times New Roman"/>
          <w:bCs/>
          <w:sz w:val="24"/>
          <w:szCs w:val="24"/>
        </w:rPr>
        <w:t xml:space="preserve"> zákona</w:t>
      </w:r>
      <w:r w:rsidR="00BB63B4" w:rsidRPr="00BC4502">
        <w:rPr>
          <w:rFonts w:ascii="Times New Roman" w:hAnsi="Times New Roman" w:cs="Times New Roman"/>
          <w:bCs/>
          <w:sz w:val="24"/>
          <w:szCs w:val="24"/>
        </w:rPr>
        <w:t xml:space="preserve"> </w:t>
      </w:r>
      <w:r w:rsidRPr="00BC4502">
        <w:rPr>
          <w:rFonts w:ascii="Times New Roman" w:hAnsi="Times New Roman" w:cs="Times New Roman"/>
          <w:bCs/>
          <w:sz w:val="24"/>
          <w:szCs w:val="24"/>
        </w:rPr>
        <w:t>a distribútorom celoeurópskeho osobného dôchodkového produktu</w:t>
      </w:r>
      <w:r w:rsidR="005E040A" w:rsidRPr="00BC4502">
        <w:rPr>
          <w:rFonts w:ascii="Times New Roman" w:hAnsi="Times New Roman" w:cs="Times New Roman"/>
          <w:bCs/>
          <w:sz w:val="24"/>
          <w:szCs w:val="24"/>
        </w:rPr>
        <w:t xml:space="preserve"> podľa osobitného predpisu</w:t>
      </w:r>
      <w:r w:rsidR="005E040A" w:rsidRPr="00BC4502">
        <w:rPr>
          <w:rStyle w:val="Odkaznapoznmkupodiarou"/>
          <w:rFonts w:ascii="Times New Roman" w:hAnsi="Times New Roman" w:cs="Times New Roman"/>
          <w:bCs/>
          <w:sz w:val="24"/>
          <w:szCs w:val="24"/>
        </w:rPr>
        <w:footnoteReference w:id="1"/>
      </w:r>
      <w:r w:rsidR="00203FA2" w:rsidRPr="00BC4502">
        <w:rPr>
          <w:rFonts w:ascii="Times New Roman" w:hAnsi="Times New Roman" w:cs="Times New Roman"/>
          <w:bCs/>
          <w:sz w:val="24"/>
          <w:szCs w:val="24"/>
        </w:rPr>
        <w:t>)</w:t>
      </w:r>
      <w:r w:rsidRPr="00BC4502">
        <w:rPr>
          <w:rFonts w:ascii="Times New Roman" w:hAnsi="Times New Roman" w:cs="Times New Roman"/>
          <w:bCs/>
          <w:sz w:val="24"/>
          <w:szCs w:val="24"/>
        </w:rPr>
        <w:t xml:space="preserve"> sú tieto:</w:t>
      </w:r>
    </w:p>
    <w:p w:rsidR="005E040A" w:rsidRPr="00BC4502" w:rsidRDefault="005E040A" w:rsidP="00173E01">
      <w:pPr>
        <w:spacing w:after="0"/>
        <w:ind w:firstLine="708"/>
        <w:jc w:val="both"/>
        <w:rPr>
          <w:rFonts w:ascii="Times New Roman" w:hAnsi="Times New Roman" w:cs="Times New Roman"/>
          <w:bCs/>
          <w:sz w:val="24"/>
          <w:szCs w:val="24"/>
        </w:rPr>
      </w:pPr>
    </w:p>
    <w:p w:rsidR="00BD6799" w:rsidRPr="00BC4502" w:rsidRDefault="001929E1" w:rsidP="007609FA">
      <w:pPr>
        <w:spacing w:after="0"/>
        <w:jc w:val="both"/>
        <w:rPr>
          <w:rFonts w:ascii="Times New Roman" w:hAnsi="Times New Roman" w:cs="Times New Roman"/>
          <w:b/>
          <w:bCs/>
          <w:sz w:val="24"/>
          <w:szCs w:val="24"/>
        </w:rPr>
      </w:pPr>
      <w:r w:rsidRPr="00BC4502">
        <w:rPr>
          <w:rFonts w:ascii="Times New Roman" w:hAnsi="Times New Roman" w:cs="Times New Roman"/>
          <w:b/>
          <w:bCs/>
          <w:sz w:val="24"/>
          <w:szCs w:val="24"/>
        </w:rPr>
        <w:t>Označenie výkazu</w:t>
      </w:r>
      <w:r w:rsidR="00655AC8" w:rsidRPr="00BC4502">
        <w:rPr>
          <w:rFonts w:ascii="Times New Roman" w:hAnsi="Times New Roman" w:cs="Times New Roman"/>
          <w:b/>
          <w:bCs/>
          <w:sz w:val="24"/>
          <w:szCs w:val="24"/>
        </w:rPr>
        <w:t xml:space="preserve">                </w:t>
      </w:r>
      <w:r w:rsidRPr="00BC4502">
        <w:rPr>
          <w:rFonts w:ascii="Times New Roman" w:hAnsi="Times New Roman" w:cs="Times New Roman"/>
          <w:b/>
          <w:bCs/>
          <w:sz w:val="24"/>
          <w:szCs w:val="24"/>
        </w:rPr>
        <w:t>Názov výkazu</w:t>
      </w:r>
    </w:p>
    <w:p w:rsidR="00BD6799" w:rsidRPr="00BC4502" w:rsidRDefault="00BD6799" w:rsidP="00173E01">
      <w:pPr>
        <w:spacing w:after="0"/>
        <w:jc w:val="both"/>
        <w:rPr>
          <w:rFonts w:ascii="Times New Roman" w:hAnsi="Times New Roman" w:cs="Times New Roman"/>
          <w:b/>
          <w:bCs/>
          <w:sz w:val="24"/>
          <w:szCs w:val="24"/>
        </w:rPr>
      </w:pPr>
      <w:r w:rsidRPr="00BC4502">
        <w:rPr>
          <w:rFonts w:ascii="Times New Roman" w:hAnsi="Times New Roman" w:cs="Times New Roman"/>
          <w:b/>
          <w:bCs/>
          <w:sz w:val="24"/>
          <w:szCs w:val="24"/>
        </w:rPr>
        <w:t>___________________________________________________________________________</w:t>
      </w:r>
    </w:p>
    <w:p w:rsidR="00B80C48" w:rsidRPr="00BC4502" w:rsidRDefault="00B80C48" w:rsidP="00173E01">
      <w:pPr>
        <w:spacing w:after="0"/>
        <w:rPr>
          <w:rFonts w:ascii="Times New Roman" w:hAnsi="Times New Roman" w:cs="Times New Roman"/>
        </w:rPr>
      </w:pPr>
      <w:r w:rsidRPr="00BC4502">
        <w:rPr>
          <w:rFonts w:ascii="Times New Roman" w:hAnsi="Times New Roman" w:cs="Times New Roman"/>
        </w:rPr>
        <w:t>a) Vzor V</w:t>
      </w:r>
      <w:r w:rsidRPr="00BC4502">
        <w:rPr>
          <w:rFonts w:ascii="Times New Roman" w:hAnsi="Times New Roman" w:cs="Times New Roman"/>
        </w:rPr>
        <w:tab/>
      </w:r>
      <w:r w:rsidRPr="00BC4502">
        <w:rPr>
          <w:rFonts w:ascii="Times New Roman" w:hAnsi="Times New Roman" w:cs="Times New Roman"/>
        </w:rPr>
        <w:tab/>
      </w:r>
      <w:r w:rsidRPr="00BC4502">
        <w:rPr>
          <w:rFonts w:ascii="Times New Roman" w:hAnsi="Times New Roman" w:cs="Times New Roman"/>
        </w:rPr>
        <w:tab/>
        <w:t>Registrácia PEPP, vzor výkazu je uvedený v prílohe V</w:t>
      </w:r>
      <w:r w:rsidRPr="00BC4502">
        <w:rPr>
          <w:rFonts w:ascii="Times New Roman" w:hAnsi="Times New Roman" w:cs="Times New Roman"/>
        </w:rPr>
        <w:tab/>
      </w:r>
      <w:r w:rsidRPr="00BC4502">
        <w:rPr>
          <w:rFonts w:ascii="Times New Roman" w:hAnsi="Times New Roman" w:cs="Times New Roman"/>
        </w:rPr>
        <w:tab/>
      </w:r>
    </w:p>
    <w:p w:rsidR="00B80C48" w:rsidRPr="00BC4502" w:rsidRDefault="00B80C48" w:rsidP="00173E01">
      <w:pPr>
        <w:spacing w:after="0"/>
        <w:rPr>
          <w:rFonts w:ascii="Times New Roman" w:hAnsi="Times New Roman" w:cs="Times New Roman"/>
        </w:rPr>
      </w:pPr>
      <w:r w:rsidRPr="00BC4502">
        <w:rPr>
          <w:rFonts w:ascii="Times New Roman" w:hAnsi="Times New Roman" w:cs="Times New Roman"/>
          <w:color w:val="000000"/>
        </w:rPr>
        <w:t>b) Vzor IX</w:t>
      </w:r>
      <w:r w:rsidRPr="00BC4502">
        <w:rPr>
          <w:rFonts w:ascii="Times New Roman" w:hAnsi="Times New Roman" w:cs="Times New Roman"/>
        </w:rPr>
        <w:t xml:space="preserve"> </w:t>
      </w:r>
      <w:r w:rsidRPr="00BC4502">
        <w:rPr>
          <w:rFonts w:ascii="Times New Roman" w:hAnsi="Times New Roman" w:cs="Times New Roman"/>
        </w:rPr>
        <w:tab/>
      </w:r>
      <w:r w:rsidRPr="00BC4502">
        <w:rPr>
          <w:rFonts w:ascii="Times New Roman" w:hAnsi="Times New Roman" w:cs="Times New Roman"/>
        </w:rPr>
        <w:tab/>
      </w:r>
      <w:r w:rsidRPr="00BC4502">
        <w:rPr>
          <w:rFonts w:ascii="Times New Roman" w:hAnsi="Times New Roman" w:cs="Times New Roman"/>
        </w:rPr>
        <w:tab/>
        <w:t xml:space="preserve">Otvorenie nového podúčtu , vzor výkazu je uvedený v prílohe IX </w:t>
      </w:r>
    </w:p>
    <w:p w:rsidR="00B80C48" w:rsidRPr="00BC4502" w:rsidRDefault="00B80C48" w:rsidP="00173E01">
      <w:pPr>
        <w:spacing w:after="0"/>
        <w:jc w:val="both"/>
        <w:rPr>
          <w:rFonts w:ascii="Times New Roman" w:hAnsi="Times New Roman" w:cs="Times New Roman"/>
        </w:rPr>
      </w:pPr>
      <w:r w:rsidRPr="00BC4502">
        <w:rPr>
          <w:rFonts w:ascii="Times New Roman" w:hAnsi="Times New Roman" w:cs="Times New Roman"/>
        </w:rPr>
        <w:t xml:space="preserve">c) Vzor VII </w:t>
      </w:r>
      <w:r w:rsidRPr="00BC4502">
        <w:rPr>
          <w:rFonts w:ascii="Times New Roman" w:hAnsi="Times New Roman" w:cs="Times New Roman"/>
        </w:rPr>
        <w:tab/>
      </w:r>
      <w:r w:rsidRPr="00BC4502">
        <w:rPr>
          <w:rFonts w:ascii="Times New Roman" w:hAnsi="Times New Roman" w:cs="Times New Roman"/>
        </w:rPr>
        <w:tab/>
      </w:r>
      <w:r w:rsidRPr="00BC4502">
        <w:rPr>
          <w:rFonts w:ascii="Times New Roman" w:hAnsi="Times New Roman" w:cs="Times New Roman"/>
        </w:rPr>
        <w:tab/>
        <w:t>Zrušenie registrácie PEPP</w:t>
      </w:r>
    </w:p>
    <w:p w:rsidR="007554A4" w:rsidRPr="00BC4502" w:rsidRDefault="00B80C48" w:rsidP="00173E01">
      <w:pPr>
        <w:spacing w:after="0"/>
        <w:ind w:left="2832" w:hanging="2832"/>
        <w:rPr>
          <w:rFonts w:ascii="Times New Roman" w:hAnsi="Times New Roman" w:cs="Times New Roman"/>
        </w:rPr>
      </w:pPr>
      <w:r w:rsidRPr="00BC4502">
        <w:rPr>
          <w:rFonts w:ascii="Times New Roman" w:hAnsi="Times New Roman" w:cs="Times New Roman"/>
        </w:rPr>
        <w:t>d</w:t>
      </w:r>
      <w:r w:rsidR="007554A4" w:rsidRPr="00BC4502">
        <w:rPr>
          <w:rFonts w:ascii="Times New Roman" w:hAnsi="Times New Roman" w:cs="Times New Roman"/>
        </w:rPr>
        <w:t>) PP.01.02</w:t>
      </w:r>
      <w:r w:rsidR="007554A4" w:rsidRPr="00BC4502">
        <w:rPr>
          <w:rFonts w:ascii="Times New Roman" w:hAnsi="Times New Roman" w:cs="Times New Roman"/>
        </w:rPr>
        <w:tab/>
        <w:t>Základné informácie o PEPP, vzor výkazu je uvedený v</w:t>
      </w:r>
      <w:r w:rsidR="00657B01" w:rsidRPr="00BC4502">
        <w:rPr>
          <w:rFonts w:ascii="Times New Roman" w:hAnsi="Times New Roman" w:cs="Times New Roman"/>
        </w:rPr>
        <w:t> prílohe I, pokyny na vypracovanie v časti PP.01.02 prílohy</w:t>
      </w:r>
      <w:r w:rsidR="007554A4" w:rsidRPr="00BC4502">
        <w:rPr>
          <w:rFonts w:ascii="Times New Roman" w:hAnsi="Times New Roman" w:cs="Times New Roman"/>
        </w:rPr>
        <w:t> II,</w:t>
      </w:r>
    </w:p>
    <w:p w:rsidR="007554A4" w:rsidRPr="00BC4502" w:rsidRDefault="00B80C48" w:rsidP="00173E01">
      <w:pPr>
        <w:spacing w:after="0"/>
        <w:ind w:left="2832" w:hanging="2832"/>
        <w:rPr>
          <w:rFonts w:ascii="Times New Roman" w:hAnsi="Times New Roman" w:cs="Times New Roman"/>
        </w:rPr>
      </w:pPr>
      <w:r w:rsidRPr="00BC4502">
        <w:rPr>
          <w:rFonts w:ascii="Times New Roman" w:hAnsi="Times New Roman" w:cs="Times New Roman"/>
        </w:rPr>
        <w:t>e</w:t>
      </w:r>
      <w:r w:rsidR="007554A4" w:rsidRPr="00BC4502">
        <w:rPr>
          <w:rFonts w:ascii="Times New Roman" w:hAnsi="Times New Roman" w:cs="Times New Roman"/>
        </w:rPr>
        <w:t>)PP.52.01</w:t>
      </w:r>
      <w:r w:rsidR="007554A4" w:rsidRPr="00BC4502">
        <w:rPr>
          <w:rFonts w:ascii="Times New Roman" w:hAnsi="Times New Roman" w:cs="Times New Roman"/>
        </w:rPr>
        <w:tab/>
      </w:r>
      <w:r w:rsidRPr="00BC4502">
        <w:rPr>
          <w:rFonts w:ascii="Times New Roman" w:hAnsi="Times New Roman" w:cs="Times New Roman"/>
        </w:rPr>
        <w:t>Informácie o PEPP a sporiteľoch</w:t>
      </w:r>
      <w:r w:rsidR="007554A4" w:rsidRPr="00BC4502">
        <w:rPr>
          <w:rFonts w:ascii="Times New Roman" w:hAnsi="Times New Roman" w:cs="Times New Roman"/>
        </w:rPr>
        <w:t xml:space="preserve"> PEPP, vzor výkazu je uvedený v</w:t>
      </w:r>
      <w:r w:rsidR="00657B01" w:rsidRPr="00BC4502">
        <w:rPr>
          <w:rFonts w:ascii="Times New Roman" w:hAnsi="Times New Roman" w:cs="Times New Roman"/>
        </w:rPr>
        <w:t> prílohe I</w:t>
      </w:r>
      <w:r w:rsidR="004E5CFD" w:rsidRPr="00BC4502">
        <w:rPr>
          <w:rFonts w:ascii="Times New Roman" w:hAnsi="Times New Roman" w:cs="Times New Roman"/>
        </w:rPr>
        <w:t xml:space="preserve"> ,pokyny na vypracovanie v </w:t>
      </w:r>
      <w:r w:rsidR="007554A4" w:rsidRPr="00BC4502">
        <w:rPr>
          <w:rFonts w:ascii="Times New Roman" w:hAnsi="Times New Roman" w:cs="Times New Roman"/>
        </w:rPr>
        <w:t>časti PP.52.01 prílohy II,</w:t>
      </w:r>
    </w:p>
    <w:p w:rsidR="007554A4" w:rsidRPr="00BC4502" w:rsidRDefault="00B80C48" w:rsidP="00173E01">
      <w:pPr>
        <w:spacing w:after="0"/>
        <w:ind w:left="2832" w:hanging="2832"/>
        <w:rPr>
          <w:rFonts w:ascii="Times New Roman" w:hAnsi="Times New Roman" w:cs="Times New Roman"/>
        </w:rPr>
      </w:pPr>
      <w:r w:rsidRPr="00BC4502">
        <w:rPr>
          <w:rFonts w:ascii="Times New Roman" w:hAnsi="Times New Roman" w:cs="Times New Roman"/>
        </w:rPr>
        <w:t>f</w:t>
      </w:r>
      <w:r w:rsidR="007554A4" w:rsidRPr="00BC4502">
        <w:rPr>
          <w:rFonts w:ascii="Times New Roman" w:hAnsi="Times New Roman" w:cs="Times New Roman"/>
        </w:rPr>
        <w:t>)PP.06.02</w:t>
      </w:r>
      <w:r w:rsidR="007554A4" w:rsidRPr="00BC4502">
        <w:rPr>
          <w:rFonts w:ascii="Times New Roman" w:hAnsi="Times New Roman" w:cs="Times New Roman"/>
        </w:rPr>
        <w:tab/>
        <w:t xml:space="preserve">Zoznam aktív, vzor výkazu je uvedený v časti PP.06.02 prílohy </w:t>
      </w:r>
      <w:r w:rsidR="004E5CFD" w:rsidRPr="00BC4502">
        <w:rPr>
          <w:rFonts w:ascii="Times New Roman" w:hAnsi="Times New Roman" w:cs="Times New Roman"/>
        </w:rPr>
        <w:t xml:space="preserve">I, pokyny v časti PP.06.02 prílohy II </w:t>
      </w:r>
      <w:r w:rsidR="007554A4" w:rsidRPr="00BC4502">
        <w:rPr>
          <w:rFonts w:ascii="Times New Roman" w:hAnsi="Times New Roman" w:cs="Times New Roman"/>
        </w:rPr>
        <w:t xml:space="preserve"> s použitím </w:t>
      </w:r>
      <w:r w:rsidR="004E5CFD" w:rsidRPr="00BC4502">
        <w:rPr>
          <w:rFonts w:ascii="Times New Roman" w:hAnsi="Times New Roman" w:cs="Times New Roman"/>
        </w:rPr>
        <w:t xml:space="preserve">doplnkového identifikačného </w:t>
      </w:r>
      <w:r w:rsidR="007554A4" w:rsidRPr="00BC4502">
        <w:rPr>
          <w:rFonts w:ascii="Times New Roman" w:hAnsi="Times New Roman" w:cs="Times New Roman"/>
        </w:rPr>
        <w:t>kódu CIC stanoveného v prílohe III a vymedzeného v prílohe IV,</w:t>
      </w:r>
    </w:p>
    <w:p w:rsidR="007554A4" w:rsidRPr="00BC4502" w:rsidRDefault="00B80C48" w:rsidP="00173E01">
      <w:pPr>
        <w:spacing w:after="0"/>
        <w:ind w:left="2832" w:hanging="2832"/>
        <w:rPr>
          <w:rFonts w:ascii="Times New Roman" w:hAnsi="Times New Roman" w:cs="Times New Roman"/>
        </w:rPr>
      </w:pPr>
      <w:r w:rsidRPr="00BC4502">
        <w:rPr>
          <w:rFonts w:ascii="Times New Roman" w:hAnsi="Times New Roman" w:cs="Times New Roman"/>
        </w:rPr>
        <w:t>g</w:t>
      </w:r>
      <w:r w:rsidR="007554A4" w:rsidRPr="00BC4502">
        <w:rPr>
          <w:rFonts w:ascii="Times New Roman" w:hAnsi="Times New Roman" w:cs="Times New Roman"/>
        </w:rPr>
        <w:t xml:space="preserve">) PP.06.03 </w:t>
      </w:r>
      <w:r w:rsidR="007554A4" w:rsidRPr="00BC4502">
        <w:rPr>
          <w:rFonts w:ascii="Times New Roman" w:hAnsi="Times New Roman" w:cs="Times New Roman"/>
        </w:rPr>
        <w:tab/>
        <w:t xml:space="preserve">Informácie o prezretí všetkých kolektívnych investícií v držbe poskytovateľov PEPP, </w:t>
      </w:r>
      <w:r w:rsidR="004E5CFD" w:rsidRPr="00BC4502">
        <w:rPr>
          <w:rFonts w:ascii="Times New Roman" w:hAnsi="Times New Roman" w:cs="Times New Roman"/>
        </w:rPr>
        <w:t>vzor výkazu je uvedený v prílohe I,</w:t>
      </w:r>
      <w:r w:rsidR="007554A4" w:rsidRPr="00BC4502">
        <w:rPr>
          <w:rFonts w:ascii="Times New Roman" w:hAnsi="Times New Roman" w:cs="Times New Roman"/>
        </w:rPr>
        <w:t xml:space="preserve"> po</w:t>
      </w:r>
      <w:r w:rsidR="004E5CFD" w:rsidRPr="00BC4502">
        <w:rPr>
          <w:rFonts w:ascii="Times New Roman" w:hAnsi="Times New Roman" w:cs="Times New Roman"/>
        </w:rPr>
        <w:t xml:space="preserve">kyny na vypracovanie sú </w:t>
      </w:r>
      <w:r w:rsidR="007554A4" w:rsidRPr="00BC4502">
        <w:rPr>
          <w:rFonts w:ascii="Times New Roman" w:hAnsi="Times New Roman" w:cs="Times New Roman"/>
        </w:rPr>
        <w:t>v oddiele PP.06.03 prílohy II,</w:t>
      </w:r>
    </w:p>
    <w:p w:rsidR="007554A4" w:rsidRPr="00BC4502" w:rsidRDefault="00B80C48" w:rsidP="00173E01">
      <w:pPr>
        <w:spacing w:after="0"/>
        <w:ind w:left="2832" w:hanging="2832"/>
        <w:rPr>
          <w:rFonts w:ascii="Times New Roman" w:hAnsi="Times New Roman" w:cs="Times New Roman"/>
        </w:rPr>
      </w:pPr>
      <w:r w:rsidRPr="00BC4502">
        <w:rPr>
          <w:rFonts w:ascii="Times New Roman" w:hAnsi="Times New Roman" w:cs="Times New Roman"/>
        </w:rPr>
        <w:t>h</w:t>
      </w:r>
      <w:r w:rsidR="007554A4" w:rsidRPr="00BC4502">
        <w:rPr>
          <w:rFonts w:ascii="Times New Roman" w:hAnsi="Times New Roman" w:cs="Times New Roman"/>
        </w:rPr>
        <w:t xml:space="preserve">) PP.08.03 </w:t>
      </w:r>
      <w:r w:rsidR="007554A4" w:rsidRPr="00BC4502">
        <w:rPr>
          <w:rFonts w:ascii="Times New Roman" w:hAnsi="Times New Roman" w:cs="Times New Roman"/>
        </w:rPr>
        <w:tab/>
        <w:t xml:space="preserve">Súhrnné informácie o otvorených pozíciách derivátov, </w:t>
      </w:r>
      <w:r w:rsidR="004E5CFD" w:rsidRPr="00BC4502">
        <w:rPr>
          <w:rFonts w:ascii="Times New Roman" w:hAnsi="Times New Roman" w:cs="Times New Roman"/>
        </w:rPr>
        <w:t xml:space="preserve">vzor výkazu je v prílohe I, pokyny na vypracovanie sú </w:t>
      </w:r>
      <w:r w:rsidR="007554A4" w:rsidRPr="00BC4502">
        <w:rPr>
          <w:rFonts w:ascii="Times New Roman" w:hAnsi="Times New Roman" w:cs="Times New Roman"/>
        </w:rPr>
        <w:t>v časti PP.08.03 prílohy II a s použitím kódu CIC stanoveného v prílohe III a vymedzeného v prílohe IV.</w:t>
      </w:r>
    </w:p>
    <w:p w:rsidR="00655AC8" w:rsidRPr="00BC4502" w:rsidRDefault="00655AC8" w:rsidP="00173E01">
      <w:pPr>
        <w:spacing w:after="0"/>
        <w:rPr>
          <w:rFonts w:ascii="Times New Roman" w:hAnsi="Times New Roman" w:cs="Times New Roman"/>
          <w:sz w:val="24"/>
          <w:szCs w:val="24"/>
        </w:rPr>
      </w:pPr>
    </w:p>
    <w:p w:rsidR="00F61EBE" w:rsidRPr="00BC4502" w:rsidRDefault="007912E1"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 xml:space="preserve">(2) Vzory výkazov podľa odseku 1 </w:t>
      </w:r>
      <w:r w:rsidR="00B80C48" w:rsidRPr="00BC4502">
        <w:rPr>
          <w:rFonts w:ascii="Times New Roman" w:hAnsi="Times New Roman" w:cs="Times New Roman"/>
          <w:sz w:val="24"/>
          <w:szCs w:val="24"/>
        </w:rPr>
        <w:t xml:space="preserve">písm. d) až h) </w:t>
      </w:r>
      <w:r w:rsidR="00F127D9" w:rsidRPr="00BC4502">
        <w:rPr>
          <w:rFonts w:ascii="Times New Roman" w:hAnsi="Times New Roman" w:cs="Times New Roman"/>
          <w:sz w:val="24"/>
          <w:szCs w:val="24"/>
        </w:rPr>
        <w:t xml:space="preserve">sú uvedené v prílohe </w:t>
      </w:r>
      <w:r w:rsidRPr="00BC4502">
        <w:rPr>
          <w:rFonts w:ascii="Times New Roman" w:hAnsi="Times New Roman" w:cs="Times New Roman"/>
          <w:sz w:val="24"/>
          <w:szCs w:val="24"/>
        </w:rPr>
        <w:t xml:space="preserve"> č.</w:t>
      </w:r>
      <w:r w:rsidR="00506CE8" w:rsidRPr="00BC4502">
        <w:rPr>
          <w:rFonts w:ascii="Times New Roman" w:hAnsi="Times New Roman" w:cs="Times New Roman"/>
          <w:sz w:val="24"/>
          <w:szCs w:val="24"/>
        </w:rPr>
        <w:t xml:space="preserve"> 1 až 14.</w:t>
      </w:r>
      <w:r w:rsidR="00F127D9" w:rsidRPr="00BC4502">
        <w:rPr>
          <w:rFonts w:ascii="Times New Roman" w:hAnsi="Times New Roman" w:cs="Times New Roman"/>
          <w:sz w:val="24"/>
          <w:szCs w:val="24"/>
        </w:rPr>
        <w:t xml:space="preserve"> </w:t>
      </w:r>
    </w:p>
    <w:p w:rsidR="00F61EBE" w:rsidRPr="00BC4502" w:rsidRDefault="00F61EBE" w:rsidP="00173E01">
      <w:pPr>
        <w:spacing w:after="0"/>
        <w:ind w:firstLine="708"/>
        <w:jc w:val="both"/>
        <w:rPr>
          <w:rFonts w:ascii="Times New Roman" w:hAnsi="Times New Roman" w:cs="Times New Roman"/>
          <w:sz w:val="24"/>
          <w:szCs w:val="24"/>
        </w:rPr>
      </w:pPr>
    </w:p>
    <w:p w:rsidR="007912E1" w:rsidRPr="00BC4502" w:rsidRDefault="00F61EBE"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 xml:space="preserve">(3) </w:t>
      </w:r>
      <w:r w:rsidR="00F127D9" w:rsidRPr="00BC4502">
        <w:rPr>
          <w:rFonts w:ascii="Times New Roman" w:hAnsi="Times New Roman" w:cs="Times New Roman"/>
          <w:sz w:val="24"/>
          <w:szCs w:val="24"/>
        </w:rPr>
        <w:t xml:space="preserve">Metodika na vypracovanie </w:t>
      </w:r>
      <w:r w:rsidR="00B80C48" w:rsidRPr="00BC4502">
        <w:rPr>
          <w:rFonts w:ascii="Times New Roman" w:hAnsi="Times New Roman" w:cs="Times New Roman"/>
          <w:sz w:val="24"/>
          <w:szCs w:val="24"/>
        </w:rPr>
        <w:t>výkazov podľa odseku 1 písm. d) až h</w:t>
      </w:r>
      <w:r w:rsidRPr="00BC4502">
        <w:rPr>
          <w:rFonts w:ascii="Times New Roman" w:hAnsi="Times New Roman" w:cs="Times New Roman"/>
          <w:sz w:val="24"/>
          <w:szCs w:val="24"/>
        </w:rPr>
        <w:t>) je uvedená v prílohe č. 2.</w:t>
      </w:r>
    </w:p>
    <w:p w:rsidR="007912E1" w:rsidRPr="00BC4502" w:rsidRDefault="007912E1" w:rsidP="00173E01">
      <w:pPr>
        <w:spacing w:after="0"/>
        <w:jc w:val="both"/>
        <w:rPr>
          <w:rFonts w:ascii="Times New Roman" w:hAnsi="Times New Roman" w:cs="Times New Roman"/>
          <w:sz w:val="24"/>
          <w:szCs w:val="24"/>
        </w:rPr>
      </w:pPr>
    </w:p>
    <w:p w:rsidR="00375F45" w:rsidRPr="00BC4502" w:rsidRDefault="00375F45" w:rsidP="00173E01">
      <w:pPr>
        <w:spacing w:after="0"/>
        <w:jc w:val="center"/>
        <w:rPr>
          <w:rFonts w:ascii="Times New Roman" w:hAnsi="Times New Roman" w:cs="Times New Roman"/>
          <w:b/>
          <w:bCs/>
          <w:sz w:val="24"/>
          <w:szCs w:val="24"/>
        </w:rPr>
      </w:pPr>
      <w:r w:rsidRPr="00BC4502">
        <w:rPr>
          <w:rFonts w:ascii="Times New Roman" w:hAnsi="Times New Roman" w:cs="Times New Roman"/>
          <w:b/>
          <w:bCs/>
          <w:sz w:val="24"/>
          <w:szCs w:val="24"/>
        </w:rPr>
        <w:lastRenderedPageBreak/>
        <w:t>§ 2</w:t>
      </w:r>
    </w:p>
    <w:p w:rsidR="001929E1" w:rsidRPr="00BC4502" w:rsidRDefault="0092707A" w:rsidP="007609FA">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(1</w:t>
      </w:r>
      <w:r w:rsidR="00375F45" w:rsidRPr="00BC4502">
        <w:rPr>
          <w:rFonts w:ascii="Times New Roman" w:hAnsi="Times New Roman" w:cs="Times New Roman"/>
          <w:sz w:val="24"/>
          <w:szCs w:val="24"/>
        </w:rPr>
        <w:t>) Výkazy podľa §</w:t>
      </w:r>
      <w:r w:rsidR="00870369" w:rsidRPr="00BC4502">
        <w:rPr>
          <w:rFonts w:ascii="Times New Roman" w:hAnsi="Times New Roman" w:cs="Times New Roman"/>
          <w:sz w:val="24"/>
          <w:szCs w:val="24"/>
        </w:rPr>
        <w:t xml:space="preserve"> 1 ods. 1</w:t>
      </w:r>
      <w:r w:rsidR="001929E1" w:rsidRPr="00BC4502">
        <w:rPr>
          <w:rFonts w:ascii="Times New Roman" w:hAnsi="Times New Roman" w:cs="Times New Roman"/>
          <w:sz w:val="24"/>
          <w:szCs w:val="24"/>
        </w:rPr>
        <w:t xml:space="preserve"> písm. </w:t>
      </w:r>
      <w:r w:rsidR="00B80C48" w:rsidRPr="00BC4502">
        <w:rPr>
          <w:rFonts w:ascii="Times New Roman" w:hAnsi="Times New Roman" w:cs="Times New Roman"/>
          <w:sz w:val="24"/>
          <w:szCs w:val="24"/>
        </w:rPr>
        <w:t>a</w:t>
      </w:r>
      <w:r w:rsidR="00F61EBE" w:rsidRPr="00BC4502">
        <w:rPr>
          <w:rFonts w:ascii="Times New Roman" w:hAnsi="Times New Roman" w:cs="Times New Roman"/>
          <w:sz w:val="24"/>
          <w:szCs w:val="24"/>
        </w:rPr>
        <w:t>)</w:t>
      </w:r>
      <w:r w:rsidR="001929E1" w:rsidRPr="00BC4502">
        <w:rPr>
          <w:rFonts w:ascii="Times New Roman" w:hAnsi="Times New Roman" w:cs="Times New Roman"/>
          <w:sz w:val="24"/>
          <w:szCs w:val="24"/>
        </w:rPr>
        <w:t xml:space="preserve"> a</w:t>
      </w:r>
      <w:r w:rsidR="00B80C48" w:rsidRPr="00BC4502">
        <w:rPr>
          <w:rFonts w:ascii="Times New Roman" w:hAnsi="Times New Roman" w:cs="Times New Roman"/>
          <w:sz w:val="24"/>
          <w:szCs w:val="24"/>
        </w:rPr>
        <w:t>ž c</w:t>
      </w:r>
      <w:r w:rsidR="00870369" w:rsidRPr="00BC4502">
        <w:rPr>
          <w:rFonts w:ascii="Times New Roman" w:hAnsi="Times New Roman" w:cs="Times New Roman"/>
          <w:sz w:val="24"/>
          <w:szCs w:val="24"/>
        </w:rPr>
        <w:t xml:space="preserve">) </w:t>
      </w:r>
      <w:r w:rsidR="001929E1" w:rsidRPr="00BC4502">
        <w:rPr>
          <w:rFonts w:ascii="Times New Roman" w:hAnsi="Times New Roman" w:cs="Times New Roman"/>
          <w:sz w:val="24"/>
          <w:szCs w:val="24"/>
        </w:rPr>
        <w:t xml:space="preserve">sa vypracúvajú ku dňu vzniku skutočnosti, s ktorou je spojená povinnosť vypracovať výkaz a predkladajú sa </w:t>
      </w:r>
      <w:r w:rsidR="00592B0D" w:rsidRPr="00BC4502">
        <w:rPr>
          <w:rFonts w:ascii="Times New Roman" w:hAnsi="Times New Roman" w:cs="Times New Roman"/>
          <w:sz w:val="24"/>
          <w:szCs w:val="24"/>
        </w:rPr>
        <w:t>bezodkladne</w:t>
      </w:r>
      <w:r w:rsidR="00BC4502">
        <w:rPr>
          <w:rFonts w:ascii="Times New Roman" w:hAnsi="Times New Roman" w:cs="Times New Roman"/>
          <w:sz w:val="24"/>
          <w:szCs w:val="24"/>
        </w:rPr>
        <w:t>.</w:t>
      </w:r>
    </w:p>
    <w:p w:rsidR="0092707A" w:rsidRPr="00BC4502" w:rsidRDefault="0092707A" w:rsidP="00173E01">
      <w:pPr>
        <w:spacing w:after="0"/>
        <w:ind w:firstLine="708"/>
        <w:jc w:val="both"/>
        <w:rPr>
          <w:rFonts w:ascii="Times New Roman" w:hAnsi="Times New Roman" w:cs="Times New Roman"/>
          <w:sz w:val="24"/>
          <w:szCs w:val="24"/>
        </w:rPr>
      </w:pPr>
    </w:p>
    <w:p w:rsidR="0092707A" w:rsidRPr="00BC4502" w:rsidRDefault="0092707A"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 xml:space="preserve">(2) Výkazy podľa </w:t>
      </w:r>
      <w:r w:rsidR="00B80C48" w:rsidRPr="00BC4502">
        <w:rPr>
          <w:rFonts w:ascii="Times New Roman" w:hAnsi="Times New Roman" w:cs="Times New Roman"/>
          <w:sz w:val="24"/>
          <w:szCs w:val="24"/>
        </w:rPr>
        <w:t>§ 1 ods. 1 písm. d) až h</w:t>
      </w:r>
      <w:r w:rsidRPr="00BC4502">
        <w:rPr>
          <w:rFonts w:ascii="Times New Roman" w:hAnsi="Times New Roman" w:cs="Times New Roman"/>
          <w:sz w:val="24"/>
          <w:szCs w:val="24"/>
        </w:rPr>
        <w:t>)</w:t>
      </w:r>
      <w:r w:rsidR="00D40FFF" w:rsidRPr="00BC4502">
        <w:rPr>
          <w:rFonts w:ascii="Times New Roman" w:hAnsi="Times New Roman" w:cs="Times New Roman"/>
          <w:sz w:val="24"/>
          <w:szCs w:val="24"/>
        </w:rPr>
        <w:t xml:space="preserve"> </w:t>
      </w:r>
      <w:r w:rsidRPr="00BC4502">
        <w:rPr>
          <w:rFonts w:ascii="Times New Roman" w:hAnsi="Times New Roman" w:cs="Times New Roman"/>
          <w:sz w:val="24"/>
          <w:szCs w:val="24"/>
        </w:rPr>
        <w:t xml:space="preserve">sa vypracúvajú k 31. decembru kalendárneho roka a predkladajú sa </w:t>
      </w:r>
      <w:r w:rsidR="00592B0D" w:rsidRPr="00BC4502">
        <w:rPr>
          <w:rFonts w:ascii="Times New Roman" w:hAnsi="Times New Roman" w:cs="Times New Roman"/>
          <w:sz w:val="24"/>
          <w:szCs w:val="24"/>
        </w:rPr>
        <w:t>do konca kalendárneho štvrťroka, ktorý nasleduje po dni</w:t>
      </w:r>
      <w:r w:rsidRPr="00BC4502">
        <w:rPr>
          <w:rFonts w:ascii="Times New Roman" w:hAnsi="Times New Roman" w:cs="Times New Roman"/>
          <w:sz w:val="24"/>
          <w:szCs w:val="24"/>
        </w:rPr>
        <w:t>, ku ktorému sa vypracúvajú</w:t>
      </w:r>
      <w:r w:rsidR="00592B0D" w:rsidRPr="00BC4502">
        <w:rPr>
          <w:rFonts w:ascii="Times New Roman" w:hAnsi="Times New Roman" w:cs="Times New Roman"/>
          <w:sz w:val="24"/>
          <w:szCs w:val="24"/>
        </w:rPr>
        <w:t>.</w:t>
      </w:r>
    </w:p>
    <w:p w:rsidR="001929E1" w:rsidRPr="00BC4502" w:rsidRDefault="001929E1" w:rsidP="00173E01">
      <w:pPr>
        <w:spacing w:after="0"/>
        <w:jc w:val="both"/>
        <w:rPr>
          <w:rFonts w:ascii="Times New Roman" w:hAnsi="Times New Roman" w:cs="Times New Roman"/>
          <w:sz w:val="24"/>
          <w:szCs w:val="24"/>
        </w:rPr>
      </w:pPr>
    </w:p>
    <w:p w:rsidR="007912E1" w:rsidRPr="00BC4502" w:rsidRDefault="001929E1"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w:t>
      </w:r>
      <w:r w:rsidR="0092707A" w:rsidRPr="00BC4502">
        <w:rPr>
          <w:rFonts w:ascii="Times New Roman" w:hAnsi="Times New Roman" w:cs="Times New Roman"/>
          <w:sz w:val="24"/>
          <w:szCs w:val="24"/>
        </w:rPr>
        <w:t>3</w:t>
      </w:r>
      <w:r w:rsidRPr="00BC4502">
        <w:rPr>
          <w:rFonts w:ascii="Times New Roman" w:hAnsi="Times New Roman" w:cs="Times New Roman"/>
          <w:sz w:val="24"/>
          <w:szCs w:val="24"/>
        </w:rPr>
        <w:t>) Ak sa použije ako účtovné obdobi</w:t>
      </w:r>
      <w:r w:rsidR="00592B0D" w:rsidRPr="00BC4502">
        <w:rPr>
          <w:rFonts w:ascii="Times New Roman" w:hAnsi="Times New Roman" w:cs="Times New Roman"/>
          <w:sz w:val="24"/>
          <w:szCs w:val="24"/>
        </w:rPr>
        <w:t>e hospodársky rok, ktorý je posunutý</w:t>
      </w:r>
      <w:r w:rsidRPr="00BC4502">
        <w:rPr>
          <w:rFonts w:ascii="Times New Roman" w:hAnsi="Times New Roman" w:cs="Times New Roman"/>
          <w:sz w:val="24"/>
          <w:szCs w:val="24"/>
        </w:rPr>
        <w:t xml:space="preserve"> oproti účtovnému obdobiu, ktorým je kalendárny rok o určitý časový úsek, lehoty na vypracúvanie a predkladanie výkazov </w:t>
      </w:r>
      <w:r w:rsidR="00592B0D" w:rsidRPr="00BC4502">
        <w:rPr>
          <w:rFonts w:ascii="Times New Roman" w:hAnsi="Times New Roman" w:cs="Times New Roman"/>
          <w:sz w:val="24"/>
          <w:szCs w:val="24"/>
        </w:rPr>
        <w:t>podľa odseku 2</w:t>
      </w:r>
      <w:r w:rsidR="00870369" w:rsidRPr="00BC4502">
        <w:rPr>
          <w:rFonts w:ascii="Times New Roman" w:hAnsi="Times New Roman" w:cs="Times New Roman"/>
          <w:sz w:val="24"/>
          <w:szCs w:val="24"/>
        </w:rPr>
        <w:t xml:space="preserve"> </w:t>
      </w:r>
      <w:r w:rsidRPr="00BC4502">
        <w:rPr>
          <w:rFonts w:ascii="Times New Roman" w:hAnsi="Times New Roman" w:cs="Times New Roman"/>
          <w:sz w:val="24"/>
          <w:szCs w:val="24"/>
        </w:rPr>
        <w:t>sa predlžujú o rovnaký úsek.</w:t>
      </w:r>
    </w:p>
    <w:p w:rsidR="00BC4502" w:rsidRDefault="00BC4502" w:rsidP="00506CE8">
      <w:pPr>
        <w:spacing w:after="0"/>
        <w:jc w:val="center"/>
        <w:rPr>
          <w:rFonts w:ascii="Times New Roman" w:hAnsi="Times New Roman" w:cs="Times New Roman"/>
          <w:b/>
          <w:sz w:val="24"/>
          <w:szCs w:val="24"/>
        </w:rPr>
      </w:pPr>
    </w:p>
    <w:p w:rsidR="00AF2F22" w:rsidRPr="00BC4502" w:rsidRDefault="00AF2F22" w:rsidP="00506CE8">
      <w:pPr>
        <w:spacing w:after="0"/>
        <w:jc w:val="center"/>
        <w:rPr>
          <w:rFonts w:ascii="Times New Roman" w:hAnsi="Times New Roman" w:cs="Times New Roman"/>
          <w:b/>
          <w:sz w:val="24"/>
          <w:szCs w:val="24"/>
        </w:rPr>
      </w:pPr>
      <w:r w:rsidRPr="00BC4502">
        <w:rPr>
          <w:rFonts w:ascii="Times New Roman" w:hAnsi="Times New Roman" w:cs="Times New Roman"/>
          <w:b/>
          <w:sz w:val="24"/>
          <w:szCs w:val="24"/>
        </w:rPr>
        <w:t>§ 3</w:t>
      </w:r>
    </w:p>
    <w:p w:rsidR="00AF2F22" w:rsidRPr="00BC4502" w:rsidRDefault="00AF2F22" w:rsidP="00506CE8">
      <w:pPr>
        <w:spacing w:after="0"/>
        <w:ind w:firstLine="708"/>
        <w:jc w:val="center"/>
        <w:rPr>
          <w:rFonts w:ascii="Times New Roman" w:hAnsi="Times New Roman" w:cs="Times New Roman"/>
          <w:b/>
          <w:sz w:val="24"/>
          <w:szCs w:val="24"/>
        </w:rPr>
      </w:pPr>
      <w:r w:rsidRPr="00BC4502">
        <w:rPr>
          <w:rFonts w:ascii="Times New Roman" w:hAnsi="Times New Roman" w:cs="Times New Roman"/>
          <w:b/>
          <w:sz w:val="24"/>
          <w:szCs w:val="24"/>
        </w:rPr>
        <w:t>Formáty oznamovania údajov</w:t>
      </w:r>
    </w:p>
    <w:p w:rsidR="00AF2F22" w:rsidRPr="00BC4502" w:rsidRDefault="00AF2F22"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(1) Poskytovatelia a distribútori celoeurópskych osobných dôchodkových produktov (PEPP) predkladajú informácie podľa § 1 v súlade s týmito špecifikáciami:</w:t>
      </w:r>
    </w:p>
    <w:p w:rsidR="00AF2F22" w:rsidRPr="00BC4502" w:rsidRDefault="00AF2F22"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ab/>
        <w:t>a) peňažné údaje sa vyjadrujú v jednotkách bez desatinných miest, s výnimkou výkazov PP.06.02 a PP.08.03 stanovených v prílohách I a II, ktoré sa vyjadrujú v jednotkách s presnosťou na dve desatinné miesta;</w:t>
      </w:r>
    </w:p>
    <w:p w:rsidR="00AF2F22" w:rsidRPr="00BC4502" w:rsidRDefault="00AF2F22"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ab/>
        <w:t>b) údaje typu „percentuálny podiel“ sa vyjadrujú s presnosťou na štyri desatinné miesta;</w:t>
      </w:r>
    </w:p>
    <w:p w:rsidR="00AF2F22" w:rsidRPr="00BC4502" w:rsidRDefault="00AF2F22"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ab/>
        <w:t>c) údaje typu „celé číslo“ sa vyjadrujú v jednotkách bez desatinných miest;</w:t>
      </w:r>
    </w:p>
    <w:p w:rsidR="00AF2F22" w:rsidRPr="00BC4502" w:rsidRDefault="00AF2F22"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ab/>
        <w:t>d) údajové body sa vyjadrujú ako kladné hodnoty s výnimkou týchto prípadov:</w:t>
      </w:r>
    </w:p>
    <w:p w:rsidR="00AF2F22" w:rsidRPr="00BC4502" w:rsidRDefault="00AF2F22" w:rsidP="00BC4502">
      <w:pPr>
        <w:pStyle w:val="Odsekzoznamu"/>
        <w:numPr>
          <w:ilvl w:val="0"/>
          <w:numId w:val="4"/>
        </w:numPr>
        <w:spacing w:after="0"/>
        <w:jc w:val="both"/>
        <w:rPr>
          <w:rFonts w:ascii="Times New Roman" w:hAnsi="Times New Roman" w:cs="Times New Roman"/>
          <w:sz w:val="24"/>
          <w:szCs w:val="24"/>
        </w:rPr>
      </w:pPr>
      <w:r w:rsidRPr="00BC4502">
        <w:rPr>
          <w:rFonts w:ascii="Times New Roman" w:hAnsi="Times New Roman" w:cs="Times New Roman"/>
          <w:sz w:val="24"/>
          <w:szCs w:val="24"/>
        </w:rPr>
        <w:t>v porovnaní s prirodzenou hodnotou danej položky sú údajové body opačnej povahy;</w:t>
      </w:r>
    </w:p>
    <w:p w:rsidR="00AF2F22" w:rsidRPr="00BC4502" w:rsidRDefault="00AF2F22" w:rsidP="00BC4502">
      <w:pPr>
        <w:pStyle w:val="Odsekzoznamu"/>
        <w:numPr>
          <w:ilvl w:val="0"/>
          <w:numId w:val="4"/>
        </w:numPr>
        <w:spacing w:after="0"/>
        <w:jc w:val="both"/>
        <w:rPr>
          <w:rFonts w:ascii="Times New Roman" w:hAnsi="Times New Roman" w:cs="Times New Roman"/>
          <w:sz w:val="24"/>
          <w:szCs w:val="24"/>
        </w:rPr>
      </w:pPr>
      <w:r w:rsidRPr="00BC4502">
        <w:rPr>
          <w:rFonts w:ascii="Times New Roman" w:hAnsi="Times New Roman" w:cs="Times New Roman"/>
          <w:sz w:val="24"/>
          <w:szCs w:val="24"/>
        </w:rPr>
        <w:t>povaha daného údajového bodu umožňuje oznamovať kladné i záporné hodnoty;</w:t>
      </w:r>
    </w:p>
    <w:p w:rsidR="00AF2F22" w:rsidRPr="00BC4502" w:rsidRDefault="00AF2F22" w:rsidP="00BC4502">
      <w:pPr>
        <w:pStyle w:val="Odsekzoznamu"/>
        <w:numPr>
          <w:ilvl w:val="0"/>
          <w:numId w:val="4"/>
        </w:numPr>
        <w:spacing w:after="0"/>
        <w:jc w:val="both"/>
        <w:rPr>
          <w:rFonts w:ascii="Times New Roman" w:hAnsi="Times New Roman" w:cs="Times New Roman"/>
          <w:sz w:val="24"/>
          <w:szCs w:val="24"/>
        </w:rPr>
      </w:pPr>
      <w:r w:rsidRPr="00BC4502">
        <w:rPr>
          <w:rFonts w:ascii="Times New Roman" w:hAnsi="Times New Roman" w:cs="Times New Roman"/>
          <w:sz w:val="24"/>
          <w:szCs w:val="24"/>
        </w:rPr>
        <w:t>v príslušných pokynoch stanovených v prílohách V až XIV k tomuto nariadeniu sa vyžaduje odlišný formát oznamovania.</w:t>
      </w:r>
    </w:p>
    <w:p w:rsidR="00BC4502" w:rsidRDefault="00BC4502" w:rsidP="00506CE8">
      <w:pPr>
        <w:spacing w:after="0"/>
        <w:ind w:firstLine="708"/>
        <w:jc w:val="center"/>
        <w:rPr>
          <w:rFonts w:ascii="Times New Roman" w:hAnsi="Times New Roman" w:cs="Times New Roman"/>
          <w:b/>
          <w:sz w:val="24"/>
          <w:szCs w:val="24"/>
        </w:rPr>
      </w:pPr>
    </w:p>
    <w:p w:rsidR="00AF2F22" w:rsidRPr="00BC4502" w:rsidRDefault="00AF2F22" w:rsidP="00506CE8">
      <w:pPr>
        <w:spacing w:after="0"/>
        <w:ind w:firstLine="708"/>
        <w:jc w:val="center"/>
        <w:rPr>
          <w:rFonts w:ascii="Times New Roman" w:hAnsi="Times New Roman" w:cs="Times New Roman"/>
          <w:b/>
          <w:sz w:val="24"/>
          <w:szCs w:val="24"/>
        </w:rPr>
      </w:pPr>
      <w:r w:rsidRPr="00BC4502">
        <w:rPr>
          <w:rFonts w:ascii="Times New Roman" w:hAnsi="Times New Roman" w:cs="Times New Roman"/>
          <w:b/>
          <w:sz w:val="24"/>
          <w:szCs w:val="24"/>
        </w:rPr>
        <w:t>§ 4</w:t>
      </w:r>
    </w:p>
    <w:p w:rsidR="00AF2F22" w:rsidRPr="00BC4502" w:rsidRDefault="00AF2F22" w:rsidP="00506CE8">
      <w:pPr>
        <w:spacing w:after="0"/>
        <w:jc w:val="center"/>
        <w:rPr>
          <w:rFonts w:ascii="Times New Roman" w:hAnsi="Times New Roman" w:cs="Times New Roman"/>
          <w:b/>
          <w:sz w:val="24"/>
          <w:szCs w:val="24"/>
        </w:rPr>
      </w:pPr>
      <w:r w:rsidRPr="00BC4502">
        <w:rPr>
          <w:rFonts w:ascii="Times New Roman" w:hAnsi="Times New Roman" w:cs="Times New Roman"/>
          <w:b/>
          <w:sz w:val="24"/>
          <w:szCs w:val="24"/>
        </w:rPr>
        <w:t>Mena oznamovania</w:t>
      </w:r>
    </w:p>
    <w:p w:rsidR="00AF2F22" w:rsidRPr="00BC4502" w:rsidRDefault="00AF2F22"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 xml:space="preserve">(1) Na účely tohto opatrenia je „menou oznamovania“ mena euro. </w:t>
      </w:r>
    </w:p>
    <w:p w:rsidR="00AF2F22" w:rsidRPr="00BC4502" w:rsidRDefault="00AF2F22" w:rsidP="00173E01">
      <w:pPr>
        <w:spacing w:after="0"/>
        <w:ind w:firstLine="708"/>
        <w:jc w:val="both"/>
        <w:rPr>
          <w:rFonts w:ascii="Times New Roman" w:hAnsi="Times New Roman" w:cs="Times New Roman"/>
          <w:sz w:val="24"/>
          <w:szCs w:val="24"/>
        </w:rPr>
      </w:pPr>
    </w:p>
    <w:p w:rsidR="00AF2F22" w:rsidRPr="00BC4502" w:rsidRDefault="00AF2F22" w:rsidP="00173E01">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(2) Finančné hodnoty vyjadrené v cudzej mene sa prepočítajú na eurá prostredníctvom referenčného výmenného kurzu Európskej centrálnej banky platného k dátumu, ku ktorému sa výkaz vypracúva.</w:t>
      </w:r>
    </w:p>
    <w:p w:rsidR="00AF2F22" w:rsidRPr="00BC4502" w:rsidRDefault="00AF2F22" w:rsidP="00173E01">
      <w:pPr>
        <w:spacing w:after="0"/>
        <w:jc w:val="center"/>
        <w:rPr>
          <w:rFonts w:ascii="Times New Roman" w:hAnsi="Times New Roman" w:cs="Times New Roman"/>
          <w:b/>
          <w:sz w:val="24"/>
          <w:szCs w:val="24"/>
        </w:rPr>
      </w:pPr>
    </w:p>
    <w:p w:rsidR="001929E1" w:rsidRPr="00BC4502" w:rsidRDefault="001929E1" w:rsidP="00173E01">
      <w:pPr>
        <w:spacing w:after="0"/>
        <w:jc w:val="center"/>
        <w:rPr>
          <w:rFonts w:ascii="Times New Roman" w:hAnsi="Times New Roman" w:cs="Times New Roman"/>
          <w:b/>
          <w:sz w:val="24"/>
          <w:szCs w:val="24"/>
        </w:rPr>
      </w:pPr>
      <w:r w:rsidRPr="00BC4502">
        <w:rPr>
          <w:rFonts w:ascii="Times New Roman" w:hAnsi="Times New Roman" w:cs="Times New Roman"/>
          <w:b/>
          <w:sz w:val="24"/>
          <w:szCs w:val="24"/>
        </w:rPr>
        <w:t xml:space="preserve">§ </w:t>
      </w:r>
      <w:r w:rsidR="00AF2F22" w:rsidRPr="00BC4502">
        <w:rPr>
          <w:rFonts w:ascii="Times New Roman" w:hAnsi="Times New Roman" w:cs="Times New Roman"/>
          <w:b/>
          <w:sz w:val="24"/>
          <w:szCs w:val="24"/>
        </w:rPr>
        <w:t>5</w:t>
      </w:r>
    </w:p>
    <w:p w:rsidR="001929E1" w:rsidRPr="00BC4502" w:rsidRDefault="007912E1" w:rsidP="007609FA">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 xml:space="preserve">(1) </w:t>
      </w:r>
      <w:r w:rsidR="001929E1" w:rsidRPr="00BC4502">
        <w:rPr>
          <w:rFonts w:ascii="Times New Roman" w:hAnsi="Times New Roman" w:cs="Times New Roman"/>
          <w:sz w:val="24"/>
          <w:szCs w:val="24"/>
        </w:rPr>
        <w:t>Výkazy podľa § 1 sa predkladajú Národnej banke Slovens</w:t>
      </w:r>
      <w:r w:rsidRPr="00BC4502">
        <w:rPr>
          <w:rFonts w:ascii="Times New Roman" w:hAnsi="Times New Roman" w:cs="Times New Roman"/>
          <w:sz w:val="24"/>
          <w:szCs w:val="24"/>
        </w:rPr>
        <w:t xml:space="preserve">ka elektronicky prostredníctvom </w:t>
      </w:r>
      <w:r w:rsidR="001929E1" w:rsidRPr="00BC4502">
        <w:rPr>
          <w:rFonts w:ascii="Times New Roman" w:hAnsi="Times New Roman" w:cs="Times New Roman"/>
          <w:sz w:val="24"/>
          <w:szCs w:val="24"/>
        </w:rPr>
        <w:t>informačného systému Štatistický zberový portál.</w:t>
      </w:r>
    </w:p>
    <w:p w:rsidR="007912E1" w:rsidRPr="00BC4502" w:rsidRDefault="007912E1" w:rsidP="00173E01">
      <w:pPr>
        <w:spacing w:after="0"/>
        <w:ind w:firstLine="708"/>
        <w:jc w:val="both"/>
        <w:rPr>
          <w:rFonts w:ascii="Times New Roman" w:hAnsi="Times New Roman" w:cs="Times New Roman"/>
          <w:sz w:val="24"/>
          <w:szCs w:val="24"/>
        </w:rPr>
      </w:pPr>
    </w:p>
    <w:p w:rsidR="001929E1" w:rsidRPr="00BC4502" w:rsidRDefault="00375F45" w:rsidP="00173E01">
      <w:pPr>
        <w:spacing w:after="0"/>
        <w:jc w:val="center"/>
        <w:rPr>
          <w:rFonts w:ascii="Times New Roman" w:hAnsi="Times New Roman" w:cs="Times New Roman"/>
          <w:b/>
          <w:sz w:val="24"/>
          <w:szCs w:val="24"/>
        </w:rPr>
      </w:pPr>
      <w:r w:rsidRPr="00BC4502">
        <w:rPr>
          <w:rFonts w:ascii="Times New Roman" w:hAnsi="Times New Roman" w:cs="Times New Roman"/>
          <w:b/>
          <w:sz w:val="24"/>
          <w:szCs w:val="24"/>
        </w:rPr>
        <w:t xml:space="preserve">§ </w:t>
      </w:r>
      <w:r w:rsidR="00AF2F22" w:rsidRPr="00BC4502">
        <w:rPr>
          <w:rFonts w:ascii="Times New Roman" w:hAnsi="Times New Roman" w:cs="Times New Roman"/>
          <w:b/>
          <w:sz w:val="24"/>
          <w:szCs w:val="24"/>
        </w:rPr>
        <w:t>6</w:t>
      </w:r>
    </w:p>
    <w:p w:rsidR="001929E1" w:rsidRPr="00BC4502" w:rsidRDefault="007912E1" w:rsidP="007609FA">
      <w:pPr>
        <w:spacing w:after="0"/>
        <w:ind w:firstLine="708"/>
        <w:jc w:val="both"/>
        <w:rPr>
          <w:rFonts w:ascii="Times New Roman" w:hAnsi="Times New Roman" w:cs="Times New Roman"/>
          <w:sz w:val="24"/>
          <w:szCs w:val="24"/>
        </w:rPr>
      </w:pPr>
      <w:r w:rsidRPr="00BC4502">
        <w:rPr>
          <w:rFonts w:ascii="Times New Roman" w:hAnsi="Times New Roman" w:cs="Times New Roman"/>
          <w:sz w:val="24"/>
          <w:szCs w:val="24"/>
        </w:rPr>
        <w:t xml:space="preserve">(1) </w:t>
      </w:r>
      <w:r w:rsidR="001929E1" w:rsidRPr="00BC4502">
        <w:rPr>
          <w:rFonts w:ascii="Times New Roman" w:hAnsi="Times New Roman" w:cs="Times New Roman"/>
          <w:sz w:val="24"/>
          <w:szCs w:val="24"/>
        </w:rPr>
        <w:t xml:space="preserve">Toto opatrenie nadobúda účinnosť </w:t>
      </w:r>
      <w:r w:rsidR="00203FA2" w:rsidRPr="00BC4502">
        <w:rPr>
          <w:rFonts w:ascii="Times New Roman" w:hAnsi="Times New Roman" w:cs="Times New Roman"/>
          <w:sz w:val="24"/>
          <w:szCs w:val="24"/>
        </w:rPr>
        <w:t>1</w:t>
      </w:r>
      <w:r w:rsidR="001929E1" w:rsidRPr="00BC4502">
        <w:rPr>
          <w:rFonts w:ascii="Times New Roman" w:hAnsi="Times New Roman" w:cs="Times New Roman"/>
          <w:sz w:val="24"/>
          <w:szCs w:val="24"/>
        </w:rPr>
        <w:t xml:space="preserve">. </w:t>
      </w:r>
      <w:r w:rsidR="007609FA" w:rsidRPr="00BC4502">
        <w:rPr>
          <w:rFonts w:ascii="Times New Roman" w:hAnsi="Times New Roman" w:cs="Times New Roman"/>
          <w:sz w:val="24"/>
          <w:szCs w:val="24"/>
        </w:rPr>
        <w:t>januára</w:t>
      </w:r>
      <w:r w:rsidR="00506BC1" w:rsidRPr="00BC4502">
        <w:rPr>
          <w:rFonts w:ascii="Times New Roman" w:hAnsi="Times New Roman" w:cs="Times New Roman"/>
          <w:sz w:val="24"/>
          <w:szCs w:val="24"/>
        </w:rPr>
        <w:t xml:space="preserve"> </w:t>
      </w:r>
      <w:r w:rsidR="00203FA2" w:rsidRPr="00BC4502">
        <w:rPr>
          <w:rFonts w:ascii="Times New Roman" w:hAnsi="Times New Roman" w:cs="Times New Roman"/>
          <w:sz w:val="24"/>
          <w:szCs w:val="24"/>
        </w:rPr>
        <w:t>2023</w:t>
      </w:r>
      <w:r w:rsidR="001929E1" w:rsidRPr="00BC4502">
        <w:rPr>
          <w:rFonts w:ascii="Times New Roman" w:hAnsi="Times New Roman" w:cs="Times New Roman"/>
          <w:sz w:val="24"/>
          <w:szCs w:val="24"/>
        </w:rPr>
        <w:t>.</w:t>
      </w:r>
    </w:p>
    <w:p w:rsidR="006A23A1" w:rsidRPr="00BC4502" w:rsidRDefault="006A23A1" w:rsidP="00173E01">
      <w:pPr>
        <w:spacing w:after="0"/>
        <w:jc w:val="both"/>
        <w:rPr>
          <w:rFonts w:ascii="Times New Roman" w:hAnsi="Times New Roman" w:cs="Times New Roman"/>
          <w:sz w:val="24"/>
          <w:szCs w:val="24"/>
        </w:rPr>
      </w:pPr>
    </w:p>
    <w:p w:rsidR="00870369" w:rsidRPr="00BC4502" w:rsidRDefault="00870369" w:rsidP="00173E01">
      <w:pPr>
        <w:spacing w:after="0"/>
        <w:ind w:firstLine="708"/>
        <w:jc w:val="both"/>
        <w:rPr>
          <w:rFonts w:ascii="Times New Roman" w:hAnsi="Times New Roman" w:cs="Times New Roman"/>
          <w:sz w:val="24"/>
          <w:szCs w:val="24"/>
        </w:rPr>
      </w:pPr>
    </w:p>
    <w:p w:rsidR="00407408" w:rsidRPr="00BC4502" w:rsidRDefault="00407408" w:rsidP="00173E01">
      <w:pPr>
        <w:spacing w:after="0"/>
        <w:ind w:firstLine="708"/>
        <w:jc w:val="both"/>
        <w:rPr>
          <w:rFonts w:ascii="Times New Roman" w:hAnsi="Times New Roman" w:cs="Times New Roman"/>
          <w:sz w:val="24"/>
          <w:szCs w:val="24"/>
        </w:rPr>
      </w:pPr>
    </w:p>
    <w:p w:rsidR="00407408" w:rsidRPr="00BC4502" w:rsidRDefault="00407408" w:rsidP="00173E01">
      <w:pPr>
        <w:spacing w:after="0"/>
        <w:ind w:firstLine="708"/>
        <w:jc w:val="both"/>
        <w:rPr>
          <w:rFonts w:ascii="Times New Roman" w:hAnsi="Times New Roman" w:cs="Times New Roman"/>
          <w:sz w:val="24"/>
          <w:szCs w:val="24"/>
        </w:rPr>
      </w:pPr>
    </w:p>
    <w:p w:rsidR="00407408" w:rsidRPr="00BC4502" w:rsidRDefault="00407408" w:rsidP="00173E01">
      <w:pPr>
        <w:spacing w:after="0"/>
        <w:ind w:firstLine="708"/>
        <w:jc w:val="both"/>
        <w:rPr>
          <w:rFonts w:ascii="Times New Roman" w:hAnsi="Times New Roman" w:cs="Times New Roman"/>
          <w:sz w:val="24"/>
          <w:szCs w:val="24"/>
        </w:rPr>
      </w:pPr>
    </w:p>
    <w:p w:rsidR="00407408" w:rsidRPr="00BC4502" w:rsidRDefault="00407408" w:rsidP="00173E01">
      <w:pPr>
        <w:spacing w:after="0"/>
        <w:ind w:firstLine="708"/>
        <w:jc w:val="both"/>
        <w:rPr>
          <w:rFonts w:ascii="Times New Roman" w:hAnsi="Times New Roman" w:cs="Times New Roman"/>
          <w:sz w:val="24"/>
          <w:szCs w:val="24"/>
        </w:rPr>
      </w:pPr>
    </w:p>
    <w:p w:rsidR="0003669D" w:rsidRPr="00BC4502" w:rsidRDefault="0003669D" w:rsidP="00173E01">
      <w:pPr>
        <w:spacing w:after="0"/>
        <w:jc w:val="both"/>
        <w:rPr>
          <w:rFonts w:ascii="Times New Roman" w:hAnsi="Times New Roman" w:cs="Times New Roman"/>
          <w:i/>
          <w:sz w:val="24"/>
          <w:szCs w:val="24"/>
        </w:rPr>
      </w:pP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I – VZORY VÝKAZOV</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PP.01.01.33 – Obsah predkladaných údajov</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PP.01.02.33 – Základné informácie - všeobecné</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PP.52.01.33 - Informácie o PEPP a sporiteľoch PEPP (náklady, toky financií a sporiteľov)</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PP.06.02.33 – Zoznam aktív, Informácie o aktívach</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 xml:space="preserve">PP.06.03.33 – Podniky kolektívneho investovania – Prístup založený na prezretí podkladových expozícií </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 xml:space="preserve">PP.08.03.33 – Informácie o držaných pozíciách </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II - POKYNY TÝKAJÚCE SA VZOROV VÝKAZOV</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PP.01.01.33 – Obsah predkladaných údajov</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PP.01.02 – Základné informácie – všeobecné</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PP.52.01 – Informácie o PEPP a sporiteľoch PEPP (Informácie o PEPP a sporiteľoch PEPP (1) – informácie o nákladoch; Informácie o PEPP a sporiteľoch PEPP (2) – krajina, sporitelia, príspevky, výnosy, dávky ....)</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PP.06.02 – Zoznam aktív (Informácie o držaných pozíciách , Informácie o aktívach)</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PP.06.03 – Podniky kolektívneho investovania – prístup založený na prezretí podkladových expozícií</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PP.08.03. Súhrnné informácie o otvorených derivátoch (Informácie o držaných pozíciách)</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III - Tabuľka doplnkových identifikačných kódov</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 xml:space="preserve">PRÍLOHA IV - Vymedzenie pojmov tabuľky doplnkových identifikačných kódov (Dvojmiestny alfabetický kód ISO 3166-1 krajiny, Aktíva kótované v jednej alebo vo viacerých krajinách, Aktíva, ktoré nie sú kótované na burze, Aktíva, ktoré nie sú obchodovateľné na burze, Štátne dlhopisy, Podnikové dlhopisy, Vlastný kapitál, Podniky kolektívneho investovania, Štruktúrované cenné papiere, Cenné papiere zabezpečené </w:t>
      </w:r>
      <w:proofErr w:type="spellStart"/>
      <w:r w:rsidRPr="00BC4502">
        <w:rPr>
          <w:rFonts w:ascii="Times New Roman" w:hAnsi="Times New Roman" w:cs="Times New Roman"/>
          <w:color w:val="000000"/>
          <w:sz w:val="24"/>
          <w:szCs w:val="24"/>
        </w:rPr>
        <w:t>kolaterálom</w:t>
      </w:r>
      <w:proofErr w:type="spellEnd"/>
      <w:r w:rsidRPr="00BC4502">
        <w:rPr>
          <w:rFonts w:ascii="Times New Roman" w:hAnsi="Times New Roman" w:cs="Times New Roman"/>
          <w:color w:val="000000"/>
          <w:sz w:val="24"/>
          <w:szCs w:val="24"/>
        </w:rPr>
        <w:t xml:space="preserve">, Peňažné prostriedky a vklady, Hypotéky a úvery, Nehnuteľnosti, </w:t>
      </w:r>
      <w:proofErr w:type="spellStart"/>
      <w:r w:rsidRPr="00BC4502">
        <w:rPr>
          <w:rFonts w:ascii="Times New Roman" w:hAnsi="Times New Roman" w:cs="Times New Roman"/>
          <w:color w:val="000000"/>
          <w:sz w:val="24"/>
          <w:szCs w:val="24"/>
        </w:rPr>
        <w:t>Futures</w:t>
      </w:r>
      <w:proofErr w:type="spellEnd"/>
      <w:r w:rsidRPr="00BC4502">
        <w:rPr>
          <w:rFonts w:ascii="Times New Roman" w:hAnsi="Times New Roman" w:cs="Times New Roman"/>
          <w:color w:val="000000"/>
          <w:sz w:val="24"/>
          <w:szCs w:val="24"/>
        </w:rPr>
        <w:t>, Kúpne opcie, Predajné opcie, Swapy, Forwardy, Úverové deriváty)</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V - Vzor registrácie</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VI - Vzor oznámenia o registrácii</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VII - Vzor zrušenia registrácie</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VIII - Vzor oznámenia o zrušení registrácie</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IX - Vzor otvorenia podúčtu</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X - Vzor oznámenia o otvorení podúčtu</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XI - Vzor žiadosti o informácie/spoluprácu</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XII - Vzor odpovede na žiadosť o informácie/spoluprácu</w:t>
      </w:r>
    </w:p>
    <w:p w:rsidR="0003669D" w:rsidRPr="00BC4502" w:rsidRDefault="0003669D" w:rsidP="00173E01">
      <w:pPr>
        <w:spacing w:after="0"/>
        <w:jc w:val="both"/>
        <w:rPr>
          <w:rFonts w:ascii="Times New Roman" w:hAnsi="Times New Roman" w:cs="Times New Roman"/>
          <w:color w:val="000000"/>
          <w:sz w:val="24"/>
          <w:szCs w:val="24"/>
        </w:rPr>
      </w:pPr>
      <w:r w:rsidRPr="00BC4502">
        <w:rPr>
          <w:rFonts w:ascii="Times New Roman" w:hAnsi="Times New Roman" w:cs="Times New Roman"/>
          <w:color w:val="000000"/>
          <w:sz w:val="24"/>
          <w:szCs w:val="24"/>
        </w:rPr>
        <w:t>PRÍLOHA XIII - Vzor oznámenia o porušení</w:t>
      </w:r>
    </w:p>
    <w:p w:rsidR="0003669D" w:rsidRPr="00BC4502" w:rsidRDefault="0003669D" w:rsidP="007609FA">
      <w:pPr>
        <w:spacing w:after="0"/>
        <w:jc w:val="both"/>
        <w:rPr>
          <w:rFonts w:ascii="Times New Roman" w:hAnsi="Times New Roman" w:cs="Times New Roman"/>
          <w:i/>
          <w:sz w:val="24"/>
          <w:szCs w:val="24"/>
        </w:rPr>
      </w:pPr>
      <w:r w:rsidRPr="00BC4502">
        <w:rPr>
          <w:rFonts w:ascii="Times New Roman" w:hAnsi="Times New Roman" w:cs="Times New Roman"/>
          <w:iCs/>
          <w:color w:val="000000"/>
          <w:sz w:val="24"/>
          <w:szCs w:val="24"/>
        </w:rPr>
        <w:t>PRÍLOHA XIV - Vzor informácií týkajúcich sa vnútroštátnych ustanovení</w:t>
      </w:r>
    </w:p>
    <w:sectPr w:rsidR="0003669D" w:rsidRPr="00BC4502" w:rsidSect="00186F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A0F" w:rsidRDefault="00555A0F" w:rsidP="00F339A7">
      <w:pPr>
        <w:spacing w:after="0" w:line="240" w:lineRule="auto"/>
      </w:pPr>
      <w:r>
        <w:separator/>
      </w:r>
    </w:p>
  </w:endnote>
  <w:endnote w:type="continuationSeparator" w:id="0">
    <w:p w:rsidR="00555A0F" w:rsidRDefault="00555A0F" w:rsidP="00F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A0F" w:rsidRDefault="00555A0F" w:rsidP="00F339A7">
      <w:pPr>
        <w:spacing w:after="0" w:line="240" w:lineRule="auto"/>
      </w:pPr>
      <w:r>
        <w:separator/>
      </w:r>
    </w:p>
  </w:footnote>
  <w:footnote w:type="continuationSeparator" w:id="0">
    <w:p w:rsidR="00555A0F" w:rsidRDefault="00555A0F" w:rsidP="00F339A7">
      <w:pPr>
        <w:spacing w:after="0" w:line="240" w:lineRule="auto"/>
      </w:pPr>
      <w:r>
        <w:continuationSeparator/>
      </w:r>
    </w:p>
  </w:footnote>
  <w:footnote w:id="1">
    <w:p w:rsidR="005E040A" w:rsidRDefault="005E040A">
      <w:pPr>
        <w:pStyle w:val="Textpoznmkypodiarou"/>
      </w:pPr>
      <w:r>
        <w:rPr>
          <w:rStyle w:val="Odkaznapoznmkupodiarou"/>
        </w:rPr>
        <w:footnoteRef/>
      </w:r>
      <w:r>
        <w:t>)</w:t>
      </w:r>
      <w:r w:rsidR="0003669D">
        <w:t xml:space="preserve"> </w:t>
      </w:r>
      <w:r w:rsidR="00203FA2" w:rsidRPr="0059428B">
        <w:rPr>
          <w:rFonts w:ascii="Times New Roman" w:hAnsi="Times New Roman" w:cs="Times New Roman"/>
          <w:szCs w:val="24"/>
        </w:rPr>
        <w:t>Nariadeni</w:t>
      </w:r>
      <w:r w:rsidR="00203FA2">
        <w:rPr>
          <w:rFonts w:ascii="Times New Roman" w:hAnsi="Times New Roman" w:cs="Times New Roman"/>
          <w:szCs w:val="24"/>
        </w:rPr>
        <w:t>e</w:t>
      </w:r>
      <w:r w:rsidR="00203FA2" w:rsidRPr="0059428B">
        <w:rPr>
          <w:rFonts w:ascii="Times New Roman" w:hAnsi="Times New Roman" w:cs="Times New Roman"/>
          <w:szCs w:val="24"/>
        </w:rPr>
        <w:t xml:space="preserve"> Európskeho parlamentu a Rady (EÚ) 2019/1238 z 20. júna 2019 o celoeurópskom osobnom dôchodkovom produkte (PEPP) (Ú. v. EÚ L 198, 25. 7. 2019)</w:t>
      </w:r>
      <w:r w:rsidR="00AA5D7D">
        <w:rPr>
          <w:rFonts w:ascii="Times New Roman" w:hAnsi="Times New Roman" w:cs="Times New Roman"/>
          <w:szCs w:val="24"/>
        </w:rPr>
        <w:t xml:space="preserve"> v platnom znení</w:t>
      </w:r>
      <w:r w:rsidR="00203FA2" w:rsidRPr="0059428B">
        <w:rPr>
          <w:rFonts w:ascii="Times New Roman" w:hAnsi="Times New Roman" w:cs="Times New Roman"/>
          <w:szCs w:val="24"/>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DFC626"/>
    <w:multiLevelType w:val="hybridMultilevel"/>
    <w:tmpl w:val="65214E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540A1"/>
    <w:multiLevelType w:val="hybridMultilevel"/>
    <w:tmpl w:val="69D477B8"/>
    <w:lvl w:ilvl="0" w:tplc="411EA00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37EA4B6B"/>
    <w:multiLevelType w:val="hybridMultilevel"/>
    <w:tmpl w:val="386851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577D04"/>
    <w:multiLevelType w:val="hybridMultilevel"/>
    <w:tmpl w:val="E8BACDA2"/>
    <w:lvl w:ilvl="0" w:tplc="411EA00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 w15:restartNumberingAfterBreak="0">
    <w:nsid w:val="6EC67050"/>
    <w:multiLevelType w:val="hybridMultilevel"/>
    <w:tmpl w:val="21507A56"/>
    <w:lvl w:ilvl="0" w:tplc="497470A6">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A7"/>
    <w:rsid w:val="0003669D"/>
    <w:rsid w:val="001462FA"/>
    <w:rsid w:val="00173E01"/>
    <w:rsid w:val="00186F87"/>
    <w:rsid w:val="001929E1"/>
    <w:rsid w:val="00202D42"/>
    <w:rsid w:val="00203FA2"/>
    <w:rsid w:val="00204B39"/>
    <w:rsid w:val="00244F24"/>
    <w:rsid w:val="00277AC5"/>
    <w:rsid w:val="00290B72"/>
    <w:rsid w:val="00371899"/>
    <w:rsid w:val="00375F45"/>
    <w:rsid w:val="00376985"/>
    <w:rsid w:val="003A0586"/>
    <w:rsid w:val="003E03D2"/>
    <w:rsid w:val="00407408"/>
    <w:rsid w:val="00432CE3"/>
    <w:rsid w:val="00445D82"/>
    <w:rsid w:val="004A27A9"/>
    <w:rsid w:val="004D03F3"/>
    <w:rsid w:val="004E5CFD"/>
    <w:rsid w:val="00506BC1"/>
    <w:rsid w:val="00506CE8"/>
    <w:rsid w:val="00555A0F"/>
    <w:rsid w:val="00561E9B"/>
    <w:rsid w:val="00584612"/>
    <w:rsid w:val="00592B0D"/>
    <w:rsid w:val="005E040A"/>
    <w:rsid w:val="00655AC8"/>
    <w:rsid w:val="00657B01"/>
    <w:rsid w:val="006760A7"/>
    <w:rsid w:val="006A23A1"/>
    <w:rsid w:val="006D5D64"/>
    <w:rsid w:val="00701BD1"/>
    <w:rsid w:val="007403F6"/>
    <w:rsid w:val="007554A4"/>
    <w:rsid w:val="007609FA"/>
    <w:rsid w:val="007912E1"/>
    <w:rsid w:val="00870369"/>
    <w:rsid w:val="0089759D"/>
    <w:rsid w:val="008C57D5"/>
    <w:rsid w:val="0092707A"/>
    <w:rsid w:val="00995861"/>
    <w:rsid w:val="009B60D2"/>
    <w:rsid w:val="009F67DA"/>
    <w:rsid w:val="00A8064C"/>
    <w:rsid w:val="00AA5D7D"/>
    <w:rsid w:val="00AE5BF9"/>
    <w:rsid w:val="00AF2F22"/>
    <w:rsid w:val="00B80C48"/>
    <w:rsid w:val="00B94194"/>
    <w:rsid w:val="00BB63B4"/>
    <w:rsid w:val="00BC4502"/>
    <w:rsid w:val="00BD6799"/>
    <w:rsid w:val="00CC05CF"/>
    <w:rsid w:val="00CC46B2"/>
    <w:rsid w:val="00D40FFF"/>
    <w:rsid w:val="00D5546D"/>
    <w:rsid w:val="00D95A88"/>
    <w:rsid w:val="00E96B8C"/>
    <w:rsid w:val="00EA0725"/>
    <w:rsid w:val="00EA3689"/>
    <w:rsid w:val="00F06F5E"/>
    <w:rsid w:val="00F127D9"/>
    <w:rsid w:val="00F339A7"/>
    <w:rsid w:val="00F61EBE"/>
    <w:rsid w:val="00FB2B74"/>
    <w:rsid w:val="00FE2B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67F6D-6CEB-40EB-926C-CF4663E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6F8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760A7"/>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1929E1"/>
    <w:pPr>
      <w:ind w:left="720"/>
      <w:contextualSpacing/>
    </w:pPr>
  </w:style>
  <w:style w:type="character" w:styleId="Odkaznapoznmkupodiarou">
    <w:name w:val="footnote reference"/>
    <w:basedOn w:val="Predvolenpsmoodseku"/>
    <w:uiPriority w:val="99"/>
    <w:semiHidden/>
    <w:unhideWhenUsed/>
    <w:rsid w:val="0089759D"/>
    <w:rPr>
      <w:vertAlign w:val="superscript"/>
    </w:rPr>
  </w:style>
  <w:style w:type="paragraph" w:styleId="Hlavika">
    <w:name w:val="header"/>
    <w:basedOn w:val="Normlny"/>
    <w:link w:val="HlavikaChar"/>
    <w:uiPriority w:val="99"/>
    <w:unhideWhenUsed/>
    <w:rsid w:val="00F339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339A7"/>
  </w:style>
  <w:style w:type="paragraph" w:styleId="Pta">
    <w:name w:val="footer"/>
    <w:basedOn w:val="Normlny"/>
    <w:link w:val="PtaChar"/>
    <w:uiPriority w:val="99"/>
    <w:unhideWhenUsed/>
    <w:rsid w:val="00F339A7"/>
    <w:pPr>
      <w:tabs>
        <w:tab w:val="center" w:pos="4536"/>
        <w:tab w:val="right" w:pos="9072"/>
      </w:tabs>
      <w:spacing w:after="0" w:line="240" w:lineRule="auto"/>
    </w:pPr>
  </w:style>
  <w:style w:type="character" w:customStyle="1" w:styleId="PtaChar">
    <w:name w:val="Päta Char"/>
    <w:basedOn w:val="Predvolenpsmoodseku"/>
    <w:link w:val="Pta"/>
    <w:uiPriority w:val="99"/>
    <w:rsid w:val="00F339A7"/>
  </w:style>
  <w:style w:type="paragraph" w:styleId="Textvysvetlivky">
    <w:name w:val="endnote text"/>
    <w:basedOn w:val="Normlny"/>
    <w:link w:val="TextvysvetlivkyChar"/>
    <w:uiPriority w:val="99"/>
    <w:semiHidden/>
    <w:unhideWhenUsed/>
    <w:rsid w:val="00584612"/>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84612"/>
    <w:rPr>
      <w:sz w:val="20"/>
      <w:szCs w:val="20"/>
    </w:rPr>
  </w:style>
  <w:style w:type="character" w:styleId="Odkaznavysvetlivku">
    <w:name w:val="endnote reference"/>
    <w:basedOn w:val="Predvolenpsmoodseku"/>
    <w:uiPriority w:val="99"/>
    <w:semiHidden/>
    <w:unhideWhenUsed/>
    <w:rsid w:val="00584612"/>
    <w:rPr>
      <w:vertAlign w:val="superscript"/>
    </w:rPr>
  </w:style>
  <w:style w:type="paragraph" w:styleId="Textpoznmkypodiarou">
    <w:name w:val="footnote text"/>
    <w:basedOn w:val="Normlny"/>
    <w:link w:val="TextpoznmkypodiarouChar"/>
    <w:uiPriority w:val="99"/>
    <w:semiHidden/>
    <w:unhideWhenUsed/>
    <w:rsid w:val="005E040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E040A"/>
    <w:rPr>
      <w:sz w:val="20"/>
      <w:szCs w:val="20"/>
    </w:rPr>
  </w:style>
  <w:style w:type="paragraph" w:styleId="Textbubliny">
    <w:name w:val="Balloon Text"/>
    <w:basedOn w:val="Normlny"/>
    <w:link w:val="TextbublinyChar"/>
    <w:uiPriority w:val="99"/>
    <w:semiHidden/>
    <w:unhideWhenUsed/>
    <w:rsid w:val="00203F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3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5B82-7E83-4B68-A0D7-974AA0F5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5284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Cebulakova Monika</cp:lastModifiedBy>
  <cp:revision>4</cp:revision>
  <cp:lastPrinted>2022-01-13T09:36:00Z</cp:lastPrinted>
  <dcterms:created xsi:type="dcterms:W3CDTF">2022-01-13T09:32:00Z</dcterms:created>
  <dcterms:modified xsi:type="dcterms:W3CDTF">2022-01-13T09:36:00Z</dcterms:modified>
</cp:coreProperties>
</file>