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5E" w:rsidRDefault="0058275E" w:rsidP="0058275E">
      <w:pPr>
        <w:jc w:val="center"/>
        <w:rPr>
          <w:b/>
        </w:rPr>
      </w:pPr>
      <w:bookmarkStart w:id="0" w:name="_GoBack"/>
      <w:bookmarkEnd w:id="0"/>
      <w:r w:rsidRPr="00961049">
        <w:rPr>
          <w:b/>
        </w:rPr>
        <w:t>D Ô V O D O V Á   S P R Á V A</w:t>
      </w:r>
    </w:p>
    <w:p w:rsidR="0058275E" w:rsidRDefault="0058275E" w:rsidP="0058275E">
      <w:pPr>
        <w:jc w:val="both"/>
        <w:rPr>
          <w:b/>
        </w:rPr>
      </w:pPr>
    </w:p>
    <w:p w:rsidR="0058275E" w:rsidRDefault="0058275E" w:rsidP="0058275E">
      <w:pPr>
        <w:jc w:val="both"/>
        <w:rPr>
          <w:b/>
        </w:rPr>
      </w:pPr>
      <w:r>
        <w:rPr>
          <w:b/>
        </w:rPr>
        <w:t>A. Všeobecná časť</w:t>
      </w:r>
    </w:p>
    <w:p w:rsidR="0058275E" w:rsidRDefault="0058275E" w:rsidP="0058275E">
      <w:pPr>
        <w:jc w:val="both"/>
        <w:rPr>
          <w:b/>
        </w:rPr>
      </w:pPr>
    </w:p>
    <w:p w:rsidR="00B21965" w:rsidRDefault="0058275E" w:rsidP="0058275E">
      <w:pPr>
        <w:jc w:val="both"/>
      </w:pPr>
      <w:r>
        <w:rPr>
          <w:b/>
        </w:rPr>
        <w:tab/>
      </w:r>
      <w:r w:rsidR="00941D34" w:rsidRPr="00941D34">
        <w:t>Vládny</w:t>
      </w:r>
      <w:r w:rsidR="00941D34">
        <w:rPr>
          <w:b/>
        </w:rPr>
        <w:t xml:space="preserve"> </w:t>
      </w:r>
      <w:r w:rsidR="00941D34">
        <w:t xml:space="preserve">návrh </w:t>
      </w:r>
      <w:r w:rsidRPr="00FC088E">
        <w:t>zákona</w:t>
      </w:r>
      <w:r w:rsidR="00FC088E">
        <w:t xml:space="preserve"> o</w:t>
      </w:r>
      <w:r w:rsidR="00752CD8">
        <w:t xml:space="preserve"> celoeurópskom </w:t>
      </w:r>
      <w:r w:rsidR="00FC088E">
        <w:t xml:space="preserve">osobnom dôchodkovom produkte a o zmene a doplnení niektorých zákonov </w:t>
      </w:r>
      <w:r>
        <w:t xml:space="preserve">(ďalej len „návrh zákona“) je vypracovaný </w:t>
      </w:r>
      <w:r w:rsidR="004304CD" w:rsidRPr="00C708B7">
        <w:rPr>
          <w:b/>
        </w:rPr>
        <w:t>z</w:t>
      </w:r>
      <w:r w:rsidR="00E46862">
        <w:rPr>
          <w:b/>
        </w:rPr>
        <w:t> </w:t>
      </w:r>
      <w:r w:rsidR="004304CD" w:rsidRPr="00C708B7">
        <w:rPr>
          <w:b/>
        </w:rPr>
        <w:t>dôvodu</w:t>
      </w:r>
      <w:r w:rsidR="00E46862">
        <w:rPr>
          <w:b/>
        </w:rPr>
        <w:t xml:space="preserve"> potreby</w:t>
      </w:r>
      <w:r w:rsidR="004304CD" w:rsidRPr="00C708B7">
        <w:rPr>
          <w:b/>
        </w:rPr>
        <w:t xml:space="preserve"> vykonania </w:t>
      </w:r>
      <w:r w:rsidR="003454F3">
        <w:rPr>
          <w:b/>
        </w:rPr>
        <w:t>niektorých článkov</w:t>
      </w:r>
      <w:r w:rsidR="004304CD" w:rsidRPr="00C708B7">
        <w:rPr>
          <w:b/>
        </w:rPr>
        <w:t xml:space="preserve"> Nariadenia Európskeho parlamentu a Rady EÚ 2019/1238 o celoeurópskom osobnom dôchodkovom produkte </w:t>
      </w:r>
      <w:r w:rsidR="00BC1EC8">
        <w:rPr>
          <w:b/>
        </w:rPr>
        <w:t xml:space="preserve">v platnom znení </w:t>
      </w:r>
      <w:r w:rsidR="004304CD" w:rsidRPr="00C708B7">
        <w:rPr>
          <w:b/>
        </w:rPr>
        <w:t>(PEPP)</w:t>
      </w:r>
      <w:r w:rsidR="009C3401" w:rsidRPr="00C708B7">
        <w:rPr>
          <w:b/>
        </w:rPr>
        <w:t xml:space="preserve"> </w:t>
      </w:r>
      <w:r w:rsidR="009C3401">
        <w:t>(ďalej len „nariadenie“)</w:t>
      </w:r>
      <w:r w:rsidRPr="004304CD">
        <w:t>.</w:t>
      </w:r>
      <w:r w:rsidR="00752CD8" w:rsidRPr="00752CD8">
        <w:t xml:space="preserve"> </w:t>
      </w:r>
    </w:p>
    <w:p w:rsidR="00B21965" w:rsidRDefault="00B21965" w:rsidP="00B21965">
      <w:pPr>
        <w:ind w:firstLine="708"/>
        <w:jc w:val="both"/>
      </w:pPr>
      <w:r>
        <w:rPr>
          <w:rFonts w:eastAsia="Times New Roman"/>
          <w:color w:val="000000"/>
          <w:lang w:eastAsia="sk-SK"/>
        </w:rPr>
        <w:t>Celoeurópsky osobný dôchodkový produkt je atraktívny najmä z dôvodu jeho p</w:t>
      </w:r>
      <w:r>
        <w:t xml:space="preserve">renositeľnosti, je vhodný obzvlášť pre mladých ľudí a mobilných pracovníkov, pre ktorých má priniesť rozšírenie možnosti výberu a ponúknuť riešenia pre občanov, ktorí aktívne využívajú právo na voľný pohyb. Celoeurópsky osobný dôchodkový produkt budú môcť poskytovať doplnkové dôchodkové spoločnosti, poisťovne, banky, správcovské spoločnosti ale aj obchodníci s cennými papiermi (čl. 6 ods. 1 nariadenia). Podľa druhu príslušného poskytovateľa má ísť o poskytovanie produktu, ktorý už </w:t>
      </w:r>
      <w:r w:rsidR="00F67515">
        <w:t xml:space="preserve">finančná inštitúcia </w:t>
      </w:r>
      <w:r>
        <w:t>vytvára a</w:t>
      </w:r>
      <w:r w:rsidR="00430C5A">
        <w:t> </w:t>
      </w:r>
      <w:r>
        <w:t xml:space="preserve">poskytuje, napr. poistný produkt, investičný produkt, doplnkové dôchodkové sporenie, ale s určitými špecifickými vlastnosťami (podmienkami), ktoré ustanovuje priamo nariadenie. </w:t>
      </w:r>
    </w:p>
    <w:p w:rsidR="00B21965" w:rsidRDefault="00B21965" w:rsidP="0058275E">
      <w:pPr>
        <w:jc w:val="both"/>
      </w:pPr>
    </w:p>
    <w:p w:rsidR="00B21965" w:rsidRPr="00B21965" w:rsidRDefault="00752CD8" w:rsidP="00B21965">
      <w:pPr>
        <w:ind w:firstLine="708"/>
        <w:jc w:val="both"/>
        <w:rPr>
          <w:rFonts w:eastAsia="Times New Roman"/>
          <w:color w:val="000000"/>
          <w:lang w:eastAsia="sk-SK"/>
        </w:rPr>
      </w:pPr>
      <w:r w:rsidRPr="00752CD8">
        <w:t xml:space="preserve">Navrhovaný zákon má </w:t>
      </w:r>
      <w:r w:rsidR="00287D83" w:rsidRPr="00752CD8">
        <w:t>adaptačn</w:t>
      </w:r>
      <w:r w:rsidR="00287D83">
        <w:t>ý</w:t>
      </w:r>
      <w:r w:rsidR="00287D83" w:rsidRPr="00752CD8">
        <w:t xml:space="preserve"> </w:t>
      </w:r>
      <w:r w:rsidRPr="00752CD8">
        <w:t>charakter a</w:t>
      </w:r>
      <w:r w:rsidR="00E46862">
        <w:t> </w:t>
      </w:r>
      <w:r w:rsidRPr="00752CD8">
        <w:t>upravuje</w:t>
      </w:r>
      <w:r w:rsidR="00E46862">
        <w:t xml:space="preserve"> tie</w:t>
      </w:r>
      <w:r w:rsidRPr="00752CD8">
        <w:t xml:space="preserve"> oblasti, </w:t>
      </w:r>
      <w:r w:rsidR="00287D83">
        <w:t>ktorých</w:t>
      </w:r>
      <w:r w:rsidRPr="00752CD8">
        <w:t xml:space="preserve"> úprava je </w:t>
      </w:r>
      <w:r w:rsidR="00287D83">
        <w:t>nevyhnutná</w:t>
      </w:r>
      <w:r w:rsidRPr="00752CD8">
        <w:t xml:space="preserve"> </w:t>
      </w:r>
      <w:r w:rsidR="00287D83">
        <w:t>pre vykonanie nariadenia.</w:t>
      </w:r>
      <w:r w:rsidRPr="00752CD8">
        <w:t xml:space="preserve"> </w:t>
      </w:r>
      <w:r w:rsidR="00287D83">
        <w:t xml:space="preserve">Primárne ide o oblasti, ktoré ponecháva nariadenie </w:t>
      </w:r>
      <w:r w:rsidR="00B21965">
        <w:t xml:space="preserve">výslovne </w:t>
      </w:r>
      <w:r w:rsidR="00287D83">
        <w:t xml:space="preserve">v kompetencii členských štátov a následne o ustanovenia, ktoré majú procesnú povahu. </w:t>
      </w:r>
      <w:r w:rsidR="00B21965" w:rsidRPr="00236F23">
        <w:rPr>
          <w:rFonts w:eastAsia="Times New Roman"/>
          <w:color w:val="000000"/>
          <w:lang w:eastAsia="sk-SK"/>
        </w:rPr>
        <w:t>Podľa čl. 47 sa na členské štáty v rámci sporiacej fázy ponecháva stanovenie rozsahu a podmienok najmä pokiaľ ide o vekovú hranicu pre začatie sporiacej fázy, maximálnu a</w:t>
      </w:r>
      <w:r w:rsidR="00430C5A">
        <w:rPr>
          <w:rFonts w:eastAsia="Times New Roman"/>
          <w:color w:val="000000"/>
          <w:lang w:eastAsia="sk-SK"/>
        </w:rPr>
        <w:t> </w:t>
      </w:r>
      <w:r w:rsidR="00B21965" w:rsidRPr="00236F23">
        <w:rPr>
          <w:rFonts w:eastAsia="Times New Roman"/>
          <w:color w:val="000000"/>
          <w:lang w:eastAsia="sk-SK"/>
        </w:rPr>
        <w:t xml:space="preserve">minimálnu výšku príspevkov a ich kontinuitu. Podľa čl. 57 sa na členské štáty v rámci výplatnej fázy ponecháva najmä stanovenie minimálneho veku pre začatie výplatnej fázy, maximálneho obdobia pred dosiahnutím </w:t>
      </w:r>
      <w:r w:rsidR="00B21965">
        <w:rPr>
          <w:rFonts w:eastAsia="Times New Roman"/>
          <w:color w:val="000000"/>
          <w:lang w:eastAsia="sk-SK"/>
        </w:rPr>
        <w:t xml:space="preserve">dôchodkového </w:t>
      </w:r>
      <w:r w:rsidR="00B21965" w:rsidRPr="00236F23">
        <w:rPr>
          <w:rFonts w:eastAsia="Times New Roman"/>
          <w:color w:val="000000"/>
          <w:lang w:eastAsia="sk-SK"/>
        </w:rPr>
        <w:t xml:space="preserve">veku na vstup do systému, podmienky </w:t>
      </w:r>
      <w:proofErr w:type="spellStart"/>
      <w:r w:rsidR="00B21965" w:rsidRPr="00236F23">
        <w:rPr>
          <w:rFonts w:eastAsia="Times New Roman"/>
          <w:color w:val="000000"/>
          <w:lang w:eastAsia="sk-SK"/>
        </w:rPr>
        <w:t>redemácie</w:t>
      </w:r>
      <w:proofErr w:type="spellEnd"/>
      <w:r w:rsidR="00B21965" w:rsidRPr="00236F23">
        <w:rPr>
          <w:rFonts w:eastAsia="Times New Roman"/>
          <w:color w:val="000000"/>
          <w:lang w:eastAsia="sk-SK"/>
        </w:rPr>
        <w:t xml:space="preserve"> pred dosiahnutím minimálneho veku pre začatie výplatnej fázy (najmä v prípade osobitne ťažkej životnej situácie).</w:t>
      </w:r>
      <w:r w:rsidR="00B21965">
        <w:rPr>
          <w:rFonts w:eastAsia="Times New Roman"/>
          <w:color w:val="000000"/>
          <w:lang w:eastAsia="sk-SK"/>
        </w:rPr>
        <w:t xml:space="preserve"> </w:t>
      </w:r>
      <w:r w:rsidR="00235850">
        <w:t>V záujme posilnenia právnej istoty</w:t>
      </w:r>
      <w:r w:rsidR="00235850" w:rsidRPr="00235850">
        <w:t xml:space="preserve"> </w:t>
      </w:r>
      <w:r w:rsidR="00235850">
        <w:t>pri právomociach, ktoré majú byť zverené do pôsobnosti príslušného orgánu, a ktoré nie sú v nariadení upravené, resp. nie sú upravené dostatočne podrobne</w:t>
      </w:r>
      <w:r w:rsidR="00F67515">
        <w:t>,</w:t>
      </w:r>
      <w:r w:rsidR="00235850">
        <w:t xml:space="preserve"> bude </w:t>
      </w:r>
      <w:r w:rsidR="00235850">
        <w:rPr>
          <w:rFonts w:eastAsia="Times New Roman"/>
          <w:color w:val="000000"/>
          <w:lang w:eastAsia="sk-SK"/>
        </w:rPr>
        <w:t>n</w:t>
      </w:r>
      <w:r w:rsidR="00FF7075">
        <w:rPr>
          <w:rFonts w:eastAsia="Times New Roman"/>
          <w:color w:val="000000"/>
          <w:lang w:eastAsia="sk-SK"/>
        </w:rPr>
        <w:t xml:space="preserve">árodný regulačný rámec </w:t>
      </w:r>
      <w:r w:rsidR="00235850">
        <w:rPr>
          <w:rFonts w:eastAsia="Times New Roman"/>
          <w:color w:val="000000"/>
          <w:lang w:eastAsia="sk-SK"/>
        </w:rPr>
        <w:t>doplnený</w:t>
      </w:r>
      <w:r w:rsidR="00B21965">
        <w:rPr>
          <w:rFonts w:eastAsia="Times New Roman"/>
          <w:color w:val="000000"/>
          <w:lang w:eastAsia="sk-SK"/>
        </w:rPr>
        <w:t xml:space="preserve"> v súvislosti s kompetenciami a právomocami Národnej banky Slovenska pri výkone dohľadu nad vytváraním, poskytovaním a distribúciou </w:t>
      </w:r>
      <w:r w:rsidR="00FF7075">
        <w:rPr>
          <w:rFonts w:eastAsia="Times New Roman"/>
          <w:color w:val="000000"/>
          <w:lang w:eastAsia="sk-SK"/>
        </w:rPr>
        <w:t>celoeurópskeho osobného dôchodkového produktu</w:t>
      </w:r>
      <w:r w:rsidR="00B21965">
        <w:rPr>
          <w:rFonts w:eastAsia="Times New Roman"/>
          <w:color w:val="000000"/>
          <w:lang w:eastAsia="sk-SK"/>
        </w:rPr>
        <w:t xml:space="preserve"> (registrácia, sankcie, intervenčné opatrenia, </w:t>
      </w:r>
      <w:proofErr w:type="spellStart"/>
      <w:r w:rsidR="00B21965">
        <w:rPr>
          <w:rFonts w:eastAsia="Times New Roman"/>
          <w:color w:val="000000"/>
          <w:lang w:eastAsia="sk-SK"/>
        </w:rPr>
        <w:t>reporting</w:t>
      </w:r>
      <w:proofErr w:type="spellEnd"/>
      <w:r w:rsidR="00B21965">
        <w:rPr>
          <w:rFonts w:eastAsia="Times New Roman"/>
          <w:color w:val="000000"/>
          <w:lang w:eastAsia="sk-SK"/>
        </w:rPr>
        <w:t>). Návrh zákona vo vzťahu k celoeurópskemu osobnému dôchodkovému produktu ustanovuje podmienky a</w:t>
      </w:r>
      <w:r w:rsidR="00430C5A">
        <w:rPr>
          <w:rFonts w:eastAsia="Times New Roman"/>
          <w:color w:val="000000"/>
          <w:lang w:eastAsia="sk-SK"/>
        </w:rPr>
        <w:t> </w:t>
      </w:r>
      <w:r w:rsidR="00B21965">
        <w:rPr>
          <w:rFonts w:eastAsia="Times New Roman"/>
          <w:color w:val="000000"/>
          <w:lang w:eastAsia="sk-SK"/>
        </w:rPr>
        <w:t xml:space="preserve">pravidlá </w:t>
      </w:r>
      <w:r w:rsidR="00B21965" w:rsidRPr="008205AD">
        <w:rPr>
          <w:rFonts w:eastAsia="Times New Roman"/>
          <w:b/>
          <w:color w:val="000000"/>
          <w:lang w:eastAsia="sk-SK"/>
        </w:rPr>
        <w:t>výlučne vo veciach, ktoré nie sú upravené nariadením</w:t>
      </w:r>
      <w:r w:rsidR="00B21965">
        <w:rPr>
          <w:rFonts w:eastAsia="Times New Roman"/>
          <w:b/>
          <w:color w:val="000000"/>
          <w:lang w:eastAsia="sk-SK"/>
        </w:rPr>
        <w:t xml:space="preserve"> </w:t>
      </w:r>
      <w:r w:rsidR="00B21965" w:rsidRPr="00B21965">
        <w:rPr>
          <w:rFonts w:eastAsia="Times New Roman"/>
          <w:color w:val="000000"/>
          <w:lang w:eastAsia="sk-SK"/>
        </w:rPr>
        <w:t>(čl.</w:t>
      </w:r>
      <w:r w:rsidR="00B21965">
        <w:rPr>
          <w:rFonts w:eastAsia="Times New Roman"/>
          <w:color w:val="000000"/>
          <w:lang w:eastAsia="sk-SK"/>
        </w:rPr>
        <w:t> </w:t>
      </w:r>
      <w:r w:rsidR="00B21965" w:rsidRPr="00B21965">
        <w:rPr>
          <w:rFonts w:eastAsia="Times New Roman"/>
          <w:color w:val="000000"/>
          <w:lang w:eastAsia="sk-SK"/>
        </w:rPr>
        <w:t>I. a čl. III).</w:t>
      </w:r>
    </w:p>
    <w:p w:rsidR="00B21965" w:rsidRDefault="00B21965" w:rsidP="0058275E">
      <w:pPr>
        <w:jc w:val="both"/>
      </w:pPr>
    </w:p>
    <w:p w:rsidR="00E46862" w:rsidRDefault="00752CD8" w:rsidP="00287D83">
      <w:pPr>
        <w:ind w:firstLine="708"/>
        <w:jc w:val="both"/>
      </w:pPr>
      <w:r w:rsidRPr="00752CD8">
        <w:t xml:space="preserve">Otázku daňového </w:t>
      </w:r>
      <w:r w:rsidR="00287D83" w:rsidRPr="00752CD8">
        <w:t>zvýhod</w:t>
      </w:r>
      <w:r w:rsidR="00287D83">
        <w:t>nenia</w:t>
      </w:r>
      <w:r w:rsidRPr="00752CD8">
        <w:t xml:space="preserve"> </w:t>
      </w:r>
      <w:r w:rsidR="00287D83">
        <w:t>celoeurópskeho osobného dôchodkového</w:t>
      </w:r>
      <w:r w:rsidRPr="00752CD8">
        <w:t xml:space="preserve"> produktu </w:t>
      </w:r>
      <w:r w:rsidR="00287D83">
        <w:t>nariadenie</w:t>
      </w:r>
      <w:r w:rsidRPr="00752CD8">
        <w:t xml:space="preserve"> neupravuje</w:t>
      </w:r>
      <w:r w:rsidR="00287D83">
        <w:t xml:space="preserve">, avšak </w:t>
      </w:r>
      <w:r w:rsidR="00287D83" w:rsidRPr="00C708B7">
        <w:rPr>
          <w:b/>
        </w:rPr>
        <w:t>v súlade so záväzkom Slovenskej republiky podporovať dobrovoľné sporenie na dôchodok</w:t>
      </w:r>
      <w:r w:rsidR="00287D83">
        <w:t xml:space="preserve">, ktorý je deklarovaný priamo v </w:t>
      </w:r>
      <w:r w:rsidR="00287D83" w:rsidRPr="004304CD">
        <w:t xml:space="preserve">Čl. 39 ods. 2 </w:t>
      </w:r>
      <w:r w:rsidR="00287D83">
        <w:t>Ú</w:t>
      </w:r>
      <w:r w:rsidR="00287D83" w:rsidRPr="004304CD">
        <w:t>stavy Slovenskej republiky</w:t>
      </w:r>
      <w:r w:rsidR="00287D83">
        <w:t xml:space="preserve"> </w:t>
      </w:r>
      <w:r w:rsidR="00287D83" w:rsidRPr="00287D83">
        <w:rPr>
          <w:b/>
        </w:rPr>
        <w:t>ako aj v kontexte ODPORÚČANIA KOMISIE z 29. 6. 2017, týkajúceho sa daňového zaobchádzania s osobnými dôchodkovými produktmi vrátane celoeurópskeho osobného dôchodkového produktu</w:t>
      </w:r>
      <w:r w:rsidR="000A100B">
        <w:rPr>
          <w:b/>
        </w:rPr>
        <w:t xml:space="preserve"> </w:t>
      </w:r>
      <w:r w:rsidR="000A100B" w:rsidRPr="000A100B">
        <w:t>(ďalej len „odporúčanie komisie“)</w:t>
      </w:r>
      <w:r w:rsidR="00287D83" w:rsidRPr="000A100B">
        <w:rPr>
          <w:rStyle w:val="Odkaznapoznmkupodiarou"/>
        </w:rPr>
        <w:footnoteReference w:id="1"/>
      </w:r>
      <w:r w:rsidR="00287D83" w:rsidRPr="000A100B">
        <w:t>),</w:t>
      </w:r>
      <w:r w:rsidR="00287D83">
        <w:t xml:space="preserve"> sa navrhuje, aby sa na celoeur</w:t>
      </w:r>
      <w:r w:rsidR="00E46862">
        <w:t>ópsky osobný dôchodkový produkt</w:t>
      </w:r>
      <w:r w:rsidR="00287D83">
        <w:t xml:space="preserve"> uplat</w:t>
      </w:r>
      <w:r w:rsidR="00E46862">
        <w:t>nil rovnaký daňový režim ako na príspevky účastníkov doplnkového dôchodkového sporenia a dávky z doplnkového dôchodkového sporenia</w:t>
      </w:r>
      <w:r w:rsidRPr="00752CD8">
        <w:t xml:space="preserve">. </w:t>
      </w:r>
    </w:p>
    <w:p w:rsidR="00F67515" w:rsidRDefault="00F67515" w:rsidP="00287D83">
      <w:pPr>
        <w:ind w:firstLine="708"/>
        <w:jc w:val="both"/>
      </w:pPr>
    </w:p>
    <w:p w:rsidR="0058275E" w:rsidRDefault="00E46862" w:rsidP="00287D83">
      <w:pPr>
        <w:ind w:firstLine="708"/>
        <w:jc w:val="both"/>
      </w:pPr>
      <w:r>
        <w:lastRenderedPageBreak/>
        <w:t>Nariadenie</w:t>
      </w:r>
      <w:r w:rsidR="00752CD8" w:rsidRPr="00752CD8">
        <w:t xml:space="preserve"> je </w:t>
      </w:r>
      <w:r>
        <w:t>záväzné</w:t>
      </w:r>
      <w:r w:rsidR="00752CD8" w:rsidRPr="00752CD8">
        <w:t xml:space="preserve"> v </w:t>
      </w:r>
      <w:r w:rsidRPr="00752CD8">
        <w:t>celom</w:t>
      </w:r>
      <w:r w:rsidR="00752CD8" w:rsidRPr="00752CD8">
        <w:t xml:space="preserve"> rozsahu a </w:t>
      </w:r>
      <w:r>
        <w:t>priamo</w:t>
      </w:r>
      <w:r w:rsidR="00752CD8" w:rsidRPr="00752CD8">
        <w:t xml:space="preserve"> </w:t>
      </w:r>
      <w:r>
        <w:t>uplatniteľné</w:t>
      </w:r>
      <w:r w:rsidR="00752CD8" w:rsidRPr="00752CD8">
        <w:t xml:space="preserve"> v</w:t>
      </w:r>
      <w:r>
        <w:t>o</w:t>
      </w:r>
      <w:r w:rsidR="00752CD8" w:rsidRPr="00752CD8">
        <w:t xml:space="preserve"> </w:t>
      </w:r>
      <w:r>
        <w:t>všetkých</w:t>
      </w:r>
      <w:r w:rsidR="00752CD8" w:rsidRPr="00752CD8">
        <w:t xml:space="preserve"> členských </w:t>
      </w:r>
      <w:r w:rsidRPr="00752CD8">
        <w:t>štátoch</w:t>
      </w:r>
      <w:r>
        <w:t xml:space="preserve"> od 22. marca 2022</w:t>
      </w:r>
      <w:r w:rsidR="00752CD8" w:rsidRPr="00752CD8">
        <w:t>.</w:t>
      </w:r>
    </w:p>
    <w:p w:rsidR="00E46862" w:rsidRDefault="00E46862" w:rsidP="000722B0">
      <w:pPr>
        <w:ind w:firstLine="708"/>
        <w:jc w:val="both"/>
      </w:pPr>
    </w:p>
    <w:p w:rsidR="0058275E" w:rsidRDefault="0062542F" w:rsidP="0058275E">
      <w:pPr>
        <w:ind w:firstLine="708"/>
        <w:jc w:val="both"/>
      </w:pPr>
      <w:r w:rsidRPr="0062542F">
        <w:t>Návrh zákona nebude mať vplyvy na životné prostredie, nebude mať vplyvy na informatizáciu spoločnosti, nebude mať vplyvy na služby verejnej správy pre občana</w:t>
      </w:r>
      <w:r>
        <w:t>,</w:t>
      </w:r>
      <w:r w:rsidR="00861AE6">
        <w:t xml:space="preserve"> na podnikateľské prostredie</w:t>
      </w:r>
      <w:r w:rsidR="00126FD7">
        <w:t>,</w:t>
      </w:r>
      <w:r w:rsidRPr="0062542F">
        <w:t xml:space="preserve"> ani vplyvy na manželstvo, rodičovstvo a rodinu. Návrh zákona predpokladá negatívne vplyvy na rozpočet verejnej správy a pozitívne sociálne vplyvy. Sledované vybrané vplyvy návrhu zákona podľa Jednotnej metodiky na posudzovanie vybraných vplyvov sú zhodnotené v priloženej doložke vybraných vplyvov, ako aj v analýze vplyvov na rozpočet verejnej správy a  v analýze sociálnych vplyvov.</w:t>
      </w:r>
    </w:p>
    <w:p w:rsidR="0062542F" w:rsidRDefault="0062542F" w:rsidP="0058275E">
      <w:pPr>
        <w:ind w:firstLine="708"/>
        <w:jc w:val="both"/>
        <w:rPr>
          <w:rFonts w:eastAsia="Times New Roman"/>
          <w:lang w:eastAsia="sk-SK"/>
        </w:rPr>
      </w:pPr>
    </w:p>
    <w:p w:rsidR="0058275E" w:rsidRDefault="0058275E" w:rsidP="0058275E">
      <w:pPr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Návrh zákona je v súlade s Ústavou Slovenskej republiky, ústavnými zákonmi a nálezmi Ústavného súdu Slovenskej republiky a</w:t>
      </w:r>
      <w:r>
        <w:t> </w:t>
      </w:r>
      <w:r>
        <w:rPr>
          <w:rFonts w:eastAsia="Times New Roman"/>
          <w:lang w:eastAsia="sk-SK"/>
        </w:rPr>
        <w:t>zákonmi, ako aj s medzinárodnými zmluvami, ktorými je Slovenská republika viazaná a</w:t>
      </w:r>
      <w:r>
        <w:t> </w:t>
      </w:r>
      <w:r>
        <w:rPr>
          <w:rFonts w:eastAsia="Times New Roman"/>
          <w:lang w:eastAsia="sk-SK"/>
        </w:rPr>
        <w:t>súčasne je v súlade aj s právom Európskej únie.</w:t>
      </w:r>
    </w:p>
    <w:sectPr w:rsidR="0058275E" w:rsidSect="004C45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6A" w:rsidRDefault="00B51C6A" w:rsidP="00981FE8">
      <w:r>
        <w:separator/>
      </w:r>
    </w:p>
  </w:endnote>
  <w:endnote w:type="continuationSeparator" w:id="0">
    <w:p w:rsidR="00B51C6A" w:rsidRDefault="00B51C6A" w:rsidP="0098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300721"/>
      <w:docPartObj>
        <w:docPartGallery w:val="Page Numbers (Bottom of Page)"/>
        <w:docPartUnique/>
      </w:docPartObj>
    </w:sdtPr>
    <w:sdtEndPr/>
    <w:sdtContent>
      <w:p w:rsidR="00981FE8" w:rsidRDefault="00CF23EE">
        <w:pPr>
          <w:pStyle w:val="Pta"/>
          <w:jc w:val="center"/>
        </w:pPr>
        <w:r>
          <w:fldChar w:fldCharType="begin"/>
        </w:r>
        <w:r w:rsidR="00981FE8">
          <w:instrText>PAGE   \* MERGEFORMAT</w:instrText>
        </w:r>
        <w:r>
          <w:fldChar w:fldCharType="separate"/>
        </w:r>
        <w:r w:rsidR="00C97278">
          <w:rPr>
            <w:noProof/>
          </w:rPr>
          <w:t>2</w:t>
        </w:r>
        <w:r>
          <w:fldChar w:fldCharType="end"/>
        </w:r>
      </w:p>
    </w:sdtContent>
  </w:sdt>
  <w:p w:rsidR="00981FE8" w:rsidRDefault="0098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6A" w:rsidRDefault="00B51C6A" w:rsidP="00981FE8">
      <w:r>
        <w:separator/>
      </w:r>
    </w:p>
  </w:footnote>
  <w:footnote w:type="continuationSeparator" w:id="0">
    <w:p w:rsidR="00B51C6A" w:rsidRDefault="00B51C6A" w:rsidP="00981FE8">
      <w:r>
        <w:continuationSeparator/>
      </w:r>
    </w:p>
  </w:footnote>
  <w:footnote w:id="1">
    <w:p w:rsidR="00287D83" w:rsidRDefault="00287D8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1" w:history="1">
        <w:r>
          <w:rPr>
            <w:rStyle w:val="Hypertextovprepojenie"/>
          </w:rPr>
          <w:t>Register dokumentov Komisie - C(2017)4393 (europa.eu)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1A50"/>
    <w:multiLevelType w:val="hybridMultilevel"/>
    <w:tmpl w:val="AEAA41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531AC"/>
    <w:multiLevelType w:val="hybridMultilevel"/>
    <w:tmpl w:val="B436255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9B6487A"/>
    <w:multiLevelType w:val="hybridMultilevel"/>
    <w:tmpl w:val="510EEB5C"/>
    <w:lvl w:ilvl="0" w:tplc="97D67A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D327B"/>
    <w:multiLevelType w:val="hybridMultilevel"/>
    <w:tmpl w:val="F6CA5066"/>
    <w:lvl w:ilvl="0" w:tplc="3676AFD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5E"/>
    <w:rsid w:val="000124D6"/>
    <w:rsid w:val="000141F3"/>
    <w:rsid w:val="00021E33"/>
    <w:rsid w:val="00054AB0"/>
    <w:rsid w:val="0006300C"/>
    <w:rsid w:val="000722B0"/>
    <w:rsid w:val="000728FD"/>
    <w:rsid w:val="00091528"/>
    <w:rsid w:val="000A100B"/>
    <w:rsid w:val="000D33B4"/>
    <w:rsid w:val="0012369D"/>
    <w:rsid w:val="00126FD7"/>
    <w:rsid w:val="001315BD"/>
    <w:rsid w:val="001665C9"/>
    <w:rsid w:val="001717D6"/>
    <w:rsid w:val="00171E14"/>
    <w:rsid w:val="001844AB"/>
    <w:rsid w:val="0018530D"/>
    <w:rsid w:val="00187973"/>
    <w:rsid w:val="00194E02"/>
    <w:rsid w:val="001D1765"/>
    <w:rsid w:val="0021277B"/>
    <w:rsid w:val="002133C8"/>
    <w:rsid w:val="00235850"/>
    <w:rsid w:val="00262292"/>
    <w:rsid w:val="00287D83"/>
    <w:rsid w:val="002D0C02"/>
    <w:rsid w:val="002F496B"/>
    <w:rsid w:val="0031121E"/>
    <w:rsid w:val="003148F0"/>
    <w:rsid w:val="00321068"/>
    <w:rsid w:val="003454F3"/>
    <w:rsid w:val="00345AB7"/>
    <w:rsid w:val="00357E41"/>
    <w:rsid w:val="0036556E"/>
    <w:rsid w:val="0037079A"/>
    <w:rsid w:val="00376B81"/>
    <w:rsid w:val="003B40FA"/>
    <w:rsid w:val="003C575B"/>
    <w:rsid w:val="003E6975"/>
    <w:rsid w:val="003F483A"/>
    <w:rsid w:val="004304CD"/>
    <w:rsid w:val="00430C5A"/>
    <w:rsid w:val="00441593"/>
    <w:rsid w:val="00470408"/>
    <w:rsid w:val="004B475C"/>
    <w:rsid w:val="004C4557"/>
    <w:rsid w:val="004E30EA"/>
    <w:rsid w:val="004E51BF"/>
    <w:rsid w:val="004F1551"/>
    <w:rsid w:val="0052324D"/>
    <w:rsid w:val="00532B5B"/>
    <w:rsid w:val="00533DB2"/>
    <w:rsid w:val="005727DD"/>
    <w:rsid w:val="0058275E"/>
    <w:rsid w:val="00597D6F"/>
    <w:rsid w:val="005A19A5"/>
    <w:rsid w:val="005A48F0"/>
    <w:rsid w:val="005D4E82"/>
    <w:rsid w:val="0062542F"/>
    <w:rsid w:val="00640EF0"/>
    <w:rsid w:val="0064213B"/>
    <w:rsid w:val="006502E4"/>
    <w:rsid w:val="006754CA"/>
    <w:rsid w:val="00685DF7"/>
    <w:rsid w:val="00694F22"/>
    <w:rsid w:val="006A6382"/>
    <w:rsid w:val="006D220A"/>
    <w:rsid w:val="006E4F53"/>
    <w:rsid w:val="007104EB"/>
    <w:rsid w:val="0072148F"/>
    <w:rsid w:val="00752CD8"/>
    <w:rsid w:val="00757098"/>
    <w:rsid w:val="00774329"/>
    <w:rsid w:val="007A53D2"/>
    <w:rsid w:val="007F7915"/>
    <w:rsid w:val="008205AD"/>
    <w:rsid w:val="00822802"/>
    <w:rsid w:val="00827D9D"/>
    <w:rsid w:val="00861AE6"/>
    <w:rsid w:val="00861E11"/>
    <w:rsid w:val="00867B60"/>
    <w:rsid w:val="008946E7"/>
    <w:rsid w:val="00897FCB"/>
    <w:rsid w:val="008B0F88"/>
    <w:rsid w:val="008C34A3"/>
    <w:rsid w:val="00905434"/>
    <w:rsid w:val="009407FB"/>
    <w:rsid w:val="00941D34"/>
    <w:rsid w:val="009711F2"/>
    <w:rsid w:val="00981FE8"/>
    <w:rsid w:val="009C3401"/>
    <w:rsid w:val="009C7A80"/>
    <w:rsid w:val="009E1CCA"/>
    <w:rsid w:val="009E6738"/>
    <w:rsid w:val="00A04D7D"/>
    <w:rsid w:val="00A30B50"/>
    <w:rsid w:val="00A47913"/>
    <w:rsid w:val="00A5703A"/>
    <w:rsid w:val="00A70E24"/>
    <w:rsid w:val="00A939B1"/>
    <w:rsid w:val="00AD17BD"/>
    <w:rsid w:val="00AF0885"/>
    <w:rsid w:val="00B21965"/>
    <w:rsid w:val="00B27FBF"/>
    <w:rsid w:val="00B3603E"/>
    <w:rsid w:val="00B4004F"/>
    <w:rsid w:val="00B51C6A"/>
    <w:rsid w:val="00B70F57"/>
    <w:rsid w:val="00B77FA1"/>
    <w:rsid w:val="00BB5120"/>
    <w:rsid w:val="00BC1EC8"/>
    <w:rsid w:val="00BE3059"/>
    <w:rsid w:val="00C2601C"/>
    <w:rsid w:val="00C433F2"/>
    <w:rsid w:val="00C57C1C"/>
    <w:rsid w:val="00C708B7"/>
    <w:rsid w:val="00C81BFB"/>
    <w:rsid w:val="00C8782C"/>
    <w:rsid w:val="00C97278"/>
    <w:rsid w:val="00CB1543"/>
    <w:rsid w:val="00CC1558"/>
    <w:rsid w:val="00CC1CE7"/>
    <w:rsid w:val="00CF23EE"/>
    <w:rsid w:val="00D04CD6"/>
    <w:rsid w:val="00D55353"/>
    <w:rsid w:val="00D66072"/>
    <w:rsid w:val="00D6654B"/>
    <w:rsid w:val="00D7574E"/>
    <w:rsid w:val="00D76DA4"/>
    <w:rsid w:val="00D87A91"/>
    <w:rsid w:val="00D87D81"/>
    <w:rsid w:val="00DB4817"/>
    <w:rsid w:val="00DE3732"/>
    <w:rsid w:val="00DF5963"/>
    <w:rsid w:val="00E1685C"/>
    <w:rsid w:val="00E25D48"/>
    <w:rsid w:val="00E46862"/>
    <w:rsid w:val="00E54299"/>
    <w:rsid w:val="00E84A49"/>
    <w:rsid w:val="00E8727F"/>
    <w:rsid w:val="00EB3696"/>
    <w:rsid w:val="00EF078C"/>
    <w:rsid w:val="00EF2CEC"/>
    <w:rsid w:val="00EF3A5E"/>
    <w:rsid w:val="00F21CB5"/>
    <w:rsid w:val="00F35602"/>
    <w:rsid w:val="00F66ED7"/>
    <w:rsid w:val="00F67515"/>
    <w:rsid w:val="00F91764"/>
    <w:rsid w:val="00F94DCF"/>
    <w:rsid w:val="00F96FFF"/>
    <w:rsid w:val="00FA5AF2"/>
    <w:rsid w:val="00FC088E"/>
    <w:rsid w:val="00FD41FA"/>
    <w:rsid w:val="00FE1861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175FF-6B1F-4DA0-87BB-B00B449B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7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1558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E37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37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373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37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373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7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732"/>
    <w:rPr>
      <w:rFonts w:ascii="Segoe UI" w:eastAsia="MS Mincho" w:hAnsi="Segoe UI" w:cs="Segoe UI"/>
      <w:sz w:val="18"/>
      <w:szCs w:val="18"/>
      <w:lang w:eastAsia="ja-JP"/>
    </w:rPr>
  </w:style>
  <w:style w:type="paragraph" w:styleId="Hlavika">
    <w:name w:val="header"/>
    <w:basedOn w:val="Normlny"/>
    <w:link w:val="HlavikaChar"/>
    <w:uiPriority w:val="99"/>
    <w:unhideWhenUsed/>
    <w:rsid w:val="00981F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1FE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unhideWhenUsed/>
    <w:rsid w:val="00981F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1FE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7D8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7D83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7D83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28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6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transparency/documents-register/detail?ref=C(2017)4393&amp;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-sprava-vseobecna"/>
    <f:field ref="objsubject" par="" edit="true" text=""/>
    <f:field ref="objcreatedby" par="" text="Hornáček, Vladimír, Mgr."/>
    <f:field ref="objcreatedat" par="" text="3.9.2021 12:45:41"/>
    <f:field ref="objchangedby" par="" text="Administrator, System"/>
    <f:field ref="objmodifiedat" par="" text="3.9.2021 12:45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0262B3-4989-4F02-8616-F34686DF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Fujdová</dc:creator>
  <cp:keywords/>
  <dc:description/>
  <cp:lastModifiedBy>Cebulakova Monika</cp:lastModifiedBy>
  <cp:revision>4</cp:revision>
  <cp:lastPrinted>2022-01-13T09:36:00Z</cp:lastPrinted>
  <dcterms:created xsi:type="dcterms:W3CDTF">2022-01-13T09:32:00Z</dcterms:created>
  <dcterms:modified xsi:type="dcterms:W3CDTF">2022-01-13T09:37:00Z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osobnom dôchodkovom produkte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 o osobnom dôchodkovom produkte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25910/2021-M_OPVA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LP/2021/491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Zmluvy o fungovaní Európskej únie (Ú. v. ES C 202, 7. 6. 2016),</vt:lpwstr>
  </property>
  <property fmtid="{D5CDD505-2E9C-101B-9397-08002B2CF9AE}" pid="47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50" name="FSC#SKEDITIONSLOVLEX@103.510:vytvorenedna">
    <vt:lpwstr>3. 9. 2021</vt:lpwstr>
  </property>
  <property fmtid="{D5CDD505-2E9C-101B-9397-08002B2CF9AE}" pid="151" name="FSC#COOSYSTEM@1.1:Container">
    <vt:lpwstr>COO.2145.1000.3.4540235</vt:lpwstr>
  </property>
  <property fmtid="{D5CDD505-2E9C-101B-9397-08002B2CF9AE}" pid="152" name="FSC#FSCFOLIO@1.1001:docpropproject">
    <vt:lpwstr/>
  </property>
</Properties>
</file>