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2EC" w:rsidRPr="00656606" w:rsidP="00C3513B">
      <w:pPr>
        <w:autoSpaceDE/>
        <w:ind w:left="360"/>
        <w:jc w:val="center"/>
        <w:rPr>
          <w:b/>
          <w:sz w:val="32"/>
          <w:szCs w:val="32"/>
        </w:rPr>
      </w:pPr>
      <w:r w:rsidRPr="00656606">
        <w:rPr>
          <w:b/>
          <w:sz w:val="32"/>
          <w:szCs w:val="32"/>
        </w:rPr>
        <w:t>TABUĽKA ZHODY</w:t>
      </w:r>
    </w:p>
    <w:p w:rsidR="002762EC" w:rsidRPr="00656606" w:rsidP="00C3513B">
      <w:pPr>
        <w:autoSpaceDE/>
        <w:ind w:left="360"/>
        <w:jc w:val="center"/>
        <w:rPr>
          <w:b/>
          <w:sz w:val="32"/>
          <w:szCs w:val="32"/>
        </w:rPr>
      </w:pPr>
      <w:r w:rsidRPr="00656606" w:rsidR="00727D31">
        <w:rPr>
          <w:b/>
          <w:sz w:val="32"/>
          <w:szCs w:val="32"/>
        </w:rPr>
        <w:t xml:space="preserve">návrhu </w:t>
      </w:r>
      <w:r w:rsidRPr="00656606">
        <w:rPr>
          <w:b/>
          <w:sz w:val="32"/>
          <w:szCs w:val="32"/>
        </w:rPr>
        <w:t>právneho predpisu s právom Európskej únie</w:t>
      </w:r>
    </w:p>
    <w:p w:rsidR="002762EC" w:rsidRPr="00656606" w:rsidP="00C3513B">
      <w:pPr>
        <w:autoSpaceDE/>
        <w:jc w:val="both"/>
        <w:rPr>
          <w:sz w:val="20"/>
          <w:szCs w:val="20"/>
        </w:rPr>
      </w:pPr>
    </w:p>
    <w:tbl>
      <w:tblPr>
        <w:tblStyle w:val="TableNormal"/>
        <w:tblW w:w="0" w:type="auto"/>
        <w:tblInd w:w="-572" w:type="dxa"/>
        <w:tblLayout w:type="fixed"/>
        <w:tblCellMar>
          <w:left w:w="43" w:type="dxa"/>
          <w:right w:w="43" w:type="dxa"/>
        </w:tblCellMar>
        <w:tblLook w:val="0000"/>
      </w:tblPr>
      <w:tblGrid>
        <w:gridCol w:w="757"/>
        <w:gridCol w:w="4820"/>
        <w:gridCol w:w="708"/>
        <w:gridCol w:w="851"/>
        <w:gridCol w:w="709"/>
        <w:gridCol w:w="5244"/>
        <w:gridCol w:w="426"/>
        <w:gridCol w:w="1134"/>
      </w:tblGrid>
      <w:tr w:rsidTr="006C5AD8">
        <w:tblPrEx>
          <w:tblW w:w="0" w:type="auto"/>
          <w:tblInd w:w="-572" w:type="dxa"/>
          <w:tblLayout w:type="fixed"/>
          <w:tblCellMar>
            <w:left w:w="43" w:type="dxa"/>
            <w:right w:w="43" w:type="dxa"/>
          </w:tblCellMar>
          <w:tblLook w:val="0000"/>
        </w:tblPrEx>
        <w:trPr>
          <w:cantSplit/>
          <w:trHeight w:val="567"/>
        </w:trPr>
        <w:tc>
          <w:tcPr>
            <w:tcW w:w="6285" w:type="dxa"/>
            <w:gridSpan w:val="3"/>
            <w:tcBorders>
              <w:top w:val="single" w:sz="4" w:space="0" w:color="000000"/>
              <w:left w:val="single" w:sz="4" w:space="0" w:color="000000"/>
              <w:bottom w:val="single" w:sz="4" w:space="0" w:color="000000"/>
            </w:tcBorders>
            <w:shd w:val="clear" w:color="auto" w:fill="auto"/>
          </w:tcPr>
          <w:p w:rsidR="003B4053" w:rsidRPr="00656606" w:rsidP="003B4053">
            <w:pPr>
              <w:jc w:val="both"/>
              <w:rPr>
                <w:b/>
                <w:sz w:val="20"/>
                <w:szCs w:val="20"/>
              </w:rPr>
            </w:pPr>
            <w:r w:rsidRPr="00656606">
              <w:rPr>
                <w:b/>
                <w:sz w:val="20"/>
                <w:szCs w:val="20"/>
              </w:rPr>
              <w:t>SMERNICA EURÓPSKEHO PARLAMENTU A RADY (EÚ) 2016/801</w:t>
            </w:r>
          </w:p>
          <w:p w:rsidR="003B4053" w:rsidRPr="00656606" w:rsidP="003B4053">
            <w:pPr>
              <w:jc w:val="both"/>
              <w:rPr>
                <w:b/>
                <w:sz w:val="20"/>
                <w:szCs w:val="20"/>
              </w:rPr>
            </w:pPr>
            <w:r w:rsidRPr="00656606">
              <w:rPr>
                <w:b/>
                <w:sz w:val="20"/>
                <w:szCs w:val="20"/>
              </w:rPr>
              <w:t>z 11. mája 2016 o podmienkach vstupu a pobytu štátnych príslušníkov tretích krajín na účely výskumu, štúdia, odborného vzdelávania, dobrovoľníckej služby, výmenných programov žiakov alebo vzdelávacích projektov a činnosti aupair</w:t>
            </w:r>
          </w:p>
          <w:p w:rsidR="002762EC" w:rsidRPr="00656606" w:rsidP="00C3513B">
            <w:pPr>
              <w:jc w:val="both"/>
              <w:rPr>
                <w:b/>
                <w:sz w:val="20"/>
                <w:szCs w:val="20"/>
              </w:rPr>
            </w:pPr>
          </w:p>
        </w:tc>
        <w:tc>
          <w:tcPr>
            <w:tcW w:w="8364" w:type="dxa"/>
            <w:gridSpan w:val="5"/>
            <w:tcBorders>
              <w:top w:val="single" w:sz="4" w:space="0" w:color="000000"/>
              <w:left w:val="single" w:sz="4" w:space="0" w:color="000000"/>
              <w:bottom w:val="single" w:sz="4" w:space="0" w:color="000000"/>
              <w:right w:val="single" w:sz="4" w:space="0" w:color="000000"/>
            </w:tcBorders>
            <w:shd w:val="clear" w:color="auto" w:fill="auto"/>
          </w:tcPr>
          <w:p w:rsidR="00886301" w:rsidRPr="002C67BE" w:rsidP="00B0159E">
            <w:pPr>
              <w:numPr>
                <w:ilvl w:val="0"/>
                <w:numId w:val="9"/>
              </w:numPr>
              <w:ind w:left="0" w:firstLine="0"/>
              <w:jc w:val="both"/>
              <w:rPr>
                <w:b/>
                <w:bCs/>
                <w:sz w:val="20"/>
                <w:szCs w:val="20"/>
              </w:rPr>
            </w:pPr>
            <w:r w:rsidR="002C67BE">
              <w:rPr>
                <w:b/>
                <w:sz w:val="20"/>
                <w:szCs w:val="20"/>
              </w:rPr>
              <w:t>N</w:t>
            </w:r>
            <w:r w:rsidRPr="00656606" w:rsidR="00CC7162">
              <w:rPr>
                <w:b/>
                <w:sz w:val="20"/>
                <w:szCs w:val="20"/>
              </w:rPr>
              <w:t>ávrh zákona č. .../2022 Z. z., ktorým sa mení a dopĺňa zákon č. 131/2002 Z. z. o vysokých školách a o zmene a doplnení niektorých zákonov v znení neskorších predpisov a ktorým sa menia a dopĺňajú niektoré zákony</w:t>
            </w:r>
            <w:r w:rsidR="002C67BE">
              <w:rPr>
                <w:b/>
                <w:sz w:val="20"/>
                <w:szCs w:val="20"/>
              </w:rPr>
              <w:t>,</w:t>
            </w:r>
          </w:p>
          <w:p w:rsidR="002C67BE" w:rsidRPr="002C67BE" w:rsidP="002C67BE">
            <w:pPr>
              <w:numPr>
                <w:ilvl w:val="0"/>
                <w:numId w:val="9"/>
              </w:numPr>
              <w:ind w:left="0" w:firstLine="0"/>
              <w:jc w:val="both"/>
              <w:rPr>
                <w:b/>
                <w:bCs/>
                <w:sz w:val="20"/>
                <w:szCs w:val="20"/>
              </w:rPr>
            </w:pPr>
            <w:r w:rsidRPr="002C67BE">
              <w:rPr>
                <w:b/>
                <w:sz w:val="20"/>
                <w:szCs w:val="20"/>
              </w:rPr>
              <w:t>zákon č. 131/2002 Z. z. o  vysokých školách a o zmene a doplnení niektorých zákonov v znení neskorších predpisov,</w:t>
            </w:r>
          </w:p>
          <w:p w:rsidR="002C67BE" w:rsidRPr="002C67BE" w:rsidP="002C67BE">
            <w:pPr>
              <w:numPr>
                <w:ilvl w:val="0"/>
                <w:numId w:val="9"/>
              </w:numPr>
              <w:ind w:left="0" w:firstLine="0"/>
              <w:jc w:val="both"/>
              <w:rPr>
                <w:b/>
                <w:bCs/>
                <w:sz w:val="20"/>
                <w:szCs w:val="20"/>
              </w:rPr>
            </w:pPr>
            <w:r w:rsidRPr="002C67BE">
              <w:rPr>
                <w:b/>
                <w:bCs/>
                <w:sz w:val="20"/>
                <w:szCs w:val="20"/>
              </w:rPr>
              <w:t>zákon č. 596/2003 Z. z. o štátnej správe v školstve a školskej samospráve a o zmene a doplnení</w:t>
            </w:r>
            <w:r w:rsidRPr="002C67BE">
              <w:rPr>
                <w:b/>
                <w:bCs/>
                <w:sz w:val="20"/>
                <w:szCs w:val="20"/>
              </w:rPr>
              <w:t xml:space="preserve"> niektorých zákonov v znení neskorších predpisov,</w:t>
            </w:r>
          </w:p>
          <w:p w:rsidR="002C67BE" w:rsidRPr="00F84779" w:rsidP="002C67BE">
            <w:pPr>
              <w:numPr>
                <w:ilvl w:val="0"/>
                <w:numId w:val="9"/>
              </w:numPr>
              <w:ind w:left="0" w:firstLine="0"/>
              <w:jc w:val="both"/>
              <w:rPr>
                <w:b/>
                <w:bCs/>
                <w:sz w:val="20"/>
                <w:szCs w:val="20"/>
              </w:rPr>
            </w:pPr>
            <w:r w:rsidRPr="002C67BE">
              <w:rPr>
                <w:b/>
                <w:sz w:val="20"/>
                <w:szCs w:val="20"/>
              </w:rPr>
              <w:t xml:space="preserve">zákon č. 172/2005 Z. z. o organizácii štátnej podpory výskumu a vývoja a o doplnení zákona č. 575/2001 Z. z. o organizácii činnosti vlády a organizácii ústrednej štátnej správy v znení neskorších predpisov </w:t>
            </w:r>
            <w:r w:rsidRPr="002C67BE">
              <w:rPr>
                <w:b/>
                <w:sz w:val="20"/>
                <w:szCs w:val="20"/>
              </w:rPr>
              <w:t>v znení neskorších predpisov,</w:t>
            </w:r>
          </w:p>
          <w:p w:rsidR="00F84779" w:rsidRPr="002C67BE" w:rsidP="002C67BE">
            <w:pPr>
              <w:numPr>
                <w:ilvl w:val="0"/>
                <w:numId w:val="9"/>
              </w:numPr>
              <w:ind w:left="0" w:firstLine="0"/>
              <w:jc w:val="both"/>
              <w:rPr>
                <w:b/>
                <w:bCs/>
                <w:sz w:val="20"/>
                <w:szCs w:val="20"/>
              </w:rPr>
            </w:pPr>
            <w:r>
              <w:rPr>
                <w:b/>
                <w:bCs/>
                <w:sz w:val="20"/>
                <w:szCs w:val="20"/>
              </w:rPr>
              <w:t>zákon č. 245/2008 Z. z.</w:t>
            </w:r>
            <w:r>
              <w:t xml:space="preserve"> </w:t>
            </w:r>
            <w:r w:rsidRPr="00F84779">
              <w:rPr>
                <w:b/>
                <w:bCs/>
                <w:sz w:val="20"/>
                <w:szCs w:val="20"/>
              </w:rPr>
              <w:t>o výchove a vzdelávaní (školský zákon) a o zmene a doplnení niektorých zákonov</w:t>
            </w:r>
            <w:r>
              <w:rPr>
                <w:b/>
                <w:bCs/>
                <w:sz w:val="20"/>
                <w:szCs w:val="20"/>
              </w:rPr>
              <w:t>,</w:t>
            </w:r>
          </w:p>
          <w:p w:rsidR="002C67BE" w:rsidRPr="002C67BE" w:rsidP="002C67BE">
            <w:pPr>
              <w:numPr>
                <w:ilvl w:val="0"/>
                <w:numId w:val="9"/>
              </w:numPr>
              <w:ind w:left="0" w:firstLine="0"/>
              <w:jc w:val="both"/>
              <w:rPr>
                <w:bCs/>
                <w:sz w:val="20"/>
                <w:szCs w:val="20"/>
              </w:rPr>
            </w:pPr>
            <w:r w:rsidRPr="002C67BE">
              <w:rPr>
                <w:b/>
                <w:sz w:val="20"/>
                <w:szCs w:val="20"/>
              </w:rPr>
              <w:t>zákon č. 282/2008 Z. z. o podpore práce s mládežou a o zmene a doplnení zákona č. 131/2002 Z. z. o vysokých školách a o zm</w:t>
            </w:r>
            <w:r w:rsidRPr="002C67BE">
              <w:rPr>
                <w:b/>
                <w:sz w:val="20"/>
                <w:szCs w:val="20"/>
              </w:rPr>
              <w:t>ene a doplnení niektorých zákonov v znení neskorších predpisov v znení neskorších predpisov.</w:t>
            </w: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2762EC" w:rsidRPr="00656606" w:rsidP="00C3513B">
            <w:pPr>
              <w:snapToGrid w:val="0"/>
              <w:jc w:val="center"/>
              <w:rPr>
                <w:sz w:val="20"/>
                <w:szCs w:val="20"/>
              </w:rPr>
            </w:pPr>
            <w:r w:rsidRPr="00656606" w:rsidR="00EC60EB">
              <w:rPr>
                <w:sz w:val="20"/>
                <w:szCs w:val="20"/>
              </w:rPr>
              <w:t>1</w:t>
            </w:r>
          </w:p>
        </w:tc>
        <w:tc>
          <w:tcPr>
            <w:tcW w:w="4820" w:type="dxa"/>
            <w:tcBorders>
              <w:top w:val="single" w:sz="4" w:space="0" w:color="000000"/>
              <w:left w:val="single" w:sz="4" w:space="0" w:color="000000"/>
              <w:bottom w:val="single" w:sz="4" w:space="0" w:color="000000"/>
            </w:tcBorders>
            <w:shd w:val="clear" w:color="auto" w:fill="auto"/>
          </w:tcPr>
          <w:p w:rsidR="002762EC" w:rsidRPr="00656606" w:rsidP="00C3513B">
            <w:pPr>
              <w:snapToGrid w:val="0"/>
              <w:jc w:val="center"/>
              <w:rPr>
                <w:sz w:val="20"/>
                <w:szCs w:val="20"/>
              </w:rPr>
            </w:pPr>
            <w:r w:rsidRPr="00656606">
              <w:rPr>
                <w:sz w:val="20"/>
                <w:szCs w:val="20"/>
              </w:rPr>
              <w:t>2</w:t>
            </w:r>
          </w:p>
        </w:tc>
        <w:tc>
          <w:tcPr>
            <w:tcW w:w="708" w:type="dxa"/>
            <w:tcBorders>
              <w:top w:val="single" w:sz="4" w:space="0" w:color="000000"/>
              <w:left w:val="single" w:sz="4" w:space="0" w:color="000000"/>
              <w:bottom w:val="single" w:sz="4" w:space="0" w:color="000000"/>
            </w:tcBorders>
            <w:shd w:val="clear" w:color="auto" w:fill="auto"/>
          </w:tcPr>
          <w:p w:rsidR="002762EC" w:rsidRPr="00656606" w:rsidP="00C3513B">
            <w:pPr>
              <w:snapToGrid w:val="0"/>
              <w:jc w:val="center"/>
              <w:rPr>
                <w:sz w:val="20"/>
                <w:szCs w:val="20"/>
              </w:rPr>
            </w:pPr>
            <w:r w:rsidRPr="00656606">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2762EC" w:rsidRPr="00656606" w:rsidP="00C3513B">
            <w:pPr>
              <w:snapToGrid w:val="0"/>
              <w:jc w:val="center"/>
              <w:rPr>
                <w:sz w:val="20"/>
                <w:szCs w:val="20"/>
              </w:rPr>
            </w:pPr>
            <w:r w:rsidRPr="00656606">
              <w:rPr>
                <w:sz w:val="20"/>
                <w:szCs w:val="20"/>
              </w:rPr>
              <w:t>4</w:t>
            </w:r>
          </w:p>
        </w:tc>
        <w:tc>
          <w:tcPr>
            <w:tcW w:w="709" w:type="dxa"/>
            <w:tcBorders>
              <w:top w:val="single" w:sz="4" w:space="0" w:color="000000"/>
              <w:left w:val="single" w:sz="4" w:space="0" w:color="000000"/>
              <w:bottom w:val="single" w:sz="4" w:space="0" w:color="000000"/>
            </w:tcBorders>
            <w:shd w:val="clear" w:color="auto" w:fill="auto"/>
          </w:tcPr>
          <w:p w:rsidR="002762EC" w:rsidRPr="00656606" w:rsidP="00C3513B">
            <w:pPr>
              <w:pStyle w:val="BodyTextIndent"/>
              <w:snapToGrid w:val="0"/>
              <w:spacing w:after="0" w:line="240" w:lineRule="exact"/>
              <w:jc w:val="center"/>
              <w:rPr>
                <w:sz w:val="20"/>
                <w:szCs w:val="20"/>
              </w:rPr>
            </w:pPr>
            <w:r w:rsidRPr="00656606">
              <w:rPr>
                <w:sz w:val="20"/>
                <w:szCs w:val="20"/>
              </w:rPr>
              <w:t>5</w:t>
            </w:r>
          </w:p>
        </w:tc>
        <w:tc>
          <w:tcPr>
            <w:tcW w:w="5244" w:type="dxa"/>
            <w:tcBorders>
              <w:top w:val="single" w:sz="4" w:space="0" w:color="000000"/>
              <w:left w:val="single" w:sz="4" w:space="0" w:color="000000"/>
              <w:bottom w:val="single" w:sz="4" w:space="0" w:color="000000"/>
            </w:tcBorders>
            <w:shd w:val="clear" w:color="auto" w:fill="auto"/>
          </w:tcPr>
          <w:p w:rsidR="002762EC" w:rsidRPr="00656606" w:rsidP="00C3513B">
            <w:pPr>
              <w:pStyle w:val="BodyTextIndent"/>
              <w:snapToGrid w:val="0"/>
              <w:spacing w:after="0" w:line="240" w:lineRule="exact"/>
              <w:jc w:val="center"/>
              <w:rPr>
                <w:sz w:val="20"/>
                <w:szCs w:val="20"/>
              </w:rPr>
            </w:pPr>
            <w:r w:rsidRPr="00656606">
              <w:rPr>
                <w:sz w:val="20"/>
                <w:szCs w:val="20"/>
              </w:rPr>
              <w:t>6</w:t>
            </w:r>
          </w:p>
        </w:tc>
        <w:tc>
          <w:tcPr>
            <w:tcW w:w="426" w:type="dxa"/>
            <w:tcBorders>
              <w:top w:val="single" w:sz="4" w:space="0" w:color="000000"/>
              <w:left w:val="single" w:sz="4" w:space="0" w:color="000000"/>
              <w:bottom w:val="single" w:sz="4" w:space="0" w:color="000000"/>
            </w:tcBorders>
            <w:shd w:val="clear" w:color="auto" w:fill="auto"/>
          </w:tcPr>
          <w:p w:rsidR="002762EC" w:rsidRPr="00656606" w:rsidP="00C3513B">
            <w:pPr>
              <w:snapToGrid w:val="0"/>
              <w:jc w:val="center"/>
              <w:rPr>
                <w:sz w:val="20"/>
                <w:szCs w:val="20"/>
              </w:rPr>
            </w:pPr>
            <w:r w:rsidRPr="00656606">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62EC" w:rsidRPr="00656606" w:rsidP="00952AFF">
            <w:pPr>
              <w:snapToGrid w:val="0"/>
              <w:jc w:val="center"/>
              <w:rPr>
                <w:sz w:val="20"/>
                <w:szCs w:val="20"/>
              </w:rPr>
            </w:pPr>
            <w:r w:rsidRPr="00656606">
              <w:rPr>
                <w:sz w:val="20"/>
                <w:szCs w:val="20"/>
              </w:rPr>
              <w:t>8</w:t>
            </w: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ind w:left="-137" w:right="-185"/>
              <w:jc w:val="center"/>
            </w:pPr>
            <w:r w:rsidRPr="00656606">
              <w:t>Článok</w:t>
            </w:r>
          </w:p>
          <w:p w:rsidR="002762EC" w:rsidRPr="00656606" w:rsidP="006C5AD8">
            <w:pPr>
              <w:pStyle w:val="Normlny"/>
              <w:jc w:val="center"/>
            </w:pPr>
            <w:r w:rsidRPr="00656606">
              <w:t>(Č, O,</w:t>
            </w:r>
          </w:p>
          <w:p w:rsidR="002762EC" w:rsidRPr="00656606" w:rsidP="006C5AD8">
            <w:pPr>
              <w:pStyle w:val="Normlny"/>
              <w:jc w:val="center"/>
            </w:pPr>
            <w:r w:rsidRPr="00656606">
              <w:t>V, P)</w:t>
            </w:r>
          </w:p>
        </w:tc>
        <w:tc>
          <w:tcPr>
            <w:tcW w:w="4820"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jc w:val="center"/>
            </w:pPr>
            <w:r w:rsidRPr="00656606" w:rsidR="00EC60EB">
              <w:t>Text</w:t>
            </w:r>
          </w:p>
        </w:tc>
        <w:tc>
          <w:tcPr>
            <w:tcW w:w="708"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ind w:left="-43" w:right="-116"/>
              <w:jc w:val="center"/>
            </w:pPr>
            <w:r w:rsidRPr="00656606">
              <w:t>Spôsob transp.</w:t>
            </w:r>
          </w:p>
          <w:p w:rsidR="00AF0B3B" w:rsidRPr="00656606" w:rsidP="006C5AD8">
            <w:pPr>
              <w:pStyle w:val="Normlny"/>
              <w:ind w:left="-43" w:right="-116"/>
              <w:jc w:val="center"/>
            </w:pPr>
            <w:r w:rsidRPr="00656606" w:rsidR="002762EC">
              <w:t>(N, O,</w:t>
            </w:r>
          </w:p>
          <w:p w:rsidR="002762EC" w:rsidRPr="00656606" w:rsidP="006C5AD8">
            <w:pPr>
              <w:pStyle w:val="Normlny"/>
              <w:ind w:left="-43" w:right="-116"/>
              <w:jc w:val="center"/>
            </w:pPr>
            <w:r w:rsidRPr="00656606">
              <w:t>D, n.a.)</w:t>
            </w:r>
          </w:p>
        </w:tc>
        <w:tc>
          <w:tcPr>
            <w:tcW w:w="851"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jc w:val="center"/>
            </w:pPr>
            <w:r w:rsidRPr="00656606">
              <w:t>Číslo</w:t>
            </w:r>
          </w:p>
        </w:tc>
        <w:tc>
          <w:tcPr>
            <w:tcW w:w="709" w:type="dxa"/>
            <w:tcBorders>
              <w:top w:val="single" w:sz="4" w:space="0" w:color="000000"/>
              <w:left w:val="single" w:sz="4" w:space="0" w:color="000000"/>
              <w:bottom w:val="single" w:sz="4" w:space="0" w:color="000000"/>
            </w:tcBorders>
            <w:shd w:val="clear" w:color="auto" w:fill="auto"/>
          </w:tcPr>
          <w:p w:rsidR="00EC60EB" w:rsidRPr="00656606" w:rsidP="006C5AD8">
            <w:pPr>
              <w:pStyle w:val="Normlny"/>
              <w:snapToGrid w:val="0"/>
              <w:ind w:left="-172" w:right="-185"/>
              <w:jc w:val="center"/>
            </w:pPr>
            <w:r w:rsidRPr="00656606" w:rsidR="002762EC">
              <w:t>Článok     (Č, §,</w:t>
            </w:r>
          </w:p>
          <w:p w:rsidR="00AF0B3B" w:rsidRPr="00656606" w:rsidP="006C5AD8">
            <w:pPr>
              <w:pStyle w:val="Normlny"/>
              <w:snapToGrid w:val="0"/>
              <w:ind w:left="-172" w:right="-185"/>
              <w:jc w:val="center"/>
            </w:pPr>
            <w:r w:rsidRPr="00656606" w:rsidR="002762EC">
              <w:t>O, V,</w:t>
            </w:r>
          </w:p>
          <w:p w:rsidR="002762EC" w:rsidRPr="00656606" w:rsidP="006C5AD8">
            <w:pPr>
              <w:pStyle w:val="Normlny"/>
              <w:snapToGrid w:val="0"/>
              <w:ind w:left="-172" w:right="-185"/>
              <w:jc w:val="center"/>
            </w:pPr>
            <w:r w:rsidRPr="00656606">
              <w:t>P)</w:t>
            </w:r>
          </w:p>
        </w:tc>
        <w:tc>
          <w:tcPr>
            <w:tcW w:w="5244"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jc w:val="center"/>
            </w:pPr>
            <w:r w:rsidRPr="00656606" w:rsidR="00EC60EB">
              <w:t>Text</w:t>
            </w:r>
          </w:p>
        </w:tc>
        <w:tc>
          <w:tcPr>
            <w:tcW w:w="426" w:type="dxa"/>
            <w:tcBorders>
              <w:top w:val="single" w:sz="4" w:space="0" w:color="000000"/>
              <w:left w:val="single" w:sz="4" w:space="0" w:color="000000"/>
              <w:bottom w:val="single" w:sz="4" w:space="0" w:color="000000"/>
            </w:tcBorders>
            <w:shd w:val="clear" w:color="auto" w:fill="auto"/>
          </w:tcPr>
          <w:p w:rsidR="002762EC" w:rsidRPr="00656606" w:rsidP="006C5AD8">
            <w:pPr>
              <w:pStyle w:val="Normlny"/>
              <w:snapToGrid w:val="0"/>
              <w:ind w:left="-43" w:right="-43"/>
              <w:jc w:val="center"/>
            </w:pPr>
            <w:r w:rsidRPr="00656606">
              <w:t>Zhoda</w:t>
            </w:r>
          </w:p>
          <w:p w:rsidR="002762EC" w:rsidRPr="00656606" w:rsidP="006C5AD8">
            <w:pPr>
              <w:pStyle w:val="Normlny"/>
              <w:snapToGrid w:val="0"/>
              <w:jc w:val="center"/>
            </w:pPr>
            <w:r w:rsidRPr="00656606">
              <w:t>(Ú, Č, R, 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62EC" w:rsidRPr="00656606" w:rsidP="00952AFF">
            <w:pPr>
              <w:pStyle w:val="Normlny"/>
              <w:snapToGrid w:val="0"/>
              <w:jc w:val="center"/>
            </w:pPr>
            <w:r w:rsidRPr="00656606">
              <w:t>Poznámky</w:t>
            </w:r>
          </w:p>
          <w:p w:rsidR="002762EC" w:rsidRPr="00656606" w:rsidP="00952AFF">
            <w:pPr>
              <w:pStyle w:val="Normlny"/>
              <w:jc w:val="cente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E11BE2" w:rsidRPr="00DC6E10" w:rsidP="00B531EC">
            <w:pPr>
              <w:snapToGrid w:val="0"/>
              <w:jc w:val="both"/>
              <w:rPr>
                <w:sz w:val="20"/>
                <w:szCs w:val="20"/>
              </w:rPr>
            </w:pPr>
            <w:r w:rsidRPr="00DC6E10">
              <w:rPr>
                <w:sz w:val="20"/>
                <w:szCs w:val="20"/>
              </w:rPr>
              <w:t>C: 3</w:t>
            </w:r>
          </w:p>
          <w:p w:rsidR="00E11BE2" w:rsidRPr="00DC6E10" w:rsidP="00B531EC">
            <w:pPr>
              <w:snapToGrid w:val="0"/>
              <w:jc w:val="both"/>
              <w:rPr>
                <w:sz w:val="20"/>
                <w:szCs w:val="20"/>
              </w:rPr>
            </w:pPr>
            <w:r w:rsidRPr="00DC6E10">
              <w:rPr>
                <w:sz w:val="20"/>
                <w:szCs w:val="20"/>
              </w:rPr>
              <w:t>O:2</w:t>
            </w:r>
          </w:p>
        </w:tc>
        <w:tc>
          <w:tcPr>
            <w:tcW w:w="4820" w:type="dxa"/>
            <w:tcBorders>
              <w:top w:val="single" w:sz="4" w:space="0" w:color="000000"/>
              <w:left w:val="single" w:sz="4" w:space="0" w:color="000000"/>
              <w:bottom w:val="single" w:sz="4" w:space="0" w:color="000000"/>
            </w:tcBorders>
            <w:shd w:val="clear" w:color="auto" w:fill="auto"/>
          </w:tcPr>
          <w:p w:rsidR="00E11BE2" w:rsidRPr="00DC6E10" w:rsidP="00031365">
            <w:pPr>
              <w:jc w:val="both"/>
              <w:rPr>
                <w:sz w:val="20"/>
                <w:szCs w:val="20"/>
              </w:rPr>
            </w:pPr>
            <w:r w:rsidRPr="00DC6E10">
              <w:rPr>
                <w:sz w:val="20"/>
                <w:szCs w:val="20"/>
              </w:rPr>
              <w:t>„výskumný pracovník“ je štátny príslušník tretej krajiny, ktorý má doktorandský titul alebo primeranú vysokoškolskú kvalifikáciu, ktorá umožňuje prístup tohto štátneho príslušníka tretej krajiny k doktorandským programom, vybraný výskumnou organizáciou a prijatý na územie členského štátu na vykonávanie výskumného projektu, na ktorý sa spravidla vyžaduje takáto kvalifikácia;</w:t>
            </w:r>
          </w:p>
        </w:tc>
        <w:tc>
          <w:tcPr>
            <w:tcW w:w="708" w:type="dxa"/>
            <w:tcBorders>
              <w:top w:val="single" w:sz="4" w:space="0" w:color="000000"/>
              <w:left w:val="single" w:sz="4" w:space="0" w:color="000000"/>
              <w:bottom w:val="single" w:sz="4" w:space="0" w:color="000000"/>
            </w:tcBorders>
            <w:shd w:val="clear" w:color="auto" w:fill="auto"/>
          </w:tcPr>
          <w:p w:rsidR="00E11BE2" w:rsidRPr="00DC6E10" w:rsidP="00AF0B3B">
            <w:pPr>
              <w:snapToGrid w:val="0"/>
              <w:jc w:val="center"/>
              <w:rPr>
                <w:sz w:val="20"/>
                <w:szCs w:val="20"/>
              </w:rPr>
            </w:pPr>
            <w:r w:rsidRPr="00DC6E10" w:rsidR="00F84779">
              <w:rPr>
                <w:sz w:val="20"/>
                <w:szCs w:val="20"/>
              </w:rPr>
              <w:t>N</w:t>
            </w:r>
          </w:p>
        </w:tc>
        <w:tc>
          <w:tcPr>
            <w:tcW w:w="851" w:type="dxa"/>
            <w:tcBorders>
              <w:top w:val="single" w:sz="4" w:space="0" w:color="000000"/>
              <w:left w:val="single" w:sz="4" w:space="0" w:color="000000"/>
              <w:bottom w:val="single" w:sz="4" w:space="0" w:color="000000"/>
            </w:tcBorders>
            <w:shd w:val="clear" w:color="auto" w:fill="auto"/>
          </w:tcPr>
          <w:p w:rsidR="00E11BE2" w:rsidRPr="00DC6E10" w:rsidP="002C67BE">
            <w:pPr>
              <w:jc w:val="both"/>
              <w:rPr>
                <w:sz w:val="20"/>
                <w:szCs w:val="20"/>
              </w:rPr>
            </w:pPr>
            <w:r w:rsidRPr="00DC6E10" w:rsidR="00B34F03">
              <w:rPr>
                <w:sz w:val="20"/>
                <w:szCs w:val="20"/>
              </w:rPr>
              <w:t>Zákon č. 172/2005 Z. z.</w:t>
            </w: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p>
          <w:p w:rsidR="00B34F03" w:rsidRPr="00DC6E10" w:rsidP="002C67BE">
            <w:pPr>
              <w:jc w:val="both"/>
              <w:rPr>
                <w:sz w:val="20"/>
                <w:szCs w:val="20"/>
              </w:rPr>
            </w:pPr>
            <w:r w:rsidRPr="00DC6E10">
              <w:rPr>
                <w:sz w:val="20"/>
                <w:szCs w:val="20"/>
              </w:rPr>
              <w:t xml:space="preserve">Zákon č. 172/2005 Z. z. </w:t>
            </w:r>
            <w:r w:rsidR="00C536A0">
              <w:rPr>
                <w:sz w:val="20"/>
                <w:szCs w:val="20"/>
              </w:rPr>
              <w:t>a Z</w:t>
            </w:r>
            <w:r w:rsidRPr="00DC6E10">
              <w:rPr>
                <w:sz w:val="20"/>
                <w:szCs w:val="20"/>
              </w:rPr>
              <w:t>ákon</w:t>
            </w:r>
            <w:r w:rsidR="00C536A0">
              <w:rPr>
                <w:sz w:val="20"/>
                <w:szCs w:val="20"/>
              </w:rPr>
              <w:t xml:space="preserve"> </w:t>
            </w:r>
            <w:r w:rsidRPr="00DC6E10">
              <w:rPr>
                <w:sz w:val="20"/>
                <w:szCs w:val="20"/>
              </w:rPr>
              <w:t>č. .../2022 Z. z.</w:t>
            </w:r>
          </w:p>
        </w:tc>
        <w:tc>
          <w:tcPr>
            <w:tcW w:w="709" w:type="dxa"/>
            <w:tcBorders>
              <w:top w:val="single" w:sz="4" w:space="0" w:color="000000"/>
              <w:left w:val="single" w:sz="4" w:space="0" w:color="000000"/>
              <w:bottom w:val="single" w:sz="4" w:space="0" w:color="000000"/>
            </w:tcBorders>
            <w:shd w:val="clear" w:color="auto" w:fill="auto"/>
          </w:tcPr>
          <w:p w:rsidR="00E11BE2" w:rsidRPr="00DC6E10" w:rsidP="00BE30FC">
            <w:pPr>
              <w:pStyle w:val="Normlny"/>
              <w:snapToGrid w:val="0"/>
              <w:jc w:val="both"/>
            </w:pPr>
            <w:r w:rsidRPr="00DC6E10" w:rsidR="00B34F03">
              <w:t>§ 26b</w:t>
            </w:r>
          </w:p>
          <w:p w:rsidR="00B34F03" w:rsidRPr="00DC6E10" w:rsidP="00BE30FC">
            <w:pPr>
              <w:pStyle w:val="Normlny"/>
              <w:snapToGrid w:val="0"/>
              <w:jc w:val="both"/>
            </w:pPr>
            <w:r w:rsidRPr="00DC6E10">
              <w:t>O: 1</w:t>
            </w: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p>
          <w:p w:rsidR="00B34F03" w:rsidRPr="00DC6E10" w:rsidP="00BE30FC">
            <w:pPr>
              <w:pStyle w:val="Normlny"/>
              <w:snapToGrid w:val="0"/>
              <w:jc w:val="both"/>
            </w:pPr>
            <w:r w:rsidRPr="00DC6E10">
              <w:t>O: 2</w:t>
            </w:r>
          </w:p>
        </w:tc>
        <w:tc>
          <w:tcPr>
            <w:tcW w:w="5244" w:type="dxa"/>
            <w:tcBorders>
              <w:top w:val="single" w:sz="4" w:space="0" w:color="000000"/>
              <w:left w:val="single" w:sz="4" w:space="0" w:color="000000"/>
              <w:bottom w:val="single" w:sz="4" w:space="0" w:color="000000"/>
            </w:tcBorders>
            <w:shd w:val="clear" w:color="auto" w:fill="auto"/>
          </w:tcPr>
          <w:p w:rsidR="00B34F03" w:rsidRPr="00DC6E10" w:rsidP="00B34F03">
            <w:pPr>
              <w:pStyle w:val="Normlny"/>
              <w:snapToGrid w:val="0"/>
              <w:jc w:val="both"/>
            </w:pPr>
          </w:p>
          <w:p w:rsidR="00B34F03" w:rsidRPr="00DC6E10" w:rsidP="00B34F03">
            <w:pPr>
              <w:pStyle w:val="Normlny"/>
              <w:snapToGrid w:val="0"/>
              <w:jc w:val="both"/>
            </w:pPr>
            <w:r w:rsidRPr="00DC6E10">
              <w:t xml:space="preserve">(1)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 </w:t>
            </w:r>
          </w:p>
          <w:p w:rsidR="00B34F03" w:rsidRPr="00DC6E10" w:rsidP="00B34F03">
            <w:pPr>
              <w:pStyle w:val="Normlny"/>
              <w:snapToGrid w:val="0"/>
              <w:jc w:val="both"/>
            </w:pPr>
            <w:r w:rsidRPr="00DC6E10">
              <w:t xml:space="preserve"> </w:t>
            </w:r>
          </w:p>
          <w:p w:rsidR="00E11BE2" w:rsidRPr="00DC6E10" w:rsidP="00B34F03">
            <w:pPr>
              <w:pStyle w:val="Normlny"/>
              <w:snapToGrid w:val="0"/>
              <w:jc w:val="both"/>
            </w:pPr>
            <w:r w:rsidRPr="00DC6E10" w:rsidR="00B34F03">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r w:rsidRPr="00DC6E10" w:rsidR="00B34F03">
              <w:rPr>
                <w:rFonts w:eastAsia="Calibri"/>
                <w:sz w:val="24"/>
                <w:szCs w:val="24"/>
                <w:lang w:eastAsia="en-US"/>
              </w:rPr>
              <w:t xml:space="preserve"> </w:t>
            </w:r>
            <w:r w:rsidRPr="00DC6E10" w:rsidR="00B34F03">
              <w:rPr>
                <w:b/>
                <w:i/>
              </w:rPr>
              <w:t>Prijímajúca organizácia si na tento účel vyžiada overenú kópiu dokladu o odbornej kvalifikácii cudzinca.</w:t>
            </w:r>
          </w:p>
        </w:tc>
        <w:tc>
          <w:tcPr>
            <w:tcW w:w="426" w:type="dxa"/>
            <w:tcBorders>
              <w:top w:val="single" w:sz="4" w:space="0" w:color="000000"/>
              <w:left w:val="single" w:sz="4" w:space="0" w:color="000000"/>
              <w:bottom w:val="single" w:sz="4" w:space="0" w:color="000000"/>
            </w:tcBorders>
            <w:shd w:val="clear" w:color="auto" w:fill="auto"/>
          </w:tcPr>
          <w:p w:rsidR="00E11BE2" w:rsidRPr="00DC6E10" w:rsidP="00AF0B3B">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11BE2" w:rsidRPr="00DC6E10" w:rsidP="00952AFF">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both"/>
              <w:rPr>
                <w:sz w:val="20"/>
                <w:szCs w:val="20"/>
              </w:rPr>
            </w:pPr>
            <w:r w:rsidRPr="00DC6E10">
              <w:rPr>
                <w:sz w:val="20"/>
                <w:szCs w:val="20"/>
              </w:rPr>
              <w:t>C: 7</w:t>
            </w:r>
          </w:p>
          <w:p w:rsidR="00F84779" w:rsidRPr="00DC6E10" w:rsidP="00F84779">
            <w:pPr>
              <w:snapToGrid w:val="0"/>
              <w:jc w:val="both"/>
              <w:rPr>
                <w:sz w:val="20"/>
                <w:szCs w:val="20"/>
              </w:rPr>
            </w:pPr>
            <w:r w:rsidRPr="00DC6E10">
              <w:rPr>
                <w:sz w:val="20"/>
                <w:szCs w:val="20"/>
              </w:rPr>
              <w:t>O: 1</w:t>
            </w:r>
          </w:p>
          <w:p w:rsidR="00F84779" w:rsidRPr="00DC6E10" w:rsidP="00F84779">
            <w:pPr>
              <w:snapToGrid w:val="0"/>
              <w:jc w:val="both"/>
              <w:rPr>
                <w:sz w:val="20"/>
                <w:szCs w:val="20"/>
              </w:rPr>
            </w:pPr>
            <w:r w:rsidRPr="00DC6E10">
              <w:rPr>
                <w:sz w:val="20"/>
                <w:szCs w:val="20"/>
              </w:rPr>
              <w:t>P: c</w:t>
            </w:r>
          </w:p>
          <w:p w:rsidR="00F84779" w:rsidRPr="00DC6E10" w:rsidP="00F84779">
            <w:pPr>
              <w:snapToGrid w:val="0"/>
              <w:jc w:val="both"/>
              <w:rPr>
                <w:sz w:val="20"/>
                <w:szCs w:val="20"/>
              </w:rPr>
            </w:pPr>
          </w:p>
        </w:tc>
        <w:tc>
          <w:tcPr>
            <w:tcW w:w="4820" w:type="dxa"/>
            <w:tcBorders>
              <w:top w:val="single" w:sz="4" w:space="0" w:color="000000"/>
              <w:left w:val="single" w:sz="4" w:space="0" w:color="000000"/>
              <w:bottom w:val="single" w:sz="4" w:space="0" w:color="000000"/>
            </w:tcBorders>
            <w:shd w:val="clear" w:color="auto" w:fill="auto"/>
          </w:tcPr>
          <w:p w:rsidR="00F84779" w:rsidRPr="00DC6E10" w:rsidP="00F84779">
            <w:pPr>
              <w:jc w:val="both"/>
              <w:rPr>
                <w:sz w:val="20"/>
                <w:szCs w:val="20"/>
              </w:rPr>
            </w:pPr>
            <w:r w:rsidRPr="00DC6E10">
              <w:rPr>
                <w:sz w:val="20"/>
                <w:szCs w:val="20"/>
              </w:rPr>
              <w:t xml:space="preserve">c) predloží dôkaz o tom, že má alebo ak sa tak ustanovuje vo vnútroštátnom práve, že požiadal o zdravotné poistenie pokrývajúce všetky riziká, proti ktorým sú zvyčajne poistení štátni príslušníci dotknutého členského štátu; poistenie musí byť platné počas obdobia plánovaného pobytu; </w:t>
            </w:r>
          </w:p>
        </w:tc>
        <w:tc>
          <w:tcPr>
            <w:tcW w:w="708"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r w:rsidRPr="00DC6E10">
              <w:rPr>
                <w:sz w:val="20"/>
                <w:szCs w:val="20"/>
              </w:rPr>
              <w:t>N</w:t>
            </w:r>
          </w:p>
        </w:tc>
        <w:tc>
          <w:tcPr>
            <w:tcW w:w="851"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r w:rsidRPr="00DC6E10">
              <w:rPr>
                <w:sz w:val="20"/>
                <w:szCs w:val="20"/>
              </w:rPr>
              <w:t xml:space="preserve">Zákon č. 172/2005 Z. z. </w:t>
            </w:r>
            <w:r w:rsidR="00C536A0">
              <w:rPr>
                <w:sz w:val="20"/>
                <w:szCs w:val="20"/>
              </w:rPr>
              <w:t>a</w:t>
            </w:r>
            <w:r w:rsidRPr="00DC6E10">
              <w:rPr>
                <w:sz w:val="20"/>
                <w:szCs w:val="20"/>
              </w:rPr>
              <w:t xml:space="preserve"> </w:t>
            </w:r>
            <w:r w:rsidR="00C536A0">
              <w:rPr>
                <w:sz w:val="20"/>
                <w:szCs w:val="20"/>
              </w:rPr>
              <w:t>Z</w:t>
            </w:r>
            <w:r w:rsidRPr="00DC6E10">
              <w:rPr>
                <w:sz w:val="20"/>
                <w:szCs w:val="20"/>
              </w:rPr>
              <w:t>ákon č. .../2022 Z. z.</w:t>
            </w: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r w:rsidRPr="00DC6E10">
              <w:rPr>
                <w:sz w:val="20"/>
                <w:szCs w:val="20"/>
              </w:rPr>
              <w:t>Zákon č. 245/2008 Z. z.</w:t>
            </w:r>
          </w:p>
          <w:p w:rsidR="00F84779" w:rsidRPr="00DC6E10" w:rsidP="00F84779">
            <w:pPr>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t>§ 26b</w:t>
            </w:r>
          </w:p>
          <w:p w:rsidR="00F84779" w:rsidRPr="00DC6E10" w:rsidP="00F84779">
            <w:pPr>
              <w:pStyle w:val="Normlny"/>
              <w:snapToGrid w:val="0"/>
              <w:jc w:val="both"/>
            </w:pPr>
            <w:r w:rsidRPr="00DC6E10">
              <w:t>O: 3</w:t>
            </w:r>
          </w:p>
          <w:p w:rsidR="00F84779" w:rsidRPr="00DC6E10" w:rsidP="00F84779">
            <w:pPr>
              <w:pStyle w:val="Normlny"/>
              <w:snapToGrid w:val="0"/>
              <w:jc w:val="both"/>
            </w:pPr>
            <w:r w:rsidRPr="00DC6E10">
              <w:t>P: f</w:t>
            </w:r>
            <w:r w:rsidR="004E0E51">
              <w:t>)</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 148</w:t>
            </w:r>
          </w:p>
          <w:p w:rsidR="00F84779" w:rsidRPr="00DC6E10" w:rsidP="00F84779">
            <w:pPr>
              <w:pStyle w:val="Normlny"/>
              <w:snapToGrid w:val="0"/>
              <w:jc w:val="both"/>
            </w:pPr>
            <w:r w:rsidRPr="00DC6E10">
              <w:t>O: 7</w:t>
            </w:r>
          </w:p>
        </w:tc>
        <w:tc>
          <w:tcPr>
            <w:tcW w:w="5244"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rPr>
                <w:strike/>
              </w:rPr>
              <w:t>g</w:t>
            </w:r>
            <w:r w:rsidRPr="00DC6E10">
              <w:rPr>
                <w:b/>
                <w:i/>
              </w:rPr>
              <w:t>f)</w:t>
            </w:r>
            <w:r w:rsidRPr="00DC6E10">
              <w:t xml:space="preserve"> vyhlásenie prijímajúcej organizácie alebo cudzinca, ktorý nie je občanom členského štátu, že cudzinec, ktorý nie je občanom členského štátu, má počas svojho pobytu uhradené zdravotné poistenie.</w:t>
            </w:r>
            <w:r w:rsidRPr="00DC6E10">
              <w:rPr>
                <w:vertAlign w:val="superscript"/>
              </w:rPr>
              <w:t>25</w:t>
            </w:r>
            <w:r w:rsidRPr="00DC6E10">
              <w:t>)</w:t>
            </w:r>
          </w:p>
          <w:p w:rsidR="00F84779" w:rsidRPr="00DC6E10" w:rsidP="00F84779">
            <w:pPr>
              <w:pStyle w:val="Normlny"/>
              <w:snapToGrid w:val="0"/>
              <w:jc w:val="both"/>
            </w:pPr>
          </w:p>
          <w:p w:rsidR="00F84779" w:rsidRPr="00DC6E10" w:rsidP="00F84779">
            <w:pPr>
              <w:pStyle w:val="Normlny"/>
              <w:snapToGrid w:val="0"/>
              <w:jc w:val="both"/>
            </w:pPr>
            <w:r w:rsidRPr="00DC6E10">
              <w:rPr>
                <w:vertAlign w:val="superscript"/>
              </w:rPr>
              <w:t>25</w:t>
            </w:r>
            <w:r w:rsidRPr="00DC6E10">
              <w:t>) Zákon č. 580/2004 Z. z. o zdravotnom poistení a o zmene a doplnení zákona č. 95/2002 Z. z. o poisťovníctve a o zmene a doplnení niektorých zákonov v znení neskorších predpisov.</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(7) Zdravotné poistenie žiaka, ktorý sa zúčastňuje výmenného programu, zabezpečuje vysielajúca škola.</w:t>
            </w:r>
          </w:p>
        </w:tc>
        <w:tc>
          <w:tcPr>
            <w:tcW w:w="426"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4779" w:rsidRPr="00DC6E10"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both"/>
              <w:rPr>
                <w:sz w:val="20"/>
                <w:szCs w:val="20"/>
              </w:rPr>
            </w:pPr>
            <w:r w:rsidRPr="00DC6E10">
              <w:rPr>
                <w:sz w:val="20"/>
                <w:szCs w:val="20"/>
              </w:rPr>
              <w:t>C: 7</w:t>
            </w:r>
          </w:p>
          <w:p w:rsidR="00F84779" w:rsidRPr="00DC6E10" w:rsidP="00F84779">
            <w:pPr>
              <w:snapToGrid w:val="0"/>
              <w:jc w:val="both"/>
              <w:rPr>
                <w:sz w:val="20"/>
                <w:szCs w:val="20"/>
              </w:rPr>
            </w:pPr>
            <w:r w:rsidRPr="00DC6E10">
              <w:rPr>
                <w:sz w:val="20"/>
                <w:szCs w:val="20"/>
              </w:rPr>
              <w:t>O: 1</w:t>
            </w:r>
          </w:p>
          <w:p w:rsidR="00F84779" w:rsidRPr="00DC6E10" w:rsidP="00F84779">
            <w:pPr>
              <w:snapToGrid w:val="0"/>
              <w:jc w:val="both"/>
              <w:rPr>
                <w:sz w:val="20"/>
                <w:szCs w:val="20"/>
              </w:rPr>
            </w:pPr>
            <w:r w:rsidRPr="00DC6E10">
              <w:rPr>
                <w:sz w:val="20"/>
                <w:szCs w:val="20"/>
              </w:rPr>
              <w:t xml:space="preserve">P: e </w:t>
            </w:r>
          </w:p>
        </w:tc>
        <w:tc>
          <w:tcPr>
            <w:tcW w:w="4820" w:type="dxa"/>
            <w:tcBorders>
              <w:top w:val="single" w:sz="4" w:space="0" w:color="000000"/>
              <w:left w:val="single" w:sz="4" w:space="0" w:color="000000"/>
              <w:bottom w:val="single" w:sz="4" w:space="0" w:color="000000"/>
            </w:tcBorders>
            <w:shd w:val="clear" w:color="auto" w:fill="auto"/>
          </w:tcPr>
          <w:p w:rsidR="00F84779" w:rsidRPr="00DC6E10" w:rsidP="00F84779">
            <w:pPr>
              <w:jc w:val="both"/>
              <w:rPr>
                <w:sz w:val="20"/>
                <w:szCs w:val="20"/>
              </w:rPr>
            </w:pPr>
            <w:r w:rsidRPr="00DC6E10">
              <w:rPr>
                <w:sz w:val="20"/>
                <w:szCs w:val="20"/>
              </w:rPr>
              <w:t>e) na požiadanie dotknutého členského štátu predloží dôkaz, že štátny príslušník tretej krajiny počas plánovaného pobytu bude mať dostatočné zdroje na pokrytie nákladov na živobytie bez toho, aby musel využívať systém sociálneho zabezpečenia členského štátu, ako aj na cestu späť. Posúdenie dostatočných zdrojov musí byť založené na individuálnom preskúmaní prípadu a zohľadňujú sa pri ňom zdroje, ktoré vyplývajú okrem iného z grantu alebo štipendia, platnej pracovnej zmluvy alebo záväznej pracovnej ponuky alebo finančného záväzku organizácie zameranej na výmenné programy žiakov, subjektu venujúceho sa hosťovaniu stážistov, organizácie zaoberajúcej sa programom dobrovoľníckej služby, hostiteľskej rodiny alebo organizácie sprostredkujúcej aupairov.</w:t>
            </w:r>
          </w:p>
        </w:tc>
        <w:tc>
          <w:tcPr>
            <w:tcW w:w="708"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r w:rsidRPr="00DC6E10">
              <w:rPr>
                <w:sz w:val="20"/>
                <w:szCs w:val="20"/>
              </w:rPr>
              <w:t>D</w:t>
            </w:r>
          </w:p>
        </w:tc>
        <w:tc>
          <w:tcPr>
            <w:tcW w:w="851"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r w:rsidRPr="00DC6E10">
              <w:rPr>
                <w:sz w:val="20"/>
                <w:szCs w:val="20"/>
              </w:rPr>
              <w:t xml:space="preserve">Zákon č. 172/2005 Z. z. </w:t>
            </w:r>
            <w:r w:rsidR="00C536A0">
              <w:rPr>
                <w:sz w:val="20"/>
                <w:szCs w:val="20"/>
              </w:rPr>
              <w:t>a Zákon</w:t>
            </w:r>
            <w:r w:rsidRPr="00DC6E10">
              <w:rPr>
                <w:sz w:val="20"/>
                <w:szCs w:val="20"/>
              </w:rPr>
              <w:t xml:space="preserve"> č. .../2022 Z. z.</w:t>
            </w:r>
          </w:p>
        </w:tc>
        <w:tc>
          <w:tcPr>
            <w:tcW w:w="709"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t>§ 26b</w:t>
            </w:r>
          </w:p>
          <w:p w:rsidR="00F84779" w:rsidRPr="00DC6E10" w:rsidP="00F84779">
            <w:pPr>
              <w:pStyle w:val="Normlny"/>
              <w:snapToGrid w:val="0"/>
              <w:jc w:val="both"/>
            </w:pPr>
            <w:r w:rsidRPr="00DC6E10">
              <w:t>O: 3</w:t>
            </w:r>
          </w:p>
          <w:p w:rsidR="00F84779" w:rsidRPr="00DC6E10" w:rsidP="00F84779">
            <w:pPr>
              <w:pStyle w:val="Normlny"/>
              <w:snapToGrid w:val="0"/>
              <w:jc w:val="both"/>
            </w:pPr>
            <w:r w:rsidRPr="00DC6E10">
              <w:t>P: e</w:t>
            </w:r>
            <w:r w:rsidR="004E0E51">
              <w:t>)</w:t>
            </w:r>
          </w:p>
        </w:tc>
        <w:tc>
          <w:tcPr>
            <w:tcW w:w="5244"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rPr>
                <w:strike/>
              </w:rPr>
              <w:t>f</w:t>
            </w:r>
            <w:r w:rsidRPr="00DC6E10">
              <w:rPr>
                <w:b/>
                <w:i/>
              </w:rPr>
              <w:t>e)</w:t>
            </w:r>
            <w:r w:rsidRPr="00DC6E10">
              <w:t xml:space="preserve">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w:t>
            </w:r>
            <w:r w:rsidRPr="00DC6E10">
              <w:rPr>
                <w:vertAlign w:val="superscript"/>
              </w:rPr>
              <w:t>35d</w:t>
            </w:r>
            <w:r w:rsidRPr="00DC6E10">
              <w:t>)</w:t>
            </w:r>
          </w:p>
          <w:p w:rsidR="00F84779" w:rsidRPr="00DC6E10" w:rsidP="00F84779">
            <w:pPr>
              <w:pStyle w:val="Normlny"/>
              <w:snapToGrid w:val="0"/>
              <w:jc w:val="both"/>
            </w:pPr>
            <w:r w:rsidRPr="00DC6E10">
              <w:t xml:space="preserve"> </w:t>
            </w:r>
          </w:p>
          <w:p w:rsidR="00F84779" w:rsidRPr="00DC6E10" w:rsidP="00F84779">
            <w:pPr>
              <w:pStyle w:val="Normlny"/>
              <w:snapToGrid w:val="0"/>
              <w:jc w:val="both"/>
            </w:pPr>
            <w:r w:rsidRPr="00DC6E10">
              <w:rPr>
                <w:vertAlign w:val="superscript"/>
              </w:rPr>
              <w:t>35d</w:t>
            </w:r>
            <w:r w:rsidRPr="00DC6E10">
              <w:t>) Zákon Národnej rady Slovenskej republiky č. 90/1996 Z. z. o minimálnej mzde v znení neskorších predpisov.</w:t>
            </w:r>
          </w:p>
          <w:p w:rsidR="00F84779" w:rsidRPr="00DC6E10" w:rsidP="00F84779">
            <w:pPr>
              <w:pStyle w:val="Normlny"/>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4779" w:rsidRPr="00DC6E10"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122C55" w:rsidRPr="00DC6E10" w:rsidP="00122C55">
            <w:pPr>
              <w:snapToGrid w:val="0"/>
              <w:jc w:val="both"/>
              <w:rPr>
                <w:sz w:val="20"/>
                <w:szCs w:val="20"/>
              </w:rPr>
            </w:pPr>
            <w:r w:rsidRPr="00DC6E10">
              <w:rPr>
                <w:sz w:val="20"/>
                <w:szCs w:val="20"/>
              </w:rPr>
              <w:t>C: 8</w:t>
            </w:r>
          </w:p>
          <w:p w:rsidR="00122C55" w:rsidRPr="00DC6E10" w:rsidP="00122C55">
            <w:pPr>
              <w:snapToGrid w:val="0"/>
              <w:jc w:val="both"/>
              <w:rPr>
                <w:sz w:val="20"/>
                <w:szCs w:val="20"/>
              </w:rPr>
            </w:pPr>
            <w:r w:rsidRPr="00DC6E10">
              <w:rPr>
                <w:sz w:val="20"/>
                <w:szCs w:val="20"/>
              </w:rPr>
              <w:t>O: 2</w:t>
            </w:r>
          </w:p>
        </w:tc>
        <w:tc>
          <w:tcPr>
            <w:tcW w:w="4820" w:type="dxa"/>
            <w:tcBorders>
              <w:top w:val="single" w:sz="4" w:space="0" w:color="000000"/>
              <w:left w:val="single" w:sz="4" w:space="0" w:color="000000"/>
              <w:bottom w:val="single" w:sz="4" w:space="0" w:color="000000"/>
            </w:tcBorders>
            <w:shd w:val="clear" w:color="auto" w:fill="auto"/>
          </w:tcPr>
          <w:p w:rsidR="00122C55" w:rsidRPr="00DC6E10" w:rsidP="00F84779">
            <w:pPr>
              <w:jc w:val="both"/>
              <w:rPr>
                <w:sz w:val="20"/>
                <w:szCs w:val="20"/>
              </w:rPr>
            </w:pPr>
            <w:r w:rsidRPr="00DC6E10">
              <w:rPr>
                <w:sz w:val="20"/>
                <w:szCs w:val="20"/>
              </w:rPr>
              <w:t>Členské štáty môžu v súlade s vnútroštátnym právom vyžadovať písomný záväzok výskumnej organizácie, že v prípade, keď výskumný pracovník zostane nelegálne na území príslušného členského štátu, táto výskumná organizácia zodpovedá za úhradu nákladov súvisiacich s pobytom a návratom vynaložených z verejných finančných prostriedkov. Finančná zodpovednosť výskumnej organizácie sa skončí najneskôr šesť mesiacov po ukončení platnosti dohody o hosťovaní. Ak sa obnoví právo na pobyt výskumného pracovníka v súlade s článkom 25, zodpovednosť výskumnej organizácie uvedená v prvom pododseku tohto odseku sa obmedzí do dátumu začatia platnosti povolenia na pobyt na účel hľadania zamestnania alebo podnikania.</w:t>
            </w:r>
          </w:p>
        </w:tc>
        <w:tc>
          <w:tcPr>
            <w:tcW w:w="708" w:type="dxa"/>
            <w:tcBorders>
              <w:top w:val="single" w:sz="4" w:space="0" w:color="000000"/>
              <w:left w:val="single" w:sz="4" w:space="0" w:color="000000"/>
              <w:bottom w:val="single" w:sz="4" w:space="0" w:color="000000"/>
            </w:tcBorders>
            <w:shd w:val="clear" w:color="auto" w:fill="auto"/>
          </w:tcPr>
          <w:p w:rsidR="00122C55" w:rsidRPr="00DC6E10" w:rsidP="00F84779">
            <w:pPr>
              <w:snapToGrid w:val="0"/>
              <w:jc w:val="center"/>
              <w:rPr>
                <w:sz w:val="20"/>
                <w:szCs w:val="20"/>
              </w:rPr>
            </w:pPr>
            <w:r w:rsidRPr="00DC6E10">
              <w:rPr>
                <w:sz w:val="20"/>
                <w:szCs w:val="20"/>
              </w:rPr>
              <w:t>D</w:t>
            </w:r>
          </w:p>
        </w:tc>
        <w:tc>
          <w:tcPr>
            <w:tcW w:w="851" w:type="dxa"/>
            <w:tcBorders>
              <w:top w:val="single" w:sz="4" w:space="0" w:color="000000"/>
              <w:left w:val="single" w:sz="4" w:space="0" w:color="000000"/>
              <w:bottom w:val="single" w:sz="4" w:space="0" w:color="000000"/>
            </w:tcBorders>
            <w:shd w:val="clear" w:color="auto" w:fill="auto"/>
          </w:tcPr>
          <w:p w:rsidR="00122C55" w:rsidRPr="00DC6E10" w:rsidP="00F84779">
            <w:pPr>
              <w:snapToGrid w:val="0"/>
              <w:jc w:val="center"/>
              <w:rPr>
                <w:sz w:val="20"/>
                <w:szCs w:val="20"/>
              </w:rPr>
            </w:pPr>
            <w:r w:rsidRPr="00DC6E10">
              <w:rPr>
                <w:sz w:val="20"/>
                <w:szCs w:val="20"/>
              </w:rPr>
              <w:t xml:space="preserve">Zákon č. 172/2005 Z. z. </w:t>
            </w:r>
            <w:r w:rsidR="00C536A0">
              <w:rPr>
                <w:sz w:val="20"/>
                <w:szCs w:val="20"/>
              </w:rPr>
              <w:t>a</w:t>
            </w:r>
            <w:r w:rsidRPr="00DC6E10">
              <w:rPr>
                <w:sz w:val="20"/>
                <w:szCs w:val="20"/>
              </w:rPr>
              <w:t xml:space="preserve"> </w:t>
            </w:r>
            <w:r w:rsidR="00C536A0">
              <w:rPr>
                <w:sz w:val="20"/>
                <w:szCs w:val="20"/>
              </w:rPr>
              <w:t>Z</w:t>
            </w:r>
            <w:r w:rsidRPr="00DC6E10">
              <w:rPr>
                <w:sz w:val="20"/>
                <w:szCs w:val="20"/>
              </w:rPr>
              <w:t xml:space="preserve">ákon č. .../2022 Z. z. </w:t>
            </w:r>
          </w:p>
        </w:tc>
        <w:tc>
          <w:tcPr>
            <w:tcW w:w="709" w:type="dxa"/>
            <w:tcBorders>
              <w:top w:val="single" w:sz="4" w:space="0" w:color="000000"/>
              <w:left w:val="single" w:sz="4" w:space="0" w:color="000000"/>
              <w:bottom w:val="single" w:sz="4" w:space="0" w:color="000000"/>
            </w:tcBorders>
            <w:shd w:val="clear" w:color="auto" w:fill="auto"/>
          </w:tcPr>
          <w:p w:rsidR="00122C55" w:rsidRPr="00DC6E10" w:rsidP="00F84779">
            <w:pPr>
              <w:pStyle w:val="Normlny"/>
              <w:snapToGrid w:val="0"/>
              <w:jc w:val="both"/>
            </w:pPr>
            <w:r w:rsidRPr="00DC6E10">
              <w:t>§ 26b</w:t>
            </w:r>
          </w:p>
          <w:p w:rsidR="00122C55" w:rsidRPr="00DC6E10" w:rsidP="00F84779">
            <w:pPr>
              <w:pStyle w:val="Normlny"/>
              <w:snapToGrid w:val="0"/>
              <w:jc w:val="both"/>
            </w:pPr>
            <w:r w:rsidRPr="00DC6E10">
              <w:t>O: 3</w:t>
            </w:r>
          </w:p>
          <w:p w:rsidR="00122C55" w:rsidRPr="00DC6E10" w:rsidP="00F84779">
            <w:pPr>
              <w:pStyle w:val="Normlny"/>
              <w:snapToGrid w:val="0"/>
              <w:jc w:val="both"/>
            </w:pPr>
            <w:r w:rsidRPr="00DC6E10">
              <w:t>P: d)</w:t>
            </w: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p>
          <w:p w:rsidR="00122C55" w:rsidRPr="00DC6E10" w:rsidP="00F84779">
            <w:pPr>
              <w:pStyle w:val="Normlny"/>
              <w:snapToGrid w:val="0"/>
              <w:jc w:val="both"/>
            </w:pPr>
            <w:r w:rsidRPr="00DC6E10">
              <w:t xml:space="preserve">O: </w:t>
            </w:r>
            <w:r w:rsidRPr="00DC6E10">
              <w:t>6</w:t>
            </w:r>
          </w:p>
        </w:tc>
        <w:tc>
          <w:tcPr>
            <w:tcW w:w="5244" w:type="dxa"/>
            <w:tcBorders>
              <w:top w:val="single" w:sz="4" w:space="0" w:color="000000"/>
              <w:left w:val="single" w:sz="4" w:space="0" w:color="000000"/>
              <w:bottom w:val="single" w:sz="4" w:space="0" w:color="000000"/>
            </w:tcBorders>
            <w:shd w:val="clear" w:color="auto" w:fill="auto"/>
          </w:tcPr>
          <w:p w:rsidR="00122C55" w:rsidRPr="00DC6E10" w:rsidP="00122C55">
            <w:pPr>
              <w:pStyle w:val="Normlny"/>
              <w:snapToGrid w:val="0"/>
              <w:jc w:val="both"/>
            </w:pPr>
            <w:r w:rsidRPr="00DC6E10">
              <w:t>(3) Dohoda o hosťovaní musí obsahovať</w:t>
            </w:r>
          </w:p>
          <w:p w:rsidR="00122C55" w:rsidRPr="00DC6E10" w:rsidP="00122C55">
            <w:pPr>
              <w:pStyle w:val="Normlny"/>
              <w:snapToGrid w:val="0"/>
              <w:jc w:val="both"/>
            </w:pPr>
            <w:r w:rsidRPr="00DC6E10">
              <w:rPr>
                <w:strike/>
              </w:rPr>
              <w:t>e</w:t>
            </w:r>
            <w:r w:rsidRPr="00DC6E10">
              <w:rPr>
                <w:b/>
                <w:i/>
              </w:rPr>
              <w:t>d)</w:t>
            </w:r>
            <w:r w:rsidRPr="00DC6E10">
              <w:t xml:space="preserve"> vyhlásenie o zodpovednosti prijímajúcej organizácie za náklady na pobyt a možné náklady súvisiace s vyhostením uhradené štátom podľa osobitného predpisu,</w:t>
            </w:r>
            <w:r w:rsidRPr="00DC6E10">
              <w:rPr>
                <w:vertAlign w:val="superscript"/>
              </w:rPr>
              <w:t>35c</w:t>
            </w:r>
            <w:r w:rsidRPr="00DC6E10">
              <w:t>) ak sa preukáže, že cudzinec sa zdržuje na území Sloven</w:t>
            </w:r>
            <w:r w:rsidRPr="00DC6E10">
              <w:t>skej republiky nelegálne,</w:t>
            </w:r>
          </w:p>
          <w:p w:rsidR="00122C55" w:rsidRPr="00DC6E10" w:rsidP="00122C55">
            <w:pPr>
              <w:pStyle w:val="Normlny"/>
              <w:snapToGrid w:val="0"/>
              <w:jc w:val="both"/>
            </w:pPr>
          </w:p>
          <w:p w:rsidR="00122C55" w:rsidRPr="00DC6E10" w:rsidP="00122C55">
            <w:pPr>
              <w:pStyle w:val="Normlny"/>
              <w:snapToGrid w:val="0"/>
              <w:jc w:val="both"/>
            </w:pPr>
            <w:r w:rsidRPr="00DC6E10">
              <w:rPr>
                <w:vertAlign w:val="superscript"/>
              </w:rPr>
              <w:t>35c</w:t>
            </w:r>
            <w:r w:rsidRPr="00DC6E10">
              <w:t>) § 60 ods. 4 zákona č. 48/2002 Z. z. o pobyte cudzincov a o zmene a doplnení niektorých zákonov.</w:t>
            </w:r>
          </w:p>
          <w:p w:rsidR="00122C55" w:rsidRPr="00DC6E10" w:rsidP="00F84779">
            <w:pPr>
              <w:pStyle w:val="Normlny"/>
              <w:snapToGrid w:val="0"/>
              <w:jc w:val="both"/>
              <w:rPr>
                <w:strike/>
              </w:rPr>
            </w:pPr>
          </w:p>
          <w:p w:rsidR="00122C55" w:rsidRPr="00DC6E10" w:rsidP="00122C55">
            <w:pPr>
              <w:pStyle w:val="Normlny"/>
              <w:snapToGrid w:val="0"/>
              <w:rPr>
                <w:b/>
                <w:i/>
              </w:rPr>
            </w:pPr>
            <w:r w:rsidRPr="00DC6E10">
              <w:t xml:space="preserve">(6) Zodpovednosť prijímajúcej organizácie podľa odseku 3 </w:t>
            </w:r>
            <w:r w:rsidRPr="00E45DFC">
              <w:rPr>
                <w:strike/>
              </w:rPr>
              <w:t xml:space="preserve">písm. </w:t>
            </w:r>
            <w:r w:rsidRPr="00E45DFC" w:rsidR="00E45DFC">
              <w:rPr>
                <w:strike/>
              </w:rPr>
              <w:t>e)</w:t>
            </w:r>
            <w:r w:rsidRPr="00E45DFC" w:rsidR="00E45DFC">
              <w:t xml:space="preserve"> </w:t>
            </w:r>
            <w:r w:rsidRPr="00E45DFC" w:rsidR="00E45DFC">
              <w:rPr>
                <w:i/>
              </w:rPr>
              <w:t>písm. d)</w:t>
            </w:r>
            <w:r w:rsidRPr="00E45DFC" w:rsidR="00E45DFC">
              <w:t xml:space="preserve"> </w:t>
            </w:r>
            <w:r w:rsidRPr="00DC6E10">
              <w:t>zaniká šesť mesiacov po skončení platnosti dohody o hosťovaní.</w:t>
            </w:r>
            <w:r w:rsidRPr="00DC6E10">
              <w:rPr>
                <w:rFonts w:eastAsia="Calibri"/>
                <w:sz w:val="24"/>
                <w:szCs w:val="24"/>
                <w:lang w:eastAsia="en-US"/>
              </w:rPr>
              <w:t xml:space="preserve"> </w:t>
            </w:r>
            <w:r w:rsidRPr="00DC6E10">
              <w:rPr>
                <w:b/>
                <w:i/>
              </w:rPr>
              <w:t>Ak sa obnoví prechodný pobyt cudzinca</w:t>
            </w:r>
            <w:r w:rsidRPr="00DC6E10">
              <w:rPr>
                <w:b/>
                <w:i/>
                <w:vertAlign w:val="superscript"/>
              </w:rPr>
              <w:t>35f</w:t>
            </w:r>
            <w:r w:rsidRPr="00DC6E10">
              <w:rPr>
                <w:b/>
                <w:i/>
              </w:rPr>
              <w:t>) udelený na základe dohody o hosťovaní, zodpovednosť prijímajúcej organizácie podľa odseku 3 písm. d) zaniká dňom obnovenia prechodného pobytu.</w:t>
            </w:r>
          </w:p>
          <w:p w:rsidR="00122C55" w:rsidRPr="00DC6E10" w:rsidP="00F84779">
            <w:pPr>
              <w:pStyle w:val="Normlny"/>
              <w:snapToGrid w:val="0"/>
              <w:jc w:val="both"/>
              <w:rPr>
                <w:strike/>
              </w:rPr>
            </w:pPr>
          </w:p>
        </w:tc>
        <w:tc>
          <w:tcPr>
            <w:tcW w:w="426" w:type="dxa"/>
            <w:tcBorders>
              <w:top w:val="single" w:sz="4" w:space="0" w:color="000000"/>
              <w:left w:val="single" w:sz="4" w:space="0" w:color="000000"/>
              <w:bottom w:val="single" w:sz="4" w:space="0" w:color="000000"/>
            </w:tcBorders>
            <w:shd w:val="clear" w:color="auto" w:fill="auto"/>
          </w:tcPr>
          <w:p w:rsidR="00122C55" w:rsidRPr="00DC6E10"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22C55" w:rsidRPr="00DC6E10"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122C55" w:rsidRPr="00DC6E10" w:rsidP="00122C55">
            <w:pPr>
              <w:snapToGrid w:val="0"/>
              <w:jc w:val="both"/>
              <w:rPr>
                <w:sz w:val="20"/>
                <w:szCs w:val="20"/>
              </w:rPr>
            </w:pPr>
            <w:r w:rsidRPr="00DC6E10">
              <w:rPr>
                <w:sz w:val="20"/>
                <w:szCs w:val="20"/>
              </w:rPr>
              <w:t>C: 10</w:t>
            </w:r>
          </w:p>
          <w:p w:rsidR="00122C55" w:rsidRPr="00DC6E10" w:rsidP="00122C55">
            <w:pPr>
              <w:snapToGrid w:val="0"/>
              <w:jc w:val="both"/>
              <w:rPr>
                <w:sz w:val="20"/>
                <w:szCs w:val="20"/>
              </w:rPr>
            </w:pPr>
            <w:r w:rsidRPr="00DC6E10">
              <w:rPr>
                <w:sz w:val="20"/>
                <w:szCs w:val="20"/>
              </w:rPr>
              <w:t>O: 4</w:t>
            </w:r>
          </w:p>
        </w:tc>
        <w:tc>
          <w:tcPr>
            <w:tcW w:w="4820" w:type="dxa"/>
            <w:tcBorders>
              <w:top w:val="single" w:sz="4" w:space="0" w:color="000000"/>
              <w:left w:val="single" w:sz="4" w:space="0" w:color="000000"/>
              <w:bottom w:val="single" w:sz="4" w:space="0" w:color="000000"/>
            </w:tcBorders>
            <w:shd w:val="clear" w:color="auto" w:fill="auto"/>
          </w:tcPr>
          <w:p w:rsidR="00122C55" w:rsidRPr="00DC6E10" w:rsidP="00122C55">
            <w:pPr>
              <w:jc w:val="both"/>
              <w:rPr>
                <w:sz w:val="20"/>
                <w:szCs w:val="20"/>
              </w:rPr>
            </w:pPr>
            <w:r w:rsidRPr="00DC6E10">
              <w:rPr>
                <w:sz w:val="20"/>
                <w:szCs w:val="20"/>
              </w:rPr>
              <w:t xml:space="preserve">Výskumné organizácie môžu podpísať dohody o hosťovaní, len ak výskumnú činnosť prijali príslušné orgány v organizácii po preskúmaní: </w:t>
            </w:r>
          </w:p>
          <w:p w:rsidR="00122C55" w:rsidRPr="00DC6E10" w:rsidP="00122C55">
            <w:pPr>
              <w:jc w:val="both"/>
              <w:rPr>
                <w:sz w:val="20"/>
                <w:szCs w:val="20"/>
              </w:rPr>
            </w:pPr>
            <w:r w:rsidRPr="00DC6E10">
              <w:rPr>
                <w:sz w:val="20"/>
                <w:szCs w:val="20"/>
              </w:rPr>
              <w:t xml:space="preserve">a) účelu a odhadovanej dĺžky trvania výskumnej činnosti a dostupnosti finančných zdrojov potrebných na jej vykonanie; </w:t>
            </w:r>
          </w:p>
          <w:p w:rsidR="00122C55" w:rsidRPr="00DC6E10" w:rsidP="00122C55">
            <w:pPr>
              <w:jc w:val="both"/>
              <w:rPr>
                <w:sz w:val="20"/>
                <w:szCs w:val="20"/>
              </w:rPr>
            </w:pPr>
            <w:r w:rsidRPr="00DC6E10">
              <w:rPr>
                <w:sz w:val="20"/>
                <w:szCs w:val="20"/>
              </w:rPr>
              <w:t>b) kvalifikácií štátneho príslušníka tretej krajiny vzhľadom na ciele výskumu, ako je doložené overenou kópiou kvalifikácií.</w:t>
            </w:r>
          </w:p>
          <w:p w:rsidR="00122C55" w:rsidRPr="00DC6E10" w:rsidP="00122C55">
            <w:pPr>
              <w:jc w:val="both"/>
              <w:rPr>
                <w:sz w:val="20"/>
                <w:szCs w:val="20"/>
              </w:rPr>
            </w:pPr>
          </w:p>
        </w:tc>
        <w:tc>
          <w:tcPr>
            <w:tcW w:w="708" w:type="dxa"/>
            <w:tcBorders>
              <w:top w:val="single" w:sz="4" w:space="0" w:color="000000"/>
              <w:left w:val="single" w:sz="4" w:space="0" w:color="000000"/>
              <w:bottom w:val="single" w:sz="4" w:space="0" w:color="000000"/>
            </w:tcBorders>
            <w:shd w:val="clear" w:color="auto" w:fill="auto"/>
          </w:tcPr>
          <w:p w:rsidR="00122C55" w:rsidRPr="00DC6E10" w:rsidP="00F84779">
            <w:pPr>
              <w:snapToGrid w:val="0"/>
              <w:jc w:val="center"/>
              <w:rPr>
                <w:sz w:val="20"/>
                <w:szCs w:val="20"/>
              </w:rPr>
            </w:pPr>
            <w:r w:rsidRPr="00DC6E10">
              <w:rPr>
                <w:sz w:val="20"/>
                <w:szCs w:val="20"/>
              </w:rPr>
              <w:t>N</w:t>
            </w:r>
          </w:p>
        </w:tc>
        <w:tc>
          <w:tcPr>
            <w:tcW w:w="851" w:type="dxa"/>
            <w:tcBorders>
              <w:top w:val="single" w:sz="4" w:space="0" w:color="000000"/>
              <w:left w:val="single" w:sz="4" w:space="0" w:color="000000"/>
              <w:bottom w:val="single" w:sz="4" w:space="0" w:color="000000"/>
            </w:tcBorders>
            <w:shd w:val="clear" w:color="auto" w:fill="auto"/>
          </w:tcPr>
          <w:p w:rsidR="00122C55" w:rsidRPr="00DC6E10" w:rsidP="00F87924">
            <w:pPr>
              <w:snapToGrid w:val="0"/>
              <w:jc w:val="center"/>
              <w:rPr>
                <w:sz w:val="20"/>
                <w:szCs w:val="20"/>
              </w:rPr>
            </w:pPr>
            <w:r w:rsidRPr="00DC6E10">
              <w:rPr>
                <w:sz w:val="20"/>
                <w:szCs w:val="20"/>
              </w:rPr>
              <w:t xml:space="preserve">Zákon č. 172/2005 Z. z. </w:t>
            </w:r>
            <w:r w:rsidR="00C536A0">
              <w:rPr>
                <w:sz w:val="20"/>
                <w:szCs w:val="20"/>
              </w:rPr>
              <w:t>a Zákon</w:t>
            </w:r>
            <w:r w:rsidRPr="00DC6E10">
              <w:rPr>
                <w:sz w:val="20"/>
                <w:szCs w:val="20"/>
              </w:rPr>
              <w:t xml:space="preserve"> č. .../2022 Z. z.</w:t>
            </w:r>
          </w:p>
          <w:p w:rsidR="00122C55" w:rsidP="00F84779">
            <w:pPr>
              <w:snapToGrid w:val="0"/>
              <w:jc w:val="center"/>
              <w:rPr>
                <w:sz w:val="20"/>
                <w:szCs w:val="20"/>
              </w:rPr>
            </w:pPr>
          </w:p>
          <w:p w:rsidR="001302ED" w:rsidRPr="00DC6E10" w:rsidP="00F84779">
            <w:pPr>
              <w:snapToGrid w:val="0"/>
              <w:jc w:val="center"/>
              <w:rPr>
                <w:sz w:val="20"/>
                <w:szCs w:val="20"/>
              </w:rPr>
            </w:pPr>
          </w:p>
          <w:p w:rsidR="00122C55" w:rsidRPr="00DC6E10" w:rsidP="00F84779">
            <w:pPr>
              <w:snapToGrid w:val="0"/>
              <w:jc w:val="center"/>
              <w:rPr>
                <w:sz w:val="20"/>
                <w:szCs w:val="20"/>
              </w:rPr>
            </w:pPr>
            <w:r w:rsidRPr="00DC6E10">
              <w:rPr>
                <w:sz w:val="20"/>
                <w:szCs w:val="20"/>
              </w:rPr>
              <w:t xml:space="preserve">Zákon č. 172/2005 Z. z. </w:t>
            </w:r>
          </w:p>
        </w:tc>
        <w:tc>
          <w:tcPr>
            <w:tcW w:w="709" w:type="dxa"/>
            <w:tcBorders>
              <w:top w:val="single" w:sz="4" w:space="0" w:color="000000"/>
              <w:left w:val="single" w:sz="4" w:space="0" w:color="000000"/>
              <w:bottom w:val="single" w:sz="4" w:space="0" w:color="000000"/>
            </w:tcBorders>
            <w:shd w:val="clear" w:color="auto" w:fill="auto"/>
          </w:tcPr>
          <w:p w:rsidR="00122C55" w:rsidRPr="00DC6E10" w:rsidP="00122C55">
            <w:pPr>
              <w:pStyle w:val="Normlny"/>
              <w:snapToGrid w:val="0"/>
              <w:jc w:val="both"/>
            </w:pPr>
            <w:r w:rsidRPr="00DC6E10">
              <w:t>§ 26b</w:t>
            </w:r>
          </w:p>
          <w:p w:rsidR="00122C55" w:rsidRPr="00DC6E10" w:rsidP="00122C55">
            <w:pPr>
              <w:pStyle w:val="Normlny"/>
              <w:snapToGrid w:val="0"/>
              <w:jc w:val="both"/>
            </w:pPr>
            <w:r w:rsidRPr="00DC6E10">
              <w:t>O: 2</w:t>
            </w:r>
          </w:p>
          <w:p w:rsidR="00122C55" w:rsidRPr="00DC6E10" w:rsidP="00122C55">
            <w:pPr>
              <w:pStyle w:val="Normlny"/>
              <w:snapToGrid w:val="0"/>
              <w:jc w:val="both"/>
            </w:pPr>
          </w:p>
          <w:p w:rsidR="00122C55" w:rsidRPr="00DC6E10" w:rsidP="00122C55">
            <w:pPr>
              <w:pStyle w:val="Normlny"/>
              <w:snapToGrid w:val="0"/>
              <w:jc w:val="both"/>
            </w:pPr>
          </w:p>
          <w:p w:rsidR="00122C55" w:rsidRPr="00DC6E10" w:rsidP="00122C55">
            <w:pPr>
              <w:pStyle w:val="Normlny"/>
              <w:snapToGrid w:val="0"/>
              <w:jc w:val="both"/>
            </w:pPr>
          </w:p>
          <w:p w:rsidR="00122C55" w:rsidRPr="00DC6E10" w:rsidP="00122C55">
            <w:pPr>
              <w:pStyle w:val="Normlny"/>
              <w:snapToGrid w:val="0"/>
              <w:jc w:val="both"/>
            </w:pPr>
          </w:p>
          <w:p w:rsidR="00F87924" w:rsidRPr="00DC6E10" w:rsidP="00122C55">
            <w:pPr>
              <w:pStyle w:val="Normlny"/>
              <w:snapToGrid w:val="0"/>
              <w:jc w:val="both"/>
            </w:pPr>
          </w:p>
          <w:p w:rsidR="00F87924" w:rsidRPr="00DC6E10" w:rsidP="00122C55">
            <w:pPr>
              <w:pStyle w:val="Normlny"/>
              <w:snapToGrid w:val="0"/>
              <w:jc w:val="both"/>
            </w:pPr>
          </w:p>
          <w:p w:rsidR="00122C55" w:rsidRPr="00DC6E10" w:rsidP="00122C55">
            <w:pPr>
              <w:pStyle w:val="Normlny"/>
              <w:snapToGrid w:val="0"/>
              <w:jc w:val="both"/>
            </w:pPr>
            <w:r w:rsidRPr="00DC6E10">
              <w:t>§ 26b</w:t>
            </w:r>
          </w:p>
          <w:p w:rsidR="00122C55" w:rsidRPr="00DC6E10" w:rsidP="00122C55">
            <w:pPr>
              <w:pStyle w:val="Normlny"/>
              <w:snapToGrid w:val="0"/>
              <w:jc w:val="both"/>
            </w:pPr>
            <w:r w:rsidRPr="00DC6E10">
              <w:t>O: 3</w:t>
            </w:r>
          </w:p>
          <w:p w:rsidR="00122C55" w:rsidRPr="00DC6E10" w:rsidP="00122C55">
            <w:pPr>
              <w:pStyle w:val="Normlny"/>
              <w:snapToGrid w:val="0"/>
              <w:jc w:val="both"/>
            </w:pPr>
            <w:r w:rsidRPr="00DC6E10">
              <w:t>P: c</w:t>
            </w:r>
            <w:r w:rsidR="004E0E51">
              <w:t>)</w:t>
            </w:r>
          </w:p>
        </w:tc>
        <w:tc>
          <w:tcPr>
            <w:tcW w:w="5244" w:type="dxa"/>
            <w:tcBorders>
              <w:top w:val="single" w:sz="4" w:space="0" w:color="000000"/>
              <w:left w:val="single" w:sz="4" w:space="0" w:color="000000"/>
              <w:bottom w:val="single" w:sz="4" w:space="0" w:color="000000"/>
            </w:tcBorders>
            <w:shd w:val="clear" w:color="auto" w:fill="auto"/>
          </w:tcPr>
          <w:p w:rsidR="00F87924" w:rsidRPr="00DC6E10" w:rsidP="00F87924">
            <w:pPr>
              <w:pStyle w:val="Normlny"/>
              <w:snapToGrid w:val="0"/>
              <w:jc w:val="both"/>
            </w:pPr>
            <w:r w:rsidRPr="00DC6E10">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r w:rsidRPr="00DC6E10">
              <w:rPr>
                <w:rFonts w:eastAsia="Calibri"/>
                <w:sz w:val="24"/>
                <w:szCs w:val="24"/>
                <w:lang w:eastAsia="en-US"/>
              </w:rPr>
              <w:t xml:space="preserve"> </w:t>
            </w:r>
            <w:r w:rsidRPr="00DC6E10">
              <w:rPr>
                <w:b/>
                <w:i/>
              </w:rPr>
              <w:t>Prijímajúca organizácia si na tento účel vyžiada overenú kópiu dokladu o odbornej kvalifikácii cudzinca.</w:t>
            </w:r>
          </w:p>
          <w:p w:rsidR="00F87924" w:rsidRPr="00DC6E10" w:rsidP="00F87924">
            <w:pPr>
              <w:pStyle w:val="Normlny"/>
              <w:snapToGrid w:val="0"/>
              <w:jc w:val="both"/>
            </w:pPr>
          </w:p>
          <w:p w:rsidR="00F87924" w:rsidRPr="00DC6E10" w:rsidP="00F87924">
            <w:pPr>
              <w:pStyle w:val="Normlny"/>
              <w:snapToGrid w:val="0"/>
              <w:jc w:val="both"/>
            </w:pPr>
            <w:r w:rsidRPr="00DC6E10">
              <w:t>(3) Dohoda o hosťovaní musí obsahovať</w:t>
            </w:r>
          </w:p>
          <w:p w:rsidR="00F87924" w:rsidRPr="00DC6E10" w:rsidP="00F87924">
            <w:pPr>
              <w:pStyle w:val="Normlny"/>
              <w:snapToGrid w:val="0"/>
              <w:jc w:val="both"/>
            </w:pPr>
            <w:r w:rsidRPr="00DC6E10">
              <w:t>c) účel, dĺžku trvania, zameranie a financovanie projektu výskumu a vývoja,</w:t>
            </w:r>
          </w:p>
          <w:p w:rsidR="00122C55" w:rsidRPr="00DC6E10" w:rsidP="00122C55">
            <w:pPr>
              <w:pStyle w:val="Normlny"/>
              <w:snapToGrid w:val="0"/>
              <w:jc w:val="both"/>
            </w:pPr>
          </w:p>
        </w:tc>
        <w:tc>
          <w:tcPr>
            <w:tcW w:w="426" w:type="dxa"/>
            <w:tcBorders>
              <w:top w:val="single" w:sz="4" w:space="0" w:color="000000"/>
              <w:left w:val="single" w:sz="4" w:space="0" w:color="000000"/>
              <w:bottom w:val="single" w:sz="4" w:space="0" w:color="000000"/>
            </w:tcBorders>
            <w:shd w:val="clear" w:color="auto" w:fill="auto"/>
          </w:tcPr>
          <w:p w:rsidR="00122C55" w:rsidRPr="00DC6E10"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22C55" w:rsidRPr="00DC6E10"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both"/>
              <w:rPr>
                <w:sz w:val="20"/>
                <w:szCs w:val="20"/>
              </w:rPr>
            </w:pPr>
            <w:r w:rsidRPr="00DC6E10">
              <w:rPr>
                <w:sz w:val="20"/>
                <w:szCs w:val="20"/>
              </w:rPr>
              <w:t>C: 18</w:t>
            </w:r>
          </w:p>
          <w:p w:rsidR="00F84779" w:rsidRPr="00DC6E10" w:rsidP="00F84779">
            <w:pPr>
              <w:snapToGrid w:val="0"/>
              <w:jc w:val="both"/>
              <w:rPr>
                <w:sz w:val="20"/>
                <w:szCs w:val="20"/>
              </w:rPr>
            </w:pPr>
            <w:r w:rsidRPr="00DC6E10">
              <w:rPr>
                <w:sz w:val="20"/>
                <w:szCs w:val="20"/>
              </w:rPr>
              <w:t>O: 3</w:t>
            </w:r>
          </w:p>
        </w:tc>
        <w:tc>
          <w:tcPr>
            <w:tcW w:w="4820" w:type="dxa"/>
            <w:tcBorders>
              <w:top w:val="single" w:sz="4" w:space="0" w:color="000000"/>
              <w:left w:val="single" w:sz="4" w:space="0" w:color="000000"/>
              <w:bottom w:val="single" w:sz="4" w:space="0" w:color="000000"/>
            </w:tcBorders>
            <w:shd w:val="clear" w:color="auto" w:fill="auto"/>
          </w:tcPr>
          <w:p w:rsidR="00F84779" w:rsidRPr="00DC6E10" w:rsidP="00F84779">
            <w:pPr>
              <w:jc w:val="both"/>
              <w:rPr>
                <w:sz w:val="20"/>
                <w:szCs w:val="20"/>
              </w:rPr>
            </w:pPr>
            <w:r w:rsidRPr="00DC6E10">
              <w:rPr>
                <w:sz w:val="20"/>
                <w:szCs w:val="20"/>
              </w:rPr>
              <w:t>Členské štáty môžu stanoviť, že celková dĺžka pobytu na účely štúdia nesmie prekročiť maximálnu dĺžku štúdia vymedzenú vo vnútroštátnom práve.</w:t>
            </w:r>
          </w:p>
        </w:tc>
        <w:tc>
          <w:tcPr>
            <w:tcW w:w="708"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r w:rsidRPr="00DC6E10">
              <w:rPr>
                <w:sz w:val="20"/>
                <w:szCs w:val="20"/>
              </w:rPr>
              <w:t>D</w:t>
            </w:r>
          </w:p>
        </w:tc>
        <w:tc>
          <w:tcPr>
            <w:tcW w:w="851" w:type="dxa"/>
            <w:tcBorders>
              <w:top w:val="single" w:sz="4" w:space="0" w:color="000000"/>
              <w:left w:val="single" w:sz="4" w:space="0" w:color="000000"/>
              <w:bottom w:val="single" w:sz="4" w:space="0" w:color="000000"/>
            </w:tcBorders>
            <w:shd w:val="clear" w:color="auto" w:fill="auto"/>
          </w:tcPr>
          <w:p w:rsidR="00F84779" w:rsidRPr="00DC6E10" w:rsidP="00F84779">
            <w:pPr>
              <w:jc w:val="both"/>
              <w:rPr>
                <w:b/>
                <w:sz w:val="19"/>
                <w:szCs w:val="19"/>
                <w:lang w:eastAsia="cs-CZ"/>
              </w:rPr>
            </w:pPr>
            <w:r w:rsidR="003C57D1">
              <w:rPr>
                <w:sz w:val="20"/>
                <w:szCs w:val="20"/>
              </w:rPr>
              <w:t>Zákon</w:t>
            </w:r>
            <w:r w:rsidRPr="00DC6E10" w:rsidR="003C57D1">
              <w:rPr>
                <w:sz w:val="20"/>
                <w:szCs w:val="20"/>
              </w:rPr>
              <w:t xml:space="preserve"> č. .../2022 Z. z.</w:t>
            </w:r>
          </w:p>
          <w:p w:rsidR="00C536A0" w:rsidRPr="00DC6E10" w:rsidP="00F84779">
            <w:pPr>
              <w:jc w:val="both"/>
              <w:rPr>
                <w:b/>
                <w:sz w:val="19"/>
                <w:szCs w:val="19"/>
                <w:lang w:eastAsia="cs-CZ"/>
              </w:rPr>
            </w:pPr>
          </w:p>
          <w:p w:rsidR="00C536A0" w:rsidP="00F84779">
            <w:pPr>
              <w:jc w:val="both"/>
              <w:rPr>
                <w:b/>
                <w:sz w:val="19"/>
                <w:szCs w:val="19"/>
                <w:lang w:eastAsia="cs-CZ"/>
              </w:rPr>
            </w:pPr>
          </w:p>
          <w:p w:rsidR="00E45DFC" w:rsidP="00F84779">
            <w:pPr>
              <w:jc w:val="both"/>
              <w:rPr>
                <w:b/>
                <w:sz w:val="19"/>
                <w:szCs w:val="19"/>
                <w:lang w:eastAsia="cs-CZ"/>
              </w:rPr>
            </w:pPr>
          </w:p>
          <w:p w:rsidR="00E45DFC" w:rsidRPr="00DC6E10" w:rsidP="00F84779">
            <w:pPr>
              <w:jc w:val="both"/>
              <w:rPr>
                <w:b/>
                <w:sz w:val="19"/>
                <w:szCs w:val="19"/>
                <w:lang w:eastAsia="cs-CZ"/>
              </w:rPr>
            </w:pPr>
          </w:p>
          <w:p w:rsidR="00F84779" w:rsidRPr="00C536A0" w:rsidP="00F84779">
            <w:pPr>
              <w:jc w:val="both"/>
              <w:rPr>
                <w:sz w:val="19"/>
                <w:szCs w:val="19"/>
                <w:lang w:eastAsia="cs-CZ"/>
              </w:rPr>
            </w:pPr>
            <w:r w:rsidRPr="00DC6E10">
              <w:rPr>
                <w:b/>
                <w:sz w:val="19"/>
                <w:szCs w:val="19"/>
                <w:lang w:eastAsia="cs-CZ"/>
              </w:rPr>
              <w:t xml:space="preserve"> </w:t>
            </w:r>
            <w:r w:rsidRPr="00C536A0">
              <w:rPr>
                <w:sz w:val="19"/>
                <w:szCs w:val="19"/>
                <w:lang w:eastAsia="cs-CZ"/>
              </w:rPr>
              <w:t>Zákon č. .../2022 Z. z.</w:t>
            </w: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3C57D1" w:rsidRPr="00DC6E10" w:rsidP="003C57D1">
            <w:pPr>
              <w:snapToGrid w:val="0"/>
              <w:rPr>
                <w:sz w:val="20"/>
                <w:szCs w:val="20"/>
              </w:rPr>
            </w:pPr>
          </w:p>
          <w:p w:rsidR="00F84779" w:rsidRPr="00DC6E10" w:rsidP="00E45DFC">
            <w:pPr>
              <w:snapToGrid w:val="0"/>
              <w:rPr>
                <w:sz w:val="20"/>
                <w:szCs w:val="20"/>
              </w:rPr>
            </w:pPr>
          </w:p>
          <w:p w:rsidR="00F84779" w:rsidRPr="00C536A0" w:rsidP="00F84779">
            <w:pPr>
              <w:jc w:val="both"/>
              <w:rPr>
                <w:sz w:val="19"/>
                <w:szCs w:val="19"/>
                <w:lang w:eastAsia="cs-CZ"/>
              </w:rPr>
            </w:pPr>
            <w:r w:rsidRPr="00DC6E10">
              <w:rPr>
                <w:sz w:val="20"/>
                <w:szCs w:val="20"/>
              </w:rPr>
              <w:t xml:space="preserve">Zákon č. 131/2002 Z. </w:t>
            </w:r>
            <w:r w:rsidRPr="00C536A0">
              <w:rPr>
                <w:sz w:val="20"/>
                <w:szCs w:val="20"/>
              </w:rPr>
              <w:t>z.</w:t>
            </w:r>
            <w:r w:rsidRPr="00C536A0">
              <w:rPr>
                <w:sz w:val="19"/>
                <w:szCs w:val="19"/>
                <w:lang w:eastAsia="cs-CZ"/>
              </w:rPr>
              <w:t xml:space="preserve"> </w:t>
            </w: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jc w:val="both"/>
              <w:rPr>
                <w:b/>
                <w:sz w:val="19"/>
                <w:szCs w:val="19"/>
                <w:lang w:eastAsia="cs-CZ"/>
              </w:rPr>
            </w:pPr>
            <w:r w:rsidRPr="00DC6E10">
              <w:rPr>
                <w:sz w:val="20"/>
                <w:szCs w:val="20"/>
              </w:rPr>
              <w:t>Zákon č. 131/2002 Z. z.</w:t>
            </w:r>
            <w:r w:rsidRPr="00DC6E10">
              <w:rPr>
                <w:b/>
                <w:sz w:val="19"/>
                <w:szCs w:val="19"/>
                <w:lang w:eastAsia="cs-CZ"/>
              </w:rPr>
              <w:t xml:space="preserve"> </w:t>
            </w: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sz w:val="20"/>
                <w:szCs w:val="20"/>
              </w:rPr>
            </w:pPr>
          </w:p>
          <w:p w:rsidR="00F84779" w:rsidRPr="00DC6E10" w:rsidP="00F84779">
            <w:pPr>
              <w:snapToGrid w:val="0"/>
              <w:jc w:val="center"/>
              <w:rPr>
                <w:b/>
                <w:sz w:val="20"/>
                <w:szCs w:val="20"/>
              </w:rPr>
            </w:pPr>
          </w:p>
        </w:tc>
        <w:tc>
          <w:tcPr>
            <w:tcW w:w="709"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t>§ 65</w:t>
            </w:r>
          </w:p>
          <w:p w:rsidR="00F84779" w:rsidRPr="00DC6E10" w:rsidP="00F84779">
            <w:pPr>
              <w:pStyle w:val="Normlny"/>
              <w:snapToGrid w:val="0"/>
              <w:jc w:val="both"/>
            </w:pPr>
            <w:r w:rsidRPr="00DC6E10">
              <w:t>O: 2</w:t>
            </w:r>
          </w:p>
          <w:p w:rsidR="00F84779" w:rsidRPr="00DC6E10" w:rsidP="00F84779">
            <w:pPr>
              <w:pStyle w:val="Normlny"/>
              <w:snapToGrid w:val="0"/>
              <w:jc w:val="both"/>
            </w:pPr>
          </w:p>
          <w:p w:rsidR="00F84779" w:rsidP="00F84779">
            <w:pPr>
              <w:pStyle w:val="Normlny"/>
              <w:snapToGrid w:val="0"/>
              <w:jc w:val="both"/>
            </w:pPr>
          </w:p>
          <w:p w:rsidR="00C536A0" w:rsidP="00F84779">
            <w:pPr>
              <w:pStyle w:val="Normlny"/>
              <w:snapToGrid w:val="0"/>
              <w:jc w:val="both"/>
            </w:pPr>
          </w:p>
          <w:p w:rsidR="00E45DFC" w:rsidP="00F84779">
            <w:pPr>
              <w:pStyle w:val="Normlny"/>
              <w:snapToGrid w:val="0"/>
              <w:jc w:val="both"/>
            </w:pPr>
          </w:p>
          <w:p w:rsidR="00E45DFC" w:rsidRPr="00DC6E10" w:rsidP="00F84779">
            <w:pPr>
              <w:pStyle w:val="Normlny"/>
              <w:snapToGrid w:val="0"/>
              <w:jc w:val="both"/>
            </w:pPr>
          </w:p>
          <w:p w:rsidR="00F84779" w:rsidRPr="00DC6E10" w:rsidP="00F84779">
            <w:pPr>
              <w:pStyle w:val="Normlny"/>
              <w:snapToGrid w:val="0"/>
              <w:jc w:val="both"/>
            </w:pPr>
            <w:r w:rsidRPr="00DC6E10">
              <w:t>§ 52</w:t>
            </w:r>
          </w:p>
          <w:p w:rsidR="00F84779" w:rsidRPr="00DC6E10" w:rsidP="00F84779">
            <w:pPr>
              <w:pStyle w:val="Normlny"/>
              <w:snapToGrid w:val="0"/>
              <w:jc w:val="both"/>
            </w:pPr>
            <w:r w:rsidRPr="00DC6E10">
              <w:t>O: 3</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P:</w:t>
            </w:r>
          </w:p>
          <w:p w:rsidR="00F84779" w:rsidRPr="00DC6E10" w:rsidP="00F84779">
            <w:pPr>
              <w:pStyle w:val="Normlny"/>
              <w:snapToGrid w:val="0"/>
              <w:jc w:val="both"/>
            </w:pPr>
            <w:r w:rsidRPr="00DC6E10">
              <w:t>a) a b)</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 53</w:t>
            </w:r>
          </w:p>
          <w:p w:rsidR="00F84779" w:rsidRPr="00DC6E10" w:rsidP="00F84779">
            <w:pPr>
              <w:pStyle w:val="Normlny"/>
              <w:snapToGrid w:val="0"/>
              <w:jc w:val="both"/>
            </w:pPr>
            <w:r w:rsidRPr="00DC6E10">
              <w:t>O: 3</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O: 4</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P: a až d</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 54</w:t>
            </w:r>
          </w:p>
          <w:p w:rsidR="00F84779" w:rsidRPr="00DC6E10" w:rsidP="00F84779">
            <w:pPr>
              <w:pStyle w:val="Normlny"/>
              <w:snapToGrid w:val="0"/>
              <w:jc w:val="both"/>
            </w:pPr>
            <w:r w:rsidRPr="00DC6E10">
              <w:t>O: 2</w:t>
            </w:r>
          </w:p>
          <w:p w:rsidR="00F84779" w:rsidRPr="00DC6E10" w:rsidP="00F84779">
            <w:pPr>
              <w:pStyle w:val="Normlny"/>
              <w:snapToGrid w:val="0"/>
              <w:jc w:val="both"/>
            </w:pPr>
            <w:r w:rsidRPr="00DC6E10">
              <w:t>P: a a b</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rPr>
                <w:b/>
              </w:rPr>
            </w:pPr>
          </w:p>
          <w:p w:rsidR="00F84779" w:rsidRPr="00DC6E10" w:rsidP="00F84779">
            <w:pPr>
              <w:pStyle w:val="Normlny"/>
              <w:snapToGrid w:val="0"/>
              <w:jc w:val="both"/>
            </w:pPr>
          </w:p>
        </w:tc>
        <w:tc>
          <w:tcPr>
            <w:tcW w:w="5244" w:type="dxa"/>
            <w:tcBorders>
              <w:top w:val="single" w:sz="4" w:space="0" w:color="000000"/>
              <w:left w:val="single" w:sz="4" w:space="0" w:color="000000"/>
              <w:bottom w:val="single" w:sz="4" w:space="0" w:color="000000"/>
            </w:tcBorders>
            <w:shd w:val="clear" w:color="auto" w:fill="auto"/>
          </w:tcPr>
          <w:p w:rsidR="00F84779" w:rsidRPr="00DC6E10" w:rsidP="00F84779">
            <w:pPr>
              <w:pStyle w:val="Normlny"/>
              <w:snapToGrid w:val="0"/>
              <w:jc w:val="both"/>
            </w:pPr>
            <w:r w:rsidRPr="00DC6E10">
              <w:t xml:space="preserve">(2) </w:t>
            </w:r>
            <w:r w:rsidRPr="003C57D1" w:rsidR="00E45DFC">
              <w:rPr>
                <w:b/>
                <w:i/>
              </w:rPr>
              <w:t>Štúdium podľa študijného programu v dennej forme štúdia nesmie presiahnuť jeho štandardnú dĺžku o</w:t>
            </w:r>
            <w:r w:rsidRPr="003C57D1" w:rsidR="00E45DFC">
              <w:rPr>
                <w:b/>
                <w:i/>
              </w:rPr>
              <w:t xml:space="preserve"> viac ako dva roky. Štúdium podľa študijného programu v externej forme štúdia nesmie presiahnuť jeho štandardnú dĺžku o viac ako tri roky.</w:t>
            </w:r>
          </w:p>
          <w:p w:rsidR="00F84779" w:rsidRPr="00DC6E10" w:rsidP="00F84779">
            <w:pPr>
              <w:pStyle w:val="Normlny"/>
              <w:snapToGrid w:val="0"/>
              <w:jc w:val="both"/>
            </w:pPr>
          </w:p>
          <w:p w:rsidR="00F84779" w:rsidRPr="00DC6E10" w:rsidP="00F84779">
            <w:pPr>
              <w:pStyle w:val="Normlny"/>
              <w:snapToGrid w:val="0"/>
              <w:jc w:val="both"/>
              <w:rPr>
                <w:b/>
                <w:i/>
              </w:rPr>
            </w:pPr>
          </w:p>
          <w:p w:rsidR="00F84779" w:rsidRPr="00DC6E10" w:rsidP="00F84779">
            <w:pPr>
              <w:pStyle w:val="Normlny"/>
              <w:snapToGrid w:val="0"/>
              <w:jc w:val="both"/>
              <w:rPr>
                <w:b/>
                <w:i/>
              </w:rPr>
            </w:pPr>
            <w:r w:rsidRPr="00DC6E10">
              <w:rPr>
                <w:b/>
                <w:i/>
              </w:rPr>
              <w:t>(3) Štandardná dĺžka štúdia vrátane odbornej praxe pre bakalársky študijný program je tri akademické roky alebo štyri akademické roky; počet kreditov, ktorých dosiahnutie je podmienkou riadneho skončenia štúdia, pre bakalársky študijný program so štandardnou dĺžkou štúdia</w:t>
            </w:r>
          </w:p>
          <w:p w:rsidR="00F84779" w:rsidRPr="00DC6E10" w:rsidP="00F84779">
            <w:pPr>
              <w:pStyle w:val="Normlny"/>
              <w:snapToGrid w:val="0"/>
              <w:jc w:val="both"/>
              <w:rPr>
                <w:b/>
                <w:i/>
              </w:rPr>
            </w:pPr>
            <w:r w:rsidRPr="00DC6E10">
              <w:rPr>
                <w:b/>
                <w:i/>
              </w:rPr>
              <w:t>a) tri akademické roky je 180 kreditov,</w:t>
            </w:r>
          </w:p>
          <w:p w:rsidR="00F84779" w:rsidRPr="00DC6E10" w:rsidP="00F84779">
            <w:pPr>
              <w:pStyle w:val="Normlny"/>
              <w:snapToGrid w:val="0"/>
              <w:jc w:val="both"/>
              <w:rPr>
                <w:b/>
                <w:i/>
              </w:rPr>
            </w:pPr>
            <w:r w:rsidRPr="00DC6E10">
              <w:rPr>
                <w:b/>
                <w:i/>
              </w:rPr>
              <w:t>b) štyri akademické roky je 240 kreditov.</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 xml:space="preserve">(3) Vysoká škola môže vytvoriť študijný program spájajúci prvý stupeň a druhý stupeň, len ak to umožňuje opis študijného odboru. V študijnom odbore, v ktorom nie je možné študovať samostatne v študijných programoch prvého stupňa a samostatne v študijných programoch druhého stupňa, môže vysoká škola vytvárať len študijné programy spájajúce prvý stupeň a druhý stupeň. Absolvent študijného programu spájajúceho prvý stupeň a druhý stupeň získava vysokoškolské vzdelanie druhého stupňa. </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(4) Štandardná dĺžka štúdia vrátane o</w:t>
            </w:r>
            <w:r w:rsidRPr="00DC6E10">
              <w:t>dbornej praxe pre študijný program</w:t>
            </w:r>
          </w:p>
          <w:p w:rsidR="00F84779" w:rsidRPr="00DC6E10" w:rsidP="00F84779">
            <w:pPr>
              <w:pStyle w:val="Normlny"/>
              <w:snapToGrid w:val="0"/>
              <w:jc w:val="both"/>
            </w:pPr>
          </w:p>
          <w:p w:rsidR="00F84779" w:rsidRPr="00DC6E10" w:rsidP="00F84779">
            <w:pPr>
              <w:pStyle w:val="Normlny"/>
              <w:snapToGrid w:val="0"/>
              <w:jc w:val="both"/>
            </w:pPr>
            <w:r w:rsidRPr="00DC6E10">
              <w:t>a)</w:t>
              <w:tab/>
              <w:t xml:space="preserve">druhého stupňa </w:t>
            </w:r>
            <w:r w:rsidRPr="00DC6E10">
              <w:rPr>
                <w:strike/>
              </w:rPr>
              <w:t>v dennej forme štúdia</w:t>
            </w:r>
            <w:r w:rsidRPr="00DC6E10">
              <w:t xml:space="preserve"> je jeden, dva alebo tri akademické roky; počet kreditov, ktorých dosiahnutie je podmienkou riadneho skončenia štúdia, pre študijný program druhého stupňa </w:t>
            </w:r>
            <w:r w:rsidRPr="00DC6E10">
              <w:rPr>
                <w:strike/>
              </w:rPr>
              <w:t>v dennej forme štúdia</w:t>
            </w:r>
            <w:r w:rsidRPr="00DC6E10">
              <w:t xml:space="preserve"> so štandardnou dĺžkou štúdia</w:t>
            </w:r>
          </w:p>
          <w:p w:rsidR="00F84779" w:rsidRPr="00DC6E10" w:rsidP="00F84779">
            <w:pPr>
              <w:pStyle w:val="Normlny"/>
              <w:snapToGrid w:val="0"/>
              <w:jc w:val="both"/>
            </w:pPr>
            <w:r w:rsidRPr="00DC6E10">
              <w:t>1. jeden akademický rok je 60 kreditov,</w:t>
            </w:r>
          </w:p>
          <w:p w:rsidR="00F84779" w:rsidRPr="00DC6E10" w:rsidP="00F84779">
            <w:pPr>
              <w:pStyle w:val="Normlny"/>
              <w:snapToGrid w:val="0"/>
              <w:jc w:val="both"/>
            </w:pPr>
            <w:r w:rsidRPr="00DC6E10">
              <w:t>2. dva akademické roky je 120 kreditov,</w:t>
            </w:r>
          </w:p>
          <w:p w:rsidR="00F84779" w:rsidRPr="00DC6E10" w:rsidP="00F84779">
            <w:pPr>
              <w:pStyle w:val="Normlny"/>
              <w:snapToGrid w:val="0"/>
              <w:jc w:val="both"/>
            </w:pPr>
            <w:r w:rsidRPr="00DC6E10">
              <w:t>3. tri akademické roky je 180 kreditov,</w:t>
            </w:r>
          </w:p>
          <w:p w:rsidR="00F84779" w:rsidRPr="00DC6E10" w:rsidP="00F84779">
            <w:pPr>
              <w:pStyle w:val="Normlny"/>
              <w:snapToGrid w:val="0"/>
              <w:jc w:val="both"/>
            </w:pPr>
          </w:p>
          <w:p w:rsidR="00F84779" w:rsidRPr="00DC6E10" w:rsidP="00F84779">
            <w:pPr>
              <w:pStyle w:val="Normlny"/>
              <w:snapToGrid w:val="0"/>
              <w:jc w:val="both"/>
              <w:rPr>
                <w:strike/>
              </w:rPr>
            </w:pPr>
            <w:r w:rsidRPr="00DC6E10">
              <w:rPr>
                <w:strike/>
              </w:rPr>
              <w:t>b)</w:t>
              <w:tab/>
              <w:t>druhého stupňa v externej forme štúdia je dva, tri alebo štyri akademické roky; počet kreditov, ktorých dosiahnutie je podmienkou riadneho skončenia štúdia, pre študijný program druhého stupňa v externej forme štúdia so štandardnou dĺžkou štúdia</w:t>
            </w:r>
          </w:p>
          <w:p w:rsidR="00F84779" w:rsidRPr="00DC6E10" w:rsidP="00F84779">
            <w:pPr>
              <w:pStyle w:val="Normlny"/>
              <w:snapToGrid w:val="0"/>
              <w:jc w:val="both"/>
              <w:rPr>
                <w:strike/>
              </w:rPr>
            </w:pPr>
            <w:r w:rsidRPr="00DC6E10">
              <w:rPr>
                <w:strike/>
              </w:rPr>
              <w:t>1. dva akademické roky je 60 kreditov,</w:t>
            </w:r>
          </w:p>
          <w:p w:rsidR="00F84779" w:rsidRPr="00DC6E10" w:rsidP="00F84779">
            <w:pPr>
              <w:pStyle w:val="Normlny"/>
              <w:snapToGrid w:val="0"/>
              <w:jc w:val="both"/>
              <w:rPr>
                <w:strike/>
              </w:rPr>
            </w:pPr>
            <w:r w:rsidRPr="00DC6E10">
              <w:rPr>
                <w:strike/>
              </w:rPr>
              <w:t>2. tri akademické roky je 120 kreditov,</w:t>
            </w:r>
          </w:p>
          <w:p w:rsidR="00F84779" w:rsidRPr="00DC6E10" w:rsidP="00F84779">
            <w:pPr>
              <w:pStyle w:val="Normlny"/>
              <w:snapToGrid w:val="0"/>
              <w:jc w:val="both"/>
              <w:rPr>
                <w:strike/>
              </w:rPr>
            </w:pPr>
            <w:r w:rsidRPr="00DC6E10">
              <w:rPr>
                <w:strike/>
              </w:rPr>
              <w:t>3. štyri akademické roky je 180 kredit</w:t>
            </w:r>
            <w:r w:rsidRPr="00DC6E10">
              <w:rPr>
                <w:strike/>
              </w:rPr>
              <w:t>ov,</w:t>
            </w:r>
          </w:p>
          <w:p w:rsidR="00F84779" w:rsidRPr="00DC6E10" w:rsidP="00F84779">
            <w:pPr>
              <w:pStyle w:val="Normlny"/>
              <w:snapToGrid w:val="0"/>
              <w:jc w:val="both"/>
              <w:rPr>
                <w:strike/>
              </w:rPr>
            </w:pPr>
          </w:p>
          <w:p w:rsidR="00F84779" w:rsidRPr="00DC6E10" w:rsidP="00F84779">
            <w:pPr>
              <w:pStyle w:val="Normlny"/>
              <w:snapToGrid w:val="0"/>
              <w:jc w:val="both"/>
            </w:pPr>
            <w:r w:rsidRPr="00DC6E10">
              <w:rPr>
                <w:i/>
                <w:strike/>
              </w:rPr>
              <w:t>c</w:t>
            </w:r>
            <w:r w:rsidRPr="00DC6E10">
              <w:rPr>
                <w:i/>
              </w:rPr>
              <w:t>b)</w:t>
            </w:r>
            <w:r w:rsidRPr="00DC6E10">
              <w:t xml:space="preserve"> spájajúci prvý stupeň a druhý stupeň </w:t>
            </w:r>
            <w:r w:rsidRPr="00DC6E10">
              <w:rPr>
                <w:strike/>
              </w:rPr>
              <w:t>v dennej forme štúdia</w:t>
            </w:r>
            <w:r w:rsidRPr="00DC6E10">
              <w:t xml:space="preserve"> je päť alebo šesť akademických rokov; počet kreditov, ktorých dosiahnutie je podmienkou riadneho skončenia štúdia, pre študijný program spájajúci prvý stupeň a druhý stupeň </w:t>
            </w:r>
            <w:r w:rsidRPr="00DC6E10">
              <w:rPr>
                <w:strike/>
              </w:rPr>
              <w:t xml:space="preserve">v dennej forme </w:t>
            </w:r>
            <w:r w:rsidRPr="00DC6E10">
              <w:rPr>
                <w:strike/>
              </w:rPr>
              <w:t>štúdia</w:t>
            </w:r>
            <w:r w:rsidRPr="00DC6E10">
              <w:t xml:space="preserve"> so štandardnou dĺžkou štúdia</w:t>
            </w:r>
          </w:p>
          <w:p w:rsidR="00F84779" w:rsidRPr="00DC6E10" w:rsidP="00F84779">
            <w:pPr>
              <w:pStyle w:val="Normlny"/>
              <w:snapToGrid w:val="0"/>
              <w:jc w:val="both"/>
            </w:pPr>
            <w:r w:rsidRPr="00DC6E10">
              <w:t>1. päť akademických rokov je 300 kreditov,</w:t>
            </w:r>
          </w:p>
          <w:p w:rsidR="00F84779" w:rsidRPr="00DC6E10" w:rsidP="00F84779">
            <w:pPr>
              <w:pStyle w:val="Normlny"/>
              <w:snapToGrid w:val="0"/>
              <w:jc w:val="both"/>
            </w:pPr>
            <w:r w:rsidRPr="00DC6E10">
              <w:t>2. šesť akademických rokov je 360 kreditov</w:t>
            </w:r>
            <w:r w:rsidRPr="00DC6E10">
              <w:rPr>
                <w:strike/>
              </w:rPr>
              <w:t>,.</w:t>
            </w:r>
          </w:p>
          <w:p w:rsidR="00F84779" w:rsidRPr="00DC6E10" w:rsidP="00F84779">
            <w:pPr>
              <w:pStyle w:val="Normlny"/>
              <w:snapToGrid w:val="0"/>
              <w:jc w:val="both"/>
            </w:pPr>
          </w:p>
          <w:p w:rsidR="00F84779" w:rsidRPr="00DC6E10" w:rsidP="00F84779">
            <w:pPr>
              <w:pStyle w:val="Normlny"/>
              <w:snapToGrid w:val="0"/>
              <w:jc w:val="both"/>
              <w:rPr>
                <w:strike/>
              </w:rPr>
            </w:pPr>
            <w:r w:rsidRPr="00DC6E10">
              <w:rPr>
                <w:strike/>
              </w:rPr>
              <w:t>d) spájajúci prvý stupeň a druhý stupeň v externej forme štúdia je sedem alebo osem akademických rokov; počet kreditov, ktorých dosiahnutie je podmienkou riadneho skončenia štúdia, pre študijný program spájajúci prvý stupeň a druhý stupeň v externej forme štúdia so štandardnou dĺžkou štúdia</w:t>
            </w:r>
          </w:p>
          <w:p w:rsidR="00F84779" w:rsidRPr="00DC6E10" w:rsidP="00F84779">
            <w:pPr>
              <w:pStyle w:val="Normlny"/>
              <w:snapToGrid w:val="0"/>
              <w:jc w:val="both"/>
              <w:rPr>
                <w:strike/>
              </w:rPr>
            </w:pPr>
            <w:r w:rsidRPr="00DC6E10">
              <w:rPr>
                <w:strike/>
              </w:rPr>
              <w:t>1. sedem akademických rokov je 300 kreditov,</w:t>
            </w:r>
          </w:p>
          <w:p w:rsidR="00F84779" w:rsidRPr="00DC6E10" w:rsidP="00F84779">
            <w:pPr>
              <w:pStyle w:val="Normlny"/>
              <w:snapToGrid w:val="0"/>
              <w:jc w:val="both"/>
              <w:rPr>
                <w:strike/>
              </w:rPr>
            </w:pPr>
            <w:r w:rsidRPr="00DC6E10">
              <w:rPr>
                <w:strike/>
              </w:rPr>
              <w:t>2. osem akademických rokov je 360 kreditov.</w:t>
            </w:r>
          </w:p>
          <w:p w:rsidR="00F84779" w:rsidRPr="00DC6E10" w:rsidP="00F84779">
            <w:pPr>
              <w:pStyle w:val="Normlny"/>
              <w:snapToGrid w:val="0"/>
              <w:jc w:val="both"/>
            </w:pPr>
          </w:p>
          <w:p w:rsidR="00F84779" w:rsidRPr="00DC6E10" w:rsidP="00F84779">
            <w:pPr>
              <w:pStyle w:val="Normlny"/>
              <w:snapToGrid w:val="0"/>
              <w:jc w:val="both"/>
            </w:pPr>
          </w:p>
          <w:p w:rsidR="00F84779" w:rsidRPr="00DC6E10" w:rsidP="00F84779">
            <w:pPr>
              <w:pStyle w:val="Normlny"/>
              <w:snapToGrid w:val="0"/>
              <w:jc w:val="both"/>
            </w:pPr>
            <w:r w:rsidRPr="00DC6E10">
              <w:t>(2) Štandardná dĺžka štúdia pre doktorandský študijný program</w:t>
            </w:r>
          </w:p>
          <w:p w:rsidR="00F84779" w:rsidRPr="00DC6E10" w:rsidP="00F84779">
            <w:pPr>
              <w:pStyle w:val="Normlny"/>
              <w:snapToGrid w:val="0"/>
              <w:jc w:val="both"/>
            </w:pPr>
            <w:r w:rsidRPr="00DC6E10">
              <w:t>a) v dennej forme štúdia je tri alebo štyri akademické roky; počet kreditov, ktorých dosiahnutie je podmienkou riadneho skončenia štúdia, pre doktorandský študijný program v dennej forme štúdia so štandardnou dĺžkou štúdia</w:t>
            </w:r>
          </w:p>
          <w:p w:rsidR="00F84779" w:rsidRPr="00DC6E10" w:rsidP="00F84779">
            <w:pPr>
              <w:pStyle w:val="Normlny"/>
              <w:snapToGrid w:val="0"/>
              <w:jc w:val="both"/>
            </w:pPr>
            <w:r w:rsidRPr="00DC6E10">
              <w:t>1. tri akademické roky je 180 kreditov,</w:t>
            </w:r>
          </w:p>
          <w:p w:rsidR="00F84779" w:rsidRPr="00DC6E10" w:rsidP="00F84779">
            <w:pPr>
              <w:pStyle w:val="Normlny"/>
              <w:snapToGrid w:val="0"/>
              <w:jc w:val="both"/>
            </w:pPr>
            <w:r w:rsidRPr="00DC6E10">
              <w:t>2. štyri akademické roky je 240 kreditov,</w:t>
            </w:r>
          </w:p>
          <w:p w:rsidR="00F84779" w:rsidRPr="00DC6E10" w:rsidP="00F84779">
            <w:pPr>
              <w:pStyle w:val="Normlny"/>
              <w:snapToGrid w:val="0"/>
              <w:jc w:val="both"/>
            </w:pPr>
            <w:r w:rsidRPr="00DC6E10">
              <w:t>b) v externej forme štúdia je štyri alebo päť akademických rokov; počet kreditov, ktorých dosiahnutie je podmienkou riadneho sk</w:t>
            </w:r>
            <w:r w:rsidRPr="00DC6E10">
              <w:t>ončenia štúdia, pre doktorandský študijný program so štandardnou dĺžkou štúdia</w:t>
            </w:r>
          </w:p>
          <w:p w:rsidR="00F84779" w:rsidRPr="00DC6E10" w:rsidP="00F84779">
            <w:pPr>
              <w:pStyle w:val="Normlny"/>
              <w:snapToGrid w:val="0"/>
              <w:jc w:val="both"/>
            </w:pPr>
            <w:r w:rsidRPr="00DC6E10">
              <w:t>1. štyri akademické roky je 180 kreditov,</w:t>
            </w:r>
          </w:p>
          <w:p w:rsidR="00F84779" w:rsidRPr="00DC6E10" w:rsidP="00F84779">
            <w:pPr>
              <w:pStyle w:val="Normlny"/>
              <w:snapToGrid w:val="0"/>
              <w:jc w:val="both"/>
            </w:pPr>
            <w:r w:rsidRPr="00DC6E10">
              <w:t>2. päť akademických rokov je 240 kreditov.</w:t>
            </w:r>
          </w:p>
        </w:tc>
        <w:tc>
          <w:tcPr>
            <w:tcW w:w="426" w:type="dxa"/>
            <w:tcBorders>
              <w:top w:val="single" w:sz="4" w:space="0" w:color="000000"/>
              <w:left w:val="single" w:sz="4" w:space="0" w:color="000000"/>
              <w:bottom w:val="single" w:sz="4" w:space="0" w:color="000000"/>
            </w:tcBorders>
            <w:shd w:val="clear" w:color="auto" w:fill="auto"/>
          </w:tcPr>
          <w:p w:rsidR="00F84779" w:rsidRPr="00DC6E10"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4779" w:rsidRPr="00DC6E10"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33530C" w:rsidP="00F84779">
            <w:pPr>
              <w:snapToGrid w:val="0"/>
              <w:jc w:val="both"/>
              <w:rPr>
                <w:sz w:val="20"/>
                <w:szCs w:val="20"/>
              </w:rPr>
            </w:pPr>
            <w:r>
              <w:rPr>
                <w:sz w:val="20"/>
                <w:szCs w:val="20"/>
              </w:rPr>
              <w:t>C: 28</w:t>
            </w:r>
          </w:p>
          <w:p w:rsidR="0033530C" w:rsidP="00F84779">
            <w:pPr>
              <w:snapToGrid w:val="0"/>
              <w:jc w:val="both"/>
              <w:rPr>
                <w:sz w:val="20"/>
                <w:szCs w:val="20"/>
              </w:rPr>
            </w:pPr>
            <w:r>
              <w:rPr>
                <w:sz w:val="20"/>
                <w:szCs w:val="20"/>
              </w:rPr>
              <w:t>O: 6</w:t>
            </w:r>
          </w:p>
          <w:p w:rsidR="00443D68"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9528FC" w:rsidP="00F84779">
            <w:pPr>
              <w:snapToGrid w:val="0"/>
              <w:jc w:val="both"/>
              <w:rPr>
                <w:sz w:val="20"/>
                <w:szCs w:val="20"/>
              </w:rPr>
            </w:pPr>
          </w:p>
          <w:p w:rsidR="00443D68" w:rsidRPr="00656606" w:rsidP="00F84779">
            <w:pPr>
              <w:snapToGrid w:val="0"/>
              <w:jc w:val="both"/>
              <w:rPr>
                <w:sz w:val="20"/>
                <w:szCs w:val="20"/>
              </w:rPr>
            </w:pPr>
            <w:r>
              <w:rPr>
                <w:sz w:val="20"/>
                <w:szCs w:val="20"/>
              </w:rPr>
              <w:t>C: 33</w:t>
            </w:r>
          </w:p>
        </w:tc>
        <w:tc>
          <w:tcPr>
            <w:tcW w:w="4820" w:type="dxa"/>
            <w:tcBorders>
              <w:top w:val="single" w:sz="4" w:space="0" w:color="000000"/>
              <w:left w:val="single" w:sz="4" w:space="0" w:color="000000"/>
              <w:bottom w:val="single" w:sz="4" w:space="0" w:color="000000"/>
            </w:tcBorders>
            <w:shd w:val="clear" w:color="auto" w:fill="auto"/>
          </w:tcPr>
          <w:p w:rsidR="0033530C" w:rsidRPr="0033530C" w:rsidP="0033530C">
            <w:pPr>
              <w:jc w:val="both"/>
              <w:rPr>
                <w:sz w:val="20"/>
                <w:szCs w:val="20"/>
              </w:rPr>
            </w:pPr>
            <w:r w:rsidRPr="0033530C">
              <w:rPr>
                <w:sz w:val="20"/>
                <w:szCs w:val="20"/>
              </w:rPr>
              <w:t>Druhý členský štát môže vyžadovať, aby sa spolu s oznámením zaslali aj nasledujúce doklady a informácie:</w:t>
            </w:r>
          </w:p>
          <w:p w:rsidR="0033530C" w:rsidRPr="0033530C" w:rsidP="0033530C">
            <w:pPr>
              <w:jc w:val="both"/>
              <w:rPr>
                <w:sz w:val="20"/>
                <w:szCs w:val="20"/>
              </w:rPr>
            </w:pPr>
          </w:p>
          <w:p w:rsidR="0033530C" w:rsidRPr="0033530C" w:rsidP="0033530C">
            <w:pPr>
              <w:numPr>
                <w:ilvl w:val="0"/>
                <w:numId w:val="28"/>
              </w:numPr>
              <w:jc w:val="both"/>
              <w:rPr>
                <w:sz w:val="20"/>
                <w:szCs w:val="20"/>
              </w:rPr>
            </w:pPr>
            <w:r w:rsidRPr="0033530C">
              <w:rPr>
                <w:sz w:val="20"/>
                <w:szCs w:val="20"/>
              </w:rPr>
              <w:t>dohoda o hosťovaní v prvom členskom štáte, ako sa uvádza v článku 10, alebo ak to druhý členský štát vyžaduje, dohoda o hosťovaní s výskumnou organizáciou v druhom členskom štáte;</w:t>
            </w:r>
          </w:p>
          <w:p w:rsidR="0033530C" w:rsidRPr="0033530C" w:rsidP="0033530C">
            <w:pPr>
              <w:jc w:val="both"/>
              <w:rPr>
                <w:sz w:val="20"/>
                <w:szCs w:val="20"/>
              </w:rPr>
            </w:pPr>
          </w:p>
          <w:p w:rsidR="0033530C" w:rsidRPr="0033530C" w:rsidP="0033530C">
            <w:pPr>
              <w:numPr>
                <w:ilvl w:val="0"/>
                <w:numId w:val="28"/>
              </w:numPr>
              <w:jc w:val="both"/>
              <w:rPr>
                <w:sz w:val="20"/>
                <w:szCs w:val="20"/>
              </w:rPr>
            </w:pPr>
            <w:r w:rsidRPr="0033530C">
              <w:rPr>
                <w:sz w:val="20"/>
                <w:szCs w:val="20"/>
              </w:rPr>
              <w:t>plánované trvanie a dátumy mobility, ak sa neuvádzajú v dohode o hosťovaní;</w:t>
            </w:r>
          </w:p>
          <w:p w:rsidR="0033530C" w:rsidRPr="0033530C" w:rsidP="0033530C">
            <w:pPr>
              <w:jc w:val="both"/>
              <w:rPr>
                <w:sz w:val="20"/>
                <w:szCs w:val="20"/>
              </w:rPr>
            </w:pPr>
          </w:p>
          <w:p w:rsidR="0033530C" w:rsidRPr="0033530C" w:rsidP="0033530C">
            <w:pPr>
              <w:numPr>
                <w:ilvl w:val="0"/>
                <w:numId w:val="28"/>
              </w:numPr>
              <w:jc w:val="both"/>
              <w:rPr>
                <w:sz w:val="20"/>
                <w:szCs w:val="20"/>
              </w:rPr>
            </w:pPr>
            <w:r w:rsidRPr="0033530C">
              <w:rPr>
                <w:sz w:val="20"/>
                <w:szCs w:val="20"/>
              </w:rPr>
              <w:t>dôkaz o tom, že výskumný pracovník má zdravotné poistenie pokrývajúceho všetky riziká, ktoré bežne zahŕňa poistenie štátnych príslušníkov dotknutého členského štátu, ako sa stanovuje v článku 7 ods. 1 písm. c);</w:t>
            </w:r>
          </w:p>
          <w:p w:rsidR="0033530C" w:rsidRPr="0033530C" w:rsidP="0033530C">
            <w:pPr>
              <w:jc w:val="both"/>
              <w:rPr>
                <w:sz w:val="20"/>
                <w:szCs w:val="20"/>
              </w:rPr>
            </w:pPr>
          </w:p>
          <w:p w:rsidR="0033530C" w:rsidRPr="0033530C" w:rsidP="0033530C">
            <w:pPr>
              <w:numPr>
                <w:ilvl w:val="0"/>
                <w:numId w:val="28"/>
              </w:numPr>
              <w:jc w:val="both"/>
              <w:rPr>
                <w:sz w:val="20"/>
                <w:szCs w:val="20"/>
              </w:rPr>
            </w:pPr>
            <w:r w:rsidRPr="0033530C">
              <w:rPr>
                <w:sz w:val="20"/>
                <w:szCs w:val="20"/>
              </w:rPr>
              <w:t>dôkaz o tom, že výskumný pracovník bude mať počas pobytu dostatočné zdroje na pokrytie nákladov na živobytie, bez toho, aby musel využívať systém sociálnej pomoci daného členského štátu, ako sa stanovuje v článku 7 ods. 1 písm. e), ako aj nákladov na vycestovanie do prvého členského štátu v prípadoch uvedených v článku 32 ods. 4 písm. b).</w:t>
            </w:r>
          </w:p>
          <w:p w:rsidR="0033530C" w:rsidRPr="0033530C" w:rsidP="0033530C">
            <w:pPr>
              <w:jc w:val="both"/>
              <w:rPr>
                <w:sz w:val="20"/>
                <w:szCs w:val="20"/>
              </w:rPr>
            </w:pPr>
          </w:p>
          <w:p w:rsidR="0033530C" w:rsidRPr="0033530C" w:rsidP="0033530C">
            <w:pPr>
              <w:jc w:val="both"/>
              <w:rPr>
                <w:sz w:val="20"/>
                <w:szCs w:val="20"/>
              </w:rPr>
            </w:pPr>
            <w:r w:rsidRPr="0033530C">
              <w:rPr>
                <w:sz w:val="20"/>
                <w:szCs w:val="20"/>
              </w:rPr>
              <w:t>Druhý členský štát môže od oznamovateľa vyžadovať, aby pred začiatkom mobility poskytol adresu dotknutého výskumného pracovníka na území druhého členského štátu.</w:t>
            </w:r>
          </w:p>
          <w:p w:rsidR="0033530C" w:rsidRPr="0033530C" w:rsidP="0033530C">
            <w:pPr>
              <w:jc w:val="both"/>
              <w:rPr>
                <w:sz w:val="20"/>
                <w:szCs w:val="20"/>
              </w:rPr>
            </w:pPr>
          </w:p>
          <w:p w:rsidR="0033530C" w:rsidP="0033530C">
            <w:pPr>
              <w:jc w:val="both"/>
              <w:rPr>
                <w:sz w:val="20"/>
                <w:szCs w:val="20"/>
              </w:rPr>
            </w:pPr>
            <w:r w:rsidRPr="0033530C">
              <w:rPr>
                <w:sz w:val="20"/>
                <w:szCs w:val="20"/>
              </w:rPr>
              <w:t>Druhý členský štát môže vyžadovať, aby oznamovateľ predložil doklady v úradnom jazyku tohto členského štátu alebo v akomkoľvek úradnom jazyku Únie, ktorý určí tento členský štát.</w:t>
            </w:r>
          </w:p>
          <w:p w:rsidR="009528FC" w:rsidP="0033530C">
            <w:pPr>
              <w:jc w:val="both"/>
              <w:rPr>
                <w:sz w:val="20"/>
                <w:szCs w:val="20"/>
              </w:rPr>
            </w:pPr>
          </w:p>
          <w:p w:rsidR="009528FC" w:rsidP="0033530C">
            <w:pPr>
              <w:jc w:val="both"/>
              <w:rPr>
                <w:sz w:val="20"/>
                <w:szCs w:val="20"/>
              </w:rPr>
            </w:pPr>
          </w:p>
          <w:p w:rsidR="009528FC" w:rsidRPr="00656606" w:rsidP="0033530C">
            <w:pPr>
              <w:jc w:val="both"/>
              <w:rPr>
                <w:sz w:val="20"/>
                <w:szCs w:val="20"/>
              </w:rPr>
            </w:pPr>
            <w:r w:rsidRPr="009528FC">
              <w:rPr>
                <w:sz w:val="20"/>
                <w:szCs w:val="20"/>
              </w:rPr>
              <w:t>Členské štáty môžu stanoviť sankcie proti hostiteľským subjektom alebo v prípadoch, na ktoré sa vzťahuje článok 24, voči zamestnávateľom, ktorí si nesplnili povinnosti podľa tejto smernice. Uvedené sankcie musia byť účinné, primerané a odrádzajúce.</w:t>
            </w:r>
          </w:p>
        </w:tc>
        <w:tc>
          <w:tcPr>
            <w:tcW w:w="708" w:type="dxa"/>
            <w:tcBorders>
              <w:top w:val="single" w:sz="4" w:space="0" w:color="000000"/>
              <w:left w:val="single" w:sz="4" w:space="0" w:color="000000"/>
              <w:bottom w:val="single" w:sz="4" w:space="0" w:color="000000"/>
            </w:tcBorders>
            <w:shd w:val="clear" w:color="auto" w:fill="auto"/>
          </w:tcPr>
          <w:p w:rsidR="0033530C" w:rsidRPr="00656606" w:rsidP="00F84779">
            <w:pPr>
              <w:snapToGrid w:val="0"/>
              <w:jc w:val="center"/>
              <w:rPr>
                <w:sz w:val="20"/>
                <w:szCs w:val="20"/>
              </w:rPr>
            </w:pPr>
            <w:r w:rsidR="00443D68">
              <w:rPr>
                <w:sz w:val="20"/>
                <w:szCs w:val="20"/>
              </w:rPr>
              <w:t>N</w:t>
            </w:r>
          </w:p>
        </w:tc>
        <w:tc>
          <w:tcPr>
            <w:tcW w:w="851" w:type="dxa"/>
            <w:tcBorders>
              <w:top w:val="single" w:sz="4" w:space="0" w:color="000000"/>
              <w:left w:val="single" w:sz="4" w:space="0" w:color="000000"/>
              <w:bottom w:val="single" w:sz="4" w:space="0" w:color="000000"/>
            </w:tcBorders>
            <w:shd w:val="clear" w:color="auto" w:fill="auto"/>
          </w:tcPr>
          <w:p w:rsidR="00443D68" w:rsidRPr="00DC6E10" w:rsidP="00443D68">
            <w:pPr>
              <w:snapToGrid w:val="0"/>
              <w:jc w:val="center"/>
              <w:rPr>
                <w:sz w:val="20"/>
                <w:szCs w:val="20"/>
              </w:rPr>
            </w:pPr>
            <w:r w:rsidRPr="00DC6E10">
              <w:rPr>
                <w:sz w:val="20"/>
                <w:szCs w:val="20"/>
              </w:rPr>
              <w:t xml:space="preserve">Zákon č. 172/2005 Z. z. </w:t>
            </w:r>
            <w:r>
              <w:rPr>
                <w:sz w:val="20"/>
                <w:szCs w:val="20"/>
              </w:rPr>
              <w:t>a Zákon</w:t>
            </w:r>
            <w:r w:rsidRPr="00DC6E10">
              <w:rPr>
                <w:sz w:val="20"/>
                <w:szCs w:val="20"/>
              </w:rPr>
              <w:t xml:space="preserve"> č. .../2022 Z. z.</w:t>
            </w:r>
            <w:r>
              <w:rPr>
                <w:sz w:val="20"/>
                <w:szCs w:val="20"/>
              </w:rPr>
              <w:t xml:space="preserve"> </w:t>
            </w:r>
          </w:p>
          <w:p w:rsidR="0033530C" w:rsidRPr="00656606" w:rsidP="00F84779">
            <w:pPr>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3530C" w:rsidRPr="00656606" w:rsidP="00F84779">
            <w:pPr>
              <w:pStyle w:val="Normlny"/>
              <w:snapToGrid w:val="0"/>
              <w:jc w:val="both"/>
            </w:pPr>
            <w:r w:rsidR="00443D68">
              <w:t>§ 26b</w:t>
            </w:r>
          </w:p>
        </w:tc>
        <w:tc>
          <w:tcPr>
            <w:tcW w:w="5244" w:type="dxa"/>
            <w:tcBorders>
              <w:top w:val="single" w:sz="4" w:space="0" w:color="000000"/>
              <w:left w:val="single" w:sz="4" w:space="0" w:color="000000"/>
              <w:bottom w:val="single" w:sz="4" w:space="0" w:color="000000"/>
            </w:tcBorders>
            <w:shd w:val="clear" w:color="auto" w:fill="auto"/>
          </w:tcPr>
          <w:p w:rsidR="0033530C" w:rsidRPr="0033530C" w:rsidP="00443D68">
            <w:pPr>
              <w:pStyle w:val="Normlny"/>
              <w:snapToGrid w:val="0"/>
              <w:jc w:val="both"/>
            </w:pPr>
            <w:r w:rsidR="00443D68">
              <w:rPr>
                <w:b/>
                <w:bCs/>
              </w:rPr>
              <w:t xml:space="preserve">(1) </w:t>
            </w:r>
            <w:r w:rsidRPr="0033530C">
              <w:t>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w:t>
            </w:r>
          </w:p>
          <w:p w:rsidR="00443D68" w:rsidP="00443D68">
            <w:pPr>
              <w:pStyle w:val="Normlny"/>
              <w:snapToGrid w:val="0"/>
              <w:jc w:val="both"/>
            </w:pPr>
          </w:p>
          <w:p w:rsidR="0033530C" w:rsidRPr="0033530C" w:rsidP="00443D68">
            <w:pPr>
              <w:pStyle w:val="Normlny"/>
              <w:snapToGrid w:val="0"/>
              <w:jc w:val="both"/>
            </w:pPr>
            <w:r w:rsidRPr="0033530C">
              <w:t>(2)</w:t>
            </w:r>
            <w:r w:rsidR="00443D68">
              <w:t xml:space="preserve"> </w:t>
            </w:r>
            <w:r w:rsidRPr="0033530C">
              <w:t>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r w:rsidR="00443D68">
              <w:t xml:space="preserve"> </w:t>
            </w:r>
            <w:r w:rsidRPr="00443D68" w:rsidR="00443D68">
              <w:rPr>
                <w:b/>
                <w:i/>
              </w:rPr>
              <w:t>Prijímajúca organizácia si na tento účel vyžiada overenú kópiu dokladu o odbornej kvalifikácii cudzinca.</w:t>
            </w:r>
          </w:p>
          <w:p w:rsidR="00443D68" w:rsidP="00443D68">
            <w:pPr>
              <w:pStyle w:val="Normlny"/>
              <w:snapToGrid w:val="0"/>
              <w:jc w:val="both"/>
            </w:pPr>
          </w:p>
          <w:p w:rsidR="0033530C" w:rsidRPr="0033530C" w:rsidP="00443D68">
            <w:pPr>
              <w:pStyle w:val="Normlny"/>
              <w:snapToGrid w:val="0"/>
              <w:jc w:val="both"/>
            </w:pPr>
            <w:r w:rsidRPr="0033530C">
              <w:t>(3)</w:t>
            </w:r>
            <w:r w:rsidR="00443D68">
              <w:t xml:space="preserve"> </w:t>
            </w:r>
            <w:r w:rsidRPr="0033530C">
              <w:t>Dohoda o hosťovaní musí obsahovať</w:t>
            </w:r>
          </w:p>
          <w:p w:rsidR="0033530C" w:rsidRPr="0033530C" w:rsidP="00443D68">
            <w:pPr>
              <w:pStyle w:val="Normlny"/>
              <w:snapToGrid w:val="0"/>
              <w:jc w:val="both"/>
            </w:pPr>
            <w:r w:rsidRPr="0033530C">
              <w:t>a)</w:t>
            </w:r>
            <w:r w:rsidR="00443D68">
              <w:t xml:space="preserve"> </w:t>
            </w:r>
            <w:r w:rsidRPr="0033530C">
              <w:t>meno a priezvisko cudzinca, ktorý nie je občanom členského štátu, a označenie prijímajúcej organizácie,</w:t>
            </w:r>
          </w:p>
          <w:p w:rsidR="0033530C" w:rsidRPr="0033530C" w:rsidP="00443D68">
            <w:pPr>
              <w:pStyle w:val="Normlny"/>
              <w:snapToGrid w:val="0"/>
              <w:jc w:val="both"/>
            </w:pPr>
            <w:r w:rsidRPr="0033530C">
              <w:t>b)</w:t>
            </w:r>
            <w:r w:rsidR="00443D68">
              <w:t xml:space="preserve"> </w:t>
            </w:r>
            <w:r w:rsidRPr="0033530C">
              <w:t>určenie výskumného zaradenia cudzinca a jeho pracovných podmienok,</w:t>
            </w:r>
          </w:p>
          <w:p w:rsidR="0033530C" w:rsidRPr="0033530C" w:rsidP="00443D68">
            <w:pPr>
              <w:pStyle w:val="Normlny"/>
              <w:snapToGrid w:val="0"/>
              <w:jc w:val="both"/>
            </w:pPr>
            <w:r w:rsidRPr="0033530C">
              <w:t>c)</w:t>
            </w:r>
            <w:r w:rsidR="00443D68">
              <w:t xml:space="preserve"> </w:t>
            </w:r>
            <w:r w:rsidRPr="0033530C">
              <w:t>účel, dĺžku trvania, zameranie a financovanie projektu výskumu a vývoja,</w:t>
            </w:r>
          </w:p>
          <w:p w:rsidR="0033530C" w:rsidRPr="00443D68" w:rsidP="00443D68">
            <w:pPr>
              <w:pStyle w:val="Normlny"/>
              <w:snapToGrid w:val="0"/>
              <w:jc w:val="both"/>
              <w:rPr>
                <w:strike/>
              </w:rPr>
            </w:pPr>
            <w:r w:rsidRPr="00443D68">
              <w:rPr>
                <w:strike/>
              </w:rPr>
              <w:t>d)</w:t>
            </w:r>
            <w:r w:rsidRPr="00443D68" w:rsidR="00443D68">
              <w:rPr>
                <w:strike/>
              </w:rPr>
              <w:t xml:space="preserve"> </w:t>
            </w:r>
            <w:r w:rsidRPr="00443D68">
              <w:rPr>
                <w:strike/>
              </w:rPr>
              <w:t>osvedčenú kópiu dokladu o odbornej kvalifikácii cudzinca,</w:t>
            </w:r>
          </w:p>
          <w:p w:rsidR="0033530C" w:rsidRPr="0033530C" w:rsidP="00443D68">
            <w:pPr>
              <w:pStyle w:val="Normlny"/>
              <w:snapToGrid w:val="0"/>
              <w:jc w:val="both"/>
            </w:pPr>
            <w:r w:rsidRPr="00443D68">
              <w:rPr>
                <w:strike/>
              </w:rPr>
              <w:t>e</w:t>
            </w:r>
            <w:r w:rsidRPr="00443D68" w:rsidR="00443D68">
              <w:rPr>
                <w:i/>
              </w:rPr>
              <w:t>d</w:t>
            </w:r>
            <w:r w:rsidRPr="0033530C">
              <w:t>)</w:t>
            </w:r>
            <w:r w:rsidR="00443D68">
              <w:t xml:space="preserve"> </w:t>
            </w:r>
            <w:r w:rsidRPr="0033530C">
              <w:t>vyhlásenie o zodpovednosti prijímajúcej organizácie za náklady na pobyt a možné náklady súvisiace s vyhostením uhradené štátom podľa osobitného predpisu,</w:t>
            </w:r>
            <w:hyperlink r:id="rId7" w:anchor="poznamky.poznamka-35c" w:tooltip="Odkaz na predpis alebo ustanovenie" w:history="1">
              <w:r w:rsidRPr="0033530C">
                <w:rPr>
                  <w:rStyle w:val="Hyperlink"/>
                  <w:i/>
                  <w:iCs/>
                  <w:vertAlign w:val="superscript"/>
                  <w:lang w:val="sk-SK" w:eastAsia="ar-SA" w:bidi="ar-SA"/>
                </w:rPr>
                <w:t>35c</w:t>
              </w:r>
              <w:r w:rsidRPr="0033530C">
                <w:rPr>
                  <w:rStyle w:val="Hyperlink"/>
                  <w:i/>
                  <w:iCs/>
                  <w:lang w:val="sk-SK" w:eastAsia="ar-SA" w:bidi="ar-SA"/>
                </w:rPr>
                <w:t>)</w:t>
              </w:r>
            </w:hyperlink>
            <w:r w:rsidRPr="0033530C">
              <w:t> ak sa preukáže, že cudzinec sa zdržuje na území Slovenskej republiky nelegálne,</w:t>
            </w:r>
          </w:p>
          <w:p w:rsidR="0033530C" w:rsidRPr="0033530C" w:rsidP="00443D68">
            <w:pPr>
              <w:pStyle w:val="Normlny"/>
              <w:snapToGrid w:val="0"/>
              <w:jc w:val="both"/>
            </w:pPr>
            <w:r w:rsidRPr="00443D68">
              <w:rPr>
                <w:strike/>
              </w:rPr>
              <w:t>f</w:t>
            </w:r>
            <w:r w:rsidRPr="00443D68" w:rsidR="00443D68">
              <w:rPr>
                <w:i/>
              </w:rPr>
              <w:t>e</w:t>
            </w:r>
            <w:r w:rsidRPr="0033530C">
              <w:t>)</w:t>
            </w:r>
            <w:r w:rsidR="00443D68">
              <w:t xml:space="preserve"> </w:t>
            </w:r>
            <w:r w:rsidRPr="0033530C">
              <w:t>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w:t>
            </w:r>
            <w:hyperlink r:id="rId7" w:anchor="poznamky.poznamka-35d" w:tooltip="Odkaz na predpis alebo ustanovenie" w:history="1">
              <w:r w:rsidRPr="0033530C">
                <w:rPr>
                  <w:rStyle w:val="Hyperlink"/>
                  <w:i/>
                  <w:iCs/>
                  <w:vertAlign w:val="superscript"/>
                  <w:lang w:val="sk-SK" w:eastAsia="ar-SA" w:bidi="ar-SA"/>
                </w:rPr>
                <w:t>35d</w:t>
              </w:r>
              <w:r w:rsidRPr="0033530C">
                <w:rPr>
                  <w:rStyle w:val="Hyperlink"/>
                  <w:i/>
                  <w:iCs/>
                  <w:lang w:val="sk-SK" w:eastAsia="ar-SA" w:bidi="ar-SA"/>
                </w:rPr>
                <w:t>)</w:t>
              </w:r>
            </w:hyperlink>
          </w:p>
          <w:p w:rsidR="0033530C" w:rsidRPr="0033530C" w:rsidP="00443D68">
            <w:pPr>
              <w:pStyle w:val="Normlny"/>
              <w:snapToGrid w:val="0"/>
              <w:jc w:val="both"/>
            </w:pPr>
            <w:r w:rsidRPr="0033530C">
              <w:t>g</w:t>
            </w:r>
            <w:r w:rsidRPr="00443D68" w:rsidR="00443D68">
              <w:rPr>
                <w:i/>
              </w:rPr>
              <w:t>f</w:t>
            </w:r>
            <w:r w:rsidRPr="0033530C">
              <w:t>)</w:t>
            </w:r>
            <w:r w:rsidR="00443D68">
              <w:t xml:space="preserve"> </w:t>
            </w:r>
            <w:r w:rsidRPr="0033530C">
              <w:t>vyhlásenie prijímajúcej organizácie alebo cudzinca, ktorý nie je občanom členského štátu, že cudzinec, ktorý nie je občanom členského štátu, má počas svojho pobytu uhradené zdravotné poistenie,</w:t>
            </w:r>
            <w:hyperlink r:id="rId7" w:anchor="poznamky.poznamka-25" w:tooltip="Odkaz na predpis alebo ustanovenie" w:history="1">
              <w:r w:rsidRPr="0033530C">
                <w:rPr>
                  <w:rStyle w:val="Hyperlink"/>
                  <w:i/>
                  <w:iCs/>
                  <w:vertAlign w:val="superscript"/>
                  <w:lang w:val="sk-SK" w:eastAsia="ar-SA" w:bidi="ar-SA"/>
                </w:rPr>
                <w:t>25</w:t>
              </w:r>
              <w:r w:rsidRPr="0033530C">
                <w:rPr>
                  <w:rStyle w:val="Hyperlink"/>
                  <w:i/>
                  <w:iCs/>
                  <w:lang w:val="sk-SK" w:eastAsia="ar-SA" w:bidi="ar-SA"/>
                </w:rPr>
                <w:t>)</w:t>
              </w:r>
            </w:hyperlink>
          </w:p>
          <w:p w:rsidR="0033530C" w:rsidRPr="0033530C" w:rsidP="00443D68">
            <w:pPr>
              <w:pStyle w:val="Normlny"/>
              <w:snapToGrid w:val="0"/>
              <w:jc w:val="both"/>
            </w:pPr>
            <w:r w:rsidRPr="00443D68">
              <w:rPr>
                <w:strike/>
              </w:rPr>
              <w:t>h</w:t>
            </w:r>
            <w:r w:rsidRPr="00443D68" w:rsidR="00443D68">
              <w:rPr>
                <w:i/>
              </w:rPr>
              <w:t>g</w:t>
            </w:r>
            <w:r w:rsidRPr="0033530C">
              <w:t>)</w:t>
            </w:r>
            <w:r w:rsidR="00443D68">
              <w:t xml:space="preserve"> </w:t>
            </w:r>
            <w:r w:rsidRPr="0033530C">
              <w:t>informáciu o predpokladanom vykonávaní časti výskumu a vývoja vo výskumnej organizácii v inom členskom štáte.</w:t>
            </w:r>
          </w:p>
          <w:p w:rsidR="00443D68" w:rsidP="00443D68">
            <w:pPr>
              <w:pStyle w:val="Normlny"/>
              <w:snapToGrid w:val="0"/>
              <w:jc w:val="both"/>
            </w:pPr>
          </w:p>
          <w:p w:rsidR="0033530C" w:rsidP="00443D68">
            <w:pPr>
              <w:pStyle w:val="Normlny"/>
              <w:snapToGrid w:val="0"/>
              <w:jc w:val="both"/>
            </w:pPr>
            <w:r w:rsidRPr="0033530C">
              <w:t>(4)</w:t>
            </w:r>
            <w:r w:rsidR="00443D68">
              <w:t xml:space="preserve"> </w:t>
            </w:r>
            <w:r w:rsidRPr="0033530C">
              <w:t>Prijímajúca organizácia bezodkladne informuje ministerstvo školstva o skutočnosti, ktorá by mohla zabrániť vykonávaniu dohody o hosťovaní.</w:t>
            </w:r>
          </w:p>
          <w:p w:rsidR="00443D68" w:rsidRPr="0033530C" w:rsidP="00443D68">
            <w:pPr>
              <w:pStyle w:val="Normlny"/>
              <w:snapToGrid w:val="0"/>
              <w:jc w:val="both"/>
            </w:pPr>
          </w:p>
          <w:p w:rsidR="0033530C" w:rsidP="00443D68">
            <w:pPr>
              <w:pStyle w:val="Normlny"/>
              <w:snapToGrid w:val="0"/>
              <w:jc w:val="both"/>
            </w:pPr>
            <w:r w:rsidRPr="0033530C">
              <w:t>(5)</w:t>
            </w:r>
            <w:r w:rsidR="00443D68">
              <w:t xml:space="preserve"> </w:t>
            </w:r>
            <w:r w:rsidRPr="0033530C">
              <w:t>Dohoda o hosťovaní zaniká, ak cudzincovi nie je udelené povolenie na prechodný pobyt na účely výskumu a vývoja,</w:t>
            </w:r>
            <w:hyperlink r:id="rId7" w:anchor="poznamky.poznamka-35e" w:tooltip="Odkaz na predpis alebo ustanovenie" w:history="1">
              <w:r w:rsidRPr="0033530C">
                <w:rPr>
                  <w:rStyle w:val="Hyperlink"/>
                  <w:i/>
                  <w:iCs/>
                  <w:vertAlign w:val="superscript"/>
                  <w:lang w:val="sk-SK" w:eastAsia="ar-SA" w:bidi="ar-SA"/>
                </w:rPr>
                <w:t>35e</w:t>
              </w:r>
              <w:r w:rsidRPr="0033530C">
                <w:rPr>
                  <w:rStyle w:val="Hyperlink"/>
                  <w:i/>
                  <w:iCs/>
                  <w:lang w:val="sk-SK" w:eastAsia="ar-SA" w:bidi="ar-SA"/>
                </w:rPr>
                <w:t>)</w:t>
              </w:r>
            </w:hyperlink>
            <w:r w:rsidRPr="0033530C">
              <w:t> je ukončená jeho činnosť pre prijímajúcu organizáciu alebo prijímajúcej organizácii bolo odňaté povolenie prijímať cudzincov, ktorí nie sú občanmi členského štátu, na účely výskumu a vývoja.</w:t>
            </w:r>
          </w:p>
          <w:p w:rsidR="00443D68" w:rsidRPr="0033530C" w:rsidP="00443D68">
            <w:pPr>
              <w:pStyle w:val="Normlny"/>
              <w:snapToGrid w:val="0"/>
              <w:jc w:val="both"/>
            </w:pPr>
          </w:p>
          <w:p w:rsidR="0033530C" w:rsidP="00443D68">
            <w:pPr>
              <w:pStyle w:val="Normlny"/>
              <w:snapToGrid w:val="0"/>
              <w:jc w:val="both"/>
            </w:pPr>
            <w:r w:rsidRPr="0033530C">
              <w:t>(6)</w:t>
            </w:r>
            <w:r w:rsidR="00443D68">
              <w:t xml:space="preserve"> </w:t>
            </w:r>
            <w:r w:rsidRPr="0033530C">
              <w:t xml:space="preserve">Zodpovednosť prijímajúcej organizácie podľa odseku 3 </w:t>
            </w:r>
            <w:r w:rsidRPr="00443D68">
              <w:rPr>
                <w:strike/>
              </w:rPr>
              <w:t>písm. e)</w:t>
            </w:r>
            <w:r w:rsidRPr="0033530C">
              <w:t xml:space="preserve"> </w:t>
            </w:r>
            <w:r w:rsidRPr="00443D68" w:rsidR="00443D68">
              <w:rPr>
                <w:b/>
                <w:i/>
              </w:rPr>
              <w:t>písm. d)</w:t>
            </w:r>
            <w:r w:rsidR="00443D68">
              <w:t xml:space="preserve"> </w:t>
            </w:r>
            <w:r w:rsidRPr="0033530C">
              <w:t>zaniká šesť mesiacov po skončení platnosti dohody o hosťovaní.</w:t>
            </w:r>
            <w:r w:rsidR="00443D68">
              <w:t xml:space="preserve"> </w:t>
            </w:r>
            <w:r w:rsidRPr="00443D68" w:rsidR="00443D68">
              <w:rPr>
                <w:b/>
                <w:i/>
              </w:rPr>
              <w:t>Ak sa obnoví prechodný pobyt cudzinca35f) udelený na základe dohody o hosťovaní, zodpovednosť prijímajúcej organizácie podľa odseku 3 písm. d) zaniká dňom obnovenia prechodného pobytu.</w:t>
            </w:r>
          </w:p>
          <w:p w:rsidR="00443D68" w:rsidRPr="0033530C" w:rsidP="00443D68">
            <w:pPr>
              <w:pStyle w:val="Normlny"/>
              <w:snapToGrid w:val="0"/>
              <w:jc w:val="both"/>
            </w:pPr>
          </w:p>
          <w:p w:rsidR="0033530C" w:rsidP="00443D68">
            <w:pPr>
              <w:pStyle w:val="Normlny"/>
              <w:snapToGrid w:val="0"/>
              <w:jc w:val="both"/>
            </w:pPr>
            <w:r w:rsidRPr="0033530C">
              <w:t>(7)</w:t>
            </w:r>
            <w:r w:rsidR="00443D68">
              <w:t xml:space="preserve"> </w:t>
            </w:r>
            <w:r w:rsidRPr="0033530C">
              <w:t>Ministerstvo školstva vydáva na základe žiadosti právnickej osoby vykonávajúcej výskum a vývoj povolenie prijímať cudzincov, ktorí nie sú občanmi členského štátu, na účely výskumu a vývoja, ak</w:t>
            </w:r>
          </w:p>
          <w:p w:rsidR="00443D68" w:rsidRPr="0033530C" w:rsidP="00443D68">
            <w:pPr>
              <w:pStyle w:val="Normlny"/>
              <w:snapToGrid w:val="0"/>
              <w:jc w:val="both"/>
            </w:pPr>
          </w:p>
          <w:p w:rsidR="0033530C" w:rsidRPr="0033530C" w:rsidP="00443D68">
            <w:pPr>
              <w:pStyle w:val="Normlny"/>
              <w:snapToGrid w:val="0"/>
              <w:jc w:val="both"/>
            </w:pPr>
            <w:r w:rsidRPr="0033530C">
              <w:t>a)</w:t>
            </w:r>
            <w:r w:rsidR="00443D68">
              <w:t xml:space="preserve"> </w:t>
            </w:r>
            <w:r w:rsidRPr="0033530C">
              <w:t>má určené ciele a zámery vo výskume a vývoji,</w:t>
            </w:r>
          </w:p>
          <w:p w:rsidR="0033530C" w:rsidRPr="0033530C" w:rsidP="00443D68">
            <w:pPr>
              <w:pStyle w:val="Normlny"/>
              <w:snapToGrid w:val="0"/>
              <w:jc w:val="both"/>
            </w:pPr>
            <w:r w:rsidRPr="0033530C">
              <w:t>b)</w:t>
            </w:r>
            <w:r>
              <w:t xml:space="preserve"> </w:t>
            </w:r>
            <w:r w:rsidRPr="0033530C">
              <w:t>predloží vyhlásenie, že je ochotná podpísať dohodu o hosťovaní s cudzincom, ktorý nie je občanom členského štátu,</w:t>
            </w:r>
          </w:p>
          <w:p w:rsidR="0033530C" w:rsidRPr="0033530C" w:rsidP="00443D68">
            <w:pPr>
              <w:pStyle w:val="Normlny"/>
              <w:snapToGrid w:val="0"/>
              <w:jc w:val="both"/>
            </w:pPr>
            <w:r w:rsidRPr="0033530C">
              <w:t>c)</w:t>
            </w:r>
            <w:r>
              <w:t xml:space="preserve"> </w:t>
            </w:r>
            <w:r w:rsidRPr="0033530C">
              <w:t>preukáže prostriedky na uzatváranie dohôd o hosťovaní,</w:t>
            </w:r>
          </w:p>
          <w:p w:rsidR="0033530C" w:rsidRPr="0033530C" w:rsidP="00443D68">
            <w:pPr>
              <w:pStyle w:val="Normlny"/>
              <w:snapToGrid w:val="0"/>
              <w:jc w:val="both"/>
            </w:pPr>
            <w:r w:rsidRPr="0033530C">
              <w:t>d)</w:t>
            </w:r>
            <w:r>
              <w:t xml:space="preserve"> </w:t>
            </w:r>
            <w:r w:rsidRPr="0033530C">
              <w:t>má osvedčenie o spôsobilosti podľa</w:t>
            </w:r>
            <w:r w:rsidR="001302ED">
              <w:t xml:space="preserve"> </w:t>
            </w:r>
            <w:r w:rsidRPr="001302ED" w:rsidR="001302ED">
              <w:t>§ 26a ods.</w:t>
            </w:r>
            <w:r w:rsidR="001302ED">
              <w:t xml:space="preserve"> </w:t>
            </w:r>
            <w:r w:rsidRPr="001302ED" w:rsidR="001302ED">
              <w:t>11 alebo 12</w:t>
            </w:r>
            <w:r w:rsidRPr="0033530C">
              <w:t>.</w:t>
            </w:r>
          </w:p>
          <w:p w:rsidR="0033530C" w:rsidP="00443D68">
            <w:pPr>
              <w:pStyle w:val="Normlny"/>
              <w:snapToGrid w:val="0"/>
              <w:jc w:val="both"/>
            </w:pPr>
          </w:p>
          <w:p w:rsidR="0033530C" w:rsidRPr="0033530C" w:rsidP="00443D68">
            <w:pPr>
              <w:pStyle w:val="Normlny"/>
              <w:snapToGrid w:val="0"/>
              <w:jc w:val="both"/>
            </w:pPr>
            <w:r w:rsidRPr="0033530C">
              <w:t>(8)</w:t>
            </w:r>
            <w:r>
              <w:t xml:space="preserve"> </w:t>
            </w:r>
            <w:r w:rsidRPr="0033530C">
              <w:t>Povolenie prijímať cudzincov, ktorí nie sú občanmi členského štátu, platí päť rokov od jeho vydania. Povolenie prijímať cudzincov, ktorí nie sú občanmi členského štátu, je možné prijímajúcej organizácii vydať aj opakovane, pričom jeho vydanie je viazané na splnenie podmienok uvedených v odseku 7. Žiadateľ o povolenie v tomto prípade prikladá k žiadosti dokumentáciu v primeranom rozsahu.</w:t>
            </w:r>
          </w:p>
          <w:p w:rsidR="0033530C" w:rsidP="00443D68">
            <w:pPr>
              <w:pStyle w:val="Normlny"/>
              <w:snapToGrid w:val="0"/>
              <w:jc w:val="both"/>
            </w:pPr>
          </w:p>
          <w:p w:rsidR="0033530C" w:rsidRPr="0033530C" w:rsidP="00443D68">
            <w:pPr>
              <w:pStyle w:val="Normlny"/>
              <w:snapToGrid w:val="0"/>
              <w:jc w:val="both"/>
            </w:pPr>
            <w:r w:rsidRPr="0033530C">
              <w:t>(9)</w:t>
            </w:r>
            <w:r>
              <w:t xml:space="preserve"> </w:t>
            </w:r>
            <w:r w:rsidRPr="0033530C">
              <w:t>Ministerstvo školstva odníme prijímajúcej organizácii povolenie prijímať cudzincov, ktorí nie sú občanmi členského štátu, na účely výskumu a vývoja, ak prijímajúca organizácia</w:t>
            </w:r>
          </w:p>
          <w:p w:rsidR="0033530C" w:rsidRPr="0033530C" w:rsidP="00443D68">
            <w:pPr>
              <w:pStyle w:val="Normlny"/>
              <w:snapToGrid w:val="0"/>
              <w:jc w:val="both"/>
            </w:pPr>
            <w:r w:rsidRPr="0033530C">
              <w:t>a)</w:t>
            </w:r>
            <w:r>
              <w:t xml:space="preserve"> </w:t>
            </w:r>
            <w:r w:rsidRPr="0033530C">
              <w:t>prestala spĺňať podmienky na udelenie povolenia podľa odseku 7,</w:t>
            </w:r>
          </w:p>
          <w:p w:rsidR="0033530C" w:rsidRPr="0033530C" w:rsidP="00443D68">
            <w:pPr>
              <w:pStyle w:val="Normlny"/>
              <w:snapToGrid w:val="0"/>
              <w:jc w:val="both"/>
            </w:pPr>
            <w:r w:rsidRPr="0033530C">
              <w:t>b)</w:t>
            </w:r>
            <w:r>
              <w:t xml:space="preserve"> </w:t>
            </w:r>
            <w:r w:rsidRPr="0033530C">
              <w:t>získala povolenie uvedením nepravdivých údajov,</w:t>
            </w:r>
          </w:p>
          <w:p w:rsidR="0033530C" w:rsidRPr="0033530C" w:rsidP="00443D68">
            <w:pPr>
              <w:pStyle w:val="Normlny"/>
              <w:snapToGrid w:val="0"/>
              <w:jc w:val="both"/>
            </w:pPr>
            <w:r w:rsidRPr="0033530C">
              <w:t>c)</w:t>
            </w:r>
            <w:r>
              <w:t xml:space="preserve"> </w:t>
            </w:r>
            <w:r w:rsidRPr="0033530C">
              <w:t>uzavrela dohodu o hosťovaní, ktorá nemá všetky náležitosti,</w:t>
            </w:r>
          </w:p>
          <w:p w:rsidR="0033530C" w:rsidRPr="0033530C" w:rsidP="00443D68">
            <w:pPr>
              <w:pStyle w:val="Normlny"/>
              <w:numPr>
                <w:ilvl w:val="0"/>
                <w:numId w:val="29"/>
              </w:numPr>
              <w:snapToGrid w:val="0"/>
              <w:ind w:left="383"/>
              <w:jc w:val="both"/>
            </w:pPr>
            <w:r w:rsidRPr="0033530C">
              <w:t>opakovane si neplní povinnosti podľa odseku 12.</w:t>
            </w:r>
          </w:p>
          <w:p w:rsidR="0033530C" w:rsidP="00443D68">
            <w:pPr>
              <w:pStyle w:val="Normlny"/>
              <w:snapToGrid w:val="0"/>
              <w:ind w:left="383"/>
              <w:jc w:val="both"/>
            </w:pPr>
          </w:p>
          <w:p w:rsidR="0033530C" w:rsidRPr="0033530C" w:rsidP="00443D68">
            <w:pPr>
              <w:pStyle w:val="Normlny"/>
              <w:snapToGrid w:val="0"/>
              <w:jc w:val="both"/>
            </w:pPr>
            <w:r w:rsidRPr="0033530C">
              <w:t>(10)</w:t>
            </w:r>
            <w:r>
              <w:t xml:space="preserve"> </w:t>
            </w:r>
            <w:r w:rsidRPr="0033530C">
              <w:t>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p w:rsidR="0033530C" w:rsidP="00443D68">
            <w:pPr>
              <w:pStyle w:val="Normlny"/>
              <w:snapToGrid w:val="0"/>
              <w:jc w:val="both"/>
            </w:pPr>
          </w:p>
          <w:p w:rsidR="0033530C" w:rsidRPr="0033530C" w:rsidP="00443D68">
            <w:pPr>
              <w:pStyle w:val="Normlny"/>
              <w:snapToGrid w:val="0"/>
              <w:jc w:val="both"/>
            </w:pPr>
            <w:r w:rsidRPr="0033530C">
              <w:t>(11)</w:t>
            </w:r>
            <w:r>
              <w:t xml:space="preserve"> </w:t>
            </w:r>
            <w:r w:rsidRPr="0033530C">
              <w:t>Ministerstvo školstva zverejňuje a priebežne aktualizuje zoznam prijímajúcich organizácií prostredníctvom informačného systému a centrálneho informačného portálu.</w:t>
            </w:r>
          </w:p>
          <w:p w:rsidR="0033530C" w:rsidP="00443D68">
            <w:pPr>
              <w:pStyle w:val="Normlny"/>
              <w:snapToGrid w:val="0"/>
              <w:jc w:val="both"/>
            </w:pPr>
          </w:p>
          <w:p w:rsidR="0033530C" w:rsidRPr="0033530C" w:rsidP="00443D68">
            <w:pPr>
              <w:pStyle w:val="Normlny"/>
              <w:snapToGrid w:val="0"/>
              <w:jc w:val="both"/>
            </w:pPr>
            <w:r w:rsidRPr="0033530C">
              <w:t>(12)</w:t>
            </w:r>
            <w:r>
              <w:t xml:space="preserve"> </w:t>
            </w:r>
            <w:r w:rsidRPr="0033530C">
              <w:t>Prijímajúca organizácia je povinná bezodkladne najneskôr do dvoch mesiacov informovať ministerstvo školstva o</w:t>
            </w:r>
          </w:p>
          <w:p w:rsidR="0033530C" w:rsidRPr="0033530C" w:rsidP="00443D68">
            <w:pPr>
              <w:pStyle w:val="Normlny"/>
              <w:snapToGrid w:val="0"/>
              <w:jc w:val="both"/>
            </w:pPr>
            <w:r w:rsidRPr="0033530C">
              <w:t>a)</w:t>
            </w:r>
            <w:r>
              <w:t xml:space="preserve"> </w:t>
            </w:r>
            <w:r w:rsidRPr="0033530C">
              <w:t>predčasnom ukončení dohody o hosťovaní,</w:t>
            </w:r>
          </w:p>
          <w:p w:rsidR="0033530C" w:rsidRPr="0033530C" w:rsidP="00443D68">
            <w:pPr>
              <w:pStyle w:val="Normlny"/>
              <w:snapToGrid w:val="0"/>
              <w:jc w:val="both"/>
            </w:pPr>
            <w:r w:rsidRPr="0033530C">
              <w:t>b)</w:t>
            </w:r>
            <w:r>
              <w:t xml:space="preserve"> </w:t>
            </w:r>
            <w:r w:rsidRPr="0033530C">
              <w:t>skutočnosti, ktorá naznačuje, že sa účasť cudzinca, ktorý nie je občanom členského štátu, na projekte výskumu a vývoja končí v priebehu dvoch mesiacov,</w:t>
            </w:r>
          </w:p>
          <w:p w:rsidR="0033530C" w:rsidRPr="0033530C" w:rsidP="00443D68">
            <w:pPr>
              <w:pStyle w:val="Normlny"/>
              <w:snapToGrid w:val="0"/>
              <w:jc w:val="both"/>
            </w:pPr>
            <w:r w:rsidRPr="0033530C">
              <w:t>c)</w:t>
            </w:r>
            <w:r>
              <w:t xml:space="preserve"> </w:t>
            </w:r>
            <w:r w:rsidRPr="0033530C">
              <w:t>ukončení projektu výskumu a vývoja,</w:t>
            </w:r>
          </w:p>
          <w:p w:rsidR="0033530C" w:rsidRPr="0033530C" w:rsidP="00443D68">
            <w:pPr>
              <w:pStyle w:val="Normlny"/>
              <w:numPr>
                <w:ilvl w:val="0"/>
                <w:numId w:val="30"/>
              </w:numPr>
              <w:snapToGrid w:val="0"/>
              <w:ind w:left="383"/>
              <w:jc w:val="both"/>
            </w:pPr>
            <w:r w:rsidRPr="0033530C">
              <w:t>ukončení dohody o hosťovaní,</w:t>
            </w:r>
          </w:p>
          <w:p w:rsidR="0033530C" w:rsidRPr="0033530C" w:rsidP="00443D68">
            <w:pPr>
              <w:pStyle w:val="Normlny"/>
              <w:numPr>
                <w:ilvl w:val="0"/>
                <w:numId w:val="30"/>
              </w:numPr>
              <w:snapToGrid w:val="0"/>
              <w:ind w:left="383"/>
              <w:jc w:val="both"/>
            </w:pPr>
            <w:r w:rsidRPr="0033530C">
              <w:t>skutočnosti, ktorá bráni riešeniu projektu výskumu a vývoja.</w:t>
            </w:r>
          </w:p>
          <w:p w:rsidR="0033530C" w:rsidP="00443D68">
            <w:pPr>
              <w:pStyle w:val="Normlny"/>
              <w:snapToGrid w:val="0"/>
              <w:jc w:val="both"/>
            </w:pPr>
          </w:p>
          <w:p w:rsidR="00443D68" w:rsidP="00443D68">
            <w:pPr>
              <w:pStyle w:val="Normlny"/>
              <w:snapToGrid w:val="0"/>
              <w:jc w:val="both"/>
            </w:pPr>
            <w:r>
              <w:t>Poznámka pod čiarou k odkazu 35f znie:</w:t>
            </w:r>
          </w:p>
          <w:p w:rsidR="00443D68" w:rsidRPr="00443D68" w:rsidP="00443D68">
            <w:pPr>
              <w:pStyle w:val="Normlny"/>
              <w:snapToGrid w:val="0"/>
              <w:jc w:val="both"/>
            </w:pPr>
            <w:r w:rsidRPr="00443D68">
              <w:t>„35f) § 34 ods. 1 písm. b) zákona č. 404/2011 Z. z. o pobyte cudzincov a o zmene a doplnení niektorých zákonov v znení zákona č. 108/2018 Z. z.“.</w:t>
            </w:r>
          </w:p>
          <w:p w:rsidR="00443D68" w:rsidRPr="00656606" w:rsidP="00443D68">
            <w:pPr>
              <w:pStyle w:val="Normlny"/>
              <w:snapToGrid w:val="0"/>
              <w:jc w:val="both"/>
            </w:pPr>
          </w:p>
        </w:tc>
        <w:tc>
          <w:tcPr>
            <w:tcW w:w="426" w:type="dxa"/>
            <w:tcBorders>
              <w:top w:val="single" w:sz="4" w:space="0" w:color="000000"/>
              <w:left w:val="single" w:sz="4" w:space="0" w:color="000000"/>
              <w:bottom w:val="single" w:sz="4" w:space="0" w:color="000000"/>
            </w:tcBorders>
            <w:shd w:val="clear" w:color="auto" w:fill="auto"/>
          </w:tcPr>
          <w:p w:rsidR="0033530C" w:rsidP="00F84779">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530C" w:rsidRPr="00656606" w:rsidP="00F84779">
            <w:pPr>
              <w:pStyle w:val="Heading1"/>
              <w:snapToGrid w:val="0"/>
              <w:ind w:left="0" w:firstLine="0"/>
              <w:jc w:val="both"/>
              <w:rPr>
                <w:b w:val="0"/>
                <w:bCs w:val="0"/>
                <w:sz w:val="20"/>
                <w:szCs w:val="20"/>
              </w:rPr>
            </w:pPr>
          </w:p>
        </w:tc>
      </w:tr>
      <w:tr w:rsidTr="00952AFF">
        <w:tblPrEx>
          <w:tblW w:w="0" w:type="auto"/>
          <w:tblInd w:w="-572" w:type="dxa"/>
          <w:tblLayout w:type="fixed"/>
          <w:tblCellMar>
            <w:left w:w="43" w:type="dxa"/>
            <w:right w:w="43" w:type="dxa"/>
          </w:tblCellMar>
          <w:tblLook w:val="0000"/>
        </w:tblPrEx>
        <w:tc>
          <w:tcPr>
            <w:tcW w:w="757" w:type="dxa"/>
            <w:tcBorders>
              <w:top w:val="single" w:sz="4" w:space="0" w:color="000000"/>
              <w:left w:val="single" w:sz="4" w:space="0" w:color="000000"/>
              <w:bottom w:val="single" w:sz="4" w:space="0" w:color="000000"/>
            </w:tcBorders>
            <w:shd w:val="clear" w:color="auto" w:fill="auto"/>
          </w:tcPr>
          <w:p w:rsidR="00F84779" w:rsidRPr="00656606" w:rsidP="00F84779">
            <w:pPr>
              <w:snapToGrid w:val="0"/>
              <w:jc w:val="both"/>
              <w:rPr>
                <w:sz w:val="20"/>
                <w:szCs w:val="20"/>
              </w:rPr>
            </w:pPr>
            <w:r w:rsidRPr="00656606">
              <w:rPr>
                <w:sz w:val="20"/>
                <w:szCs w:val="20"/>
              </w:rPr>
              <w:t xml:space="preserve">C: 35 </w:t>
            </w:r>
          </w:p>
        </w:tc>
        <w:tc>
          <w:tcPr>
            <w:tcW w:w="4820" w:type="dxa"/>
            <w:tcBorders>
              <w:top w:val="single" w:sz="4" w:space="0" w:color="000000"/>
              <w:left w:val="single" w:sz="4" w:space="0" w:color="000000"/>
              <w:bottom w:val="single" w:sz="4" w:space="0" w:color="000000"/>
            </w:tcBorders>
            <w:shd w:val="clear" w:color="auto" w:fill="auto"/>
          </w:tcPr>
          <w:p w:rsidR="00F84779" w:rsidRPr="00656606" w:rsidP="00F84779">
            <w:pPr>
              <w:jc w:val="both"/>
              <w:rPr>
                <w:sz w:val="20"/>
                <w:szCs w:val="20"/>
              </w:rPr>
            </w:pPr>
            <w:r w:rsidRPr="00656606">
              <w:rPr>
                <w:sz w:val="20"/>
                <w:szCs w:val="20"/>
              </w:rPr>
              <w:t xml:space="preserve">Členské štáty zabezpečia, aby pre žiadateľov boli ľahko dostupné informácie o všetkých listinných dôkazoch potrebných k žiadosti a informácie o podmienkach vstupu a pobytu vrátane práv, povinností a procesných záruk štátnych príslušníkov tretích krajín, ktorí spadajú do rozsahu pôsobnosti tejto smernice, a prípadne ich rodinných príslušníkov. To zahŕňa – tam, kde je to vhodné – úroveň mesačných dostatočných zdrojov vrátane dostatočných zdrojov potrebných na pokrytie študijných nákladov alebo nákladov na odbornú prípravu bez toho, aby bola dotknutá možnosť individuálne preskúmať každý prípad, a príslušných poplatkov. </w:t>
            </w:r>
          </w:p>
          <w:p w:rsidR="00F84779" w:rsidRPr="00656606" w:rsidP="00F84779">
            <w:pPr>
              <w:jc w:val="both"/>
              <w:rPr>
                <w:sz w:val="20"/>
                <w:szCs w:val="20"/>
              </w:rPr>
            </w:pPr>
            <w:r w:rsidRPr="00656606">
              <w:rPr>
                <w:sz w:val="20"/>
                <w:szCs w:val="20"/>
              </w:rPr>
              <w:t>Príslušné orgány v každom členskom štáte uverejnia zoznam hostiteľských subjektov schválených na účely tejto smernice. Po akýchkoľvek zmenách takýchto zoznamov sa aktualizované verzie uverejnia čo najskôr.</w:t>
            </w:r>
          </w:p>
        </w:tc>
        <w:tc>
          <w:tcPr>
            <w:tcW w:w="708" w:type="dxa"/>
            <w:tcBorders>
              <w:top w:val="single" w:sz="4" w:space="0" w:color="000000"/>
              <w:left w:val="single" w:sz="4" w:space="0" w:color="000000"/>
              <w:bottom w:val="single" w:sz="4" w:space="0" w:color="000000"/>
            </w:tcBorders>
            <w:shd w:val="clear" w:color="auto" w:fill="auto"/>
          </w:tcPr>
          <w:p w:rsidR="00F84779" w:rsidRPr="00656606" w:rsidP="00F84779">
            <w:pPr>
              <w:snapToGrid w:val="0"/>
              <w:jc w:val="center"/>
              <w:rPr>
                <w:sz w:val="20"/>
                <w:szCs w:val="20"/>
              </w:rPr>
            </w:pPr>
            <w:r w:rsidRPr="00656606">
              <w:rPr>
                <w:sz w:val="20"/>
                <w:szCs w:val="20"/>
              </w:rPr>
              <w:t>N</w:t>
            </w:r>
          </w:p>
        </w:tc>
        <w:tc>
          <w:tcPr>
            <w:tcW w:w="851" w:type="dxa"/>
            <w:tcBorders>
              <w:top w:val="single" w:sz="4" w:space="0" w:color="000000"/>
              <w:left w:val="single" w:sz="4" w:space="0" w:color="000000"/>
              <w:bottom w:val="single" w:sz="4" w:space="0" w:color="000000"/>
            </w:tcBorders>
            <w:shd w:val="clear" w:color="auto" w:fill="auto"/>
          </w:tcPr>
          <w:p w:rsidR="00F84779" w:rsidRPr="00656606" w:rsidP="00F84779">
            <w:pPr>
              <w:snapToGrid w:val="0"/>
              <w:jc w:val="center"/>
              <w:rPr>
                <w:sz w:val="20"/>
                <w:szCs w:val="20"/>
              </w:rPr>
            </w:pPr>
            <w:r w:rsidRPr="00656606">
              <w:rPr>
                <w:sz w:val="20"/>
                <w:szCs w:val="20"/>
              </w:rPr>
              <w:t>Zákon č. 172/2005 Z. z.</w:t>
            </w: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r w:rsidRPr="00656606">
              <w:rPr>
                <w:sz w:val="20"/>
                <w:szCs w:val="20"/>
              </w:rPr>
              <w:t>Zákon č. 596/2003 Z. z.</w:t>
            </w: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P="00F84779">
            <w:pPr>
              <w:snapToGrid w:val="0"/>
              <w:jc w:val="center"/>
              <w:rPr>
                <w:sz w:val="20"/>
                <w:szCs w:val="20"/>
              </w:rPr>
            </w:pPr>
          </w:p>
          <w:p w:rsidR="00C536A0" w:rsidRPr="00656606" w:rsidP="00F84779">
            <w:pPr>
              <w:snapToGrid w:val="0"/>
              <w:jc w:val="center"/>
              <w:rPr>
                <w:sz w:val="20"/>
                <w:szCs w:val="20"/>
              </w:rPr>
            </w:pPr>
          </w:p>
          <w:p w:rsidR="00F84779" w:rsidP="00F84779">
            <w:pPr>
              <w:jc w:val="both"/>
              <w:rPr>
                <w:b/>
                <w:sz w:val="19"/>
                <w:szCs w:val="19"/>
                <w:lang w:eastAsia="cs-CZ"/>
              </w:rPr>
            </w:pPr>
            <w:r w:rsidRPr="00656606">
              <w:rPr>
                <w:sz w:val="20"/>
                <w:szCs w:val="20"/>
              </w:rPr>
              <w:t xml:space="preserve">Zákon č. </w:t>
            </w:r>
            <w:r w:rsidRPr="00C536A0">
              <w:rPr>
                <w:sz w:val="20"/>
                <w:szCs w:val="20"/>
              </w:rPr>
              <w:t>131/2002 Z. z.</w:t>
            </w:r>
            <w:r w:rsidRPr="00C536A0">
              <w:rPr>
                <w:sz w:val="19"/>
                <w:szCs w:val="19"/>
                <w:lang w:eastAsia="cs-CZ"/>
              </w:rPr>
              <w:t xml:space="preserve"> a Zákon č. .../2022 Z. z.</w:t>
            </w:r>
          </w:p>
          <w:p w:rsidR="00F84779" w:rsidRPr="00656606" w:rsidP="00F84779">
            <w:pPr>
              <w:snapToGrid w:val="0"/>
              <w:jc w:val="center"/>
              <w:rPr>
                <w:sz w:val="20"/>
                <w:szCs w:val="20"/>
              </w:rPr>
            </w:pPr>
            <w:r>
              <w:rPr>
                <w:sz w:val="20"/>
                <w:szCs w:val="20"/>
              </w:rPr>
              <w:t xml:space="preserve"> </w:t>
            </w: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p>
          <w:p w:rsidR="00F84779" w:rsidRPr="00656606" w:rsidP="00F84779">
            <w:pPr>
              <w:snapToGrid w:val="0"/>
              <w:jc w:val="center"/>
              <w:rPr>
                <w:sz w:val="20"/>
                <w:szCs w:val="20"/>
              </w:rPr>
            </w:pPr>
            <w:r w:rsidRPr="00656606">
              <w:rPr>
                <w:sz w:val="20"/>
                <w:szCs w:val="20"/>
              </w:rPr>
              <w:t>Zákon č. 282/2008 Z. z.</w:t>
            </w:r>
          </w:p>
          <w:p w:rsidR="00F84779" w:rsidRPr="00B722A5" w:rsidP="00F84779">
            <w:pPr>
              <w:snapToGrid w:val="0"/>
              <w:jc w:val="center"/>
              <w:rPr>
                <w:b/>
                <w:sz w:val="20"/>
                <w:szCs w:val="20"/>
              </w:rPr>
            </w:pPr>
          </w:p>
        </w:tc>
        <w:tc>
          <w:tcPr>
            <w:tcW w:w="709" w:type="dxa"/>
            <w:tcBorders>
              <w:top w:val="single" w:sz="4" w:space="0" w:color="000000"/>
              <w:left w:val="single" w:sz="4" w:space="0" w:color="000000"/>
              <w:bottom w:val="single" w:sz="4" w:space="0" w:color="000000"/>
            </w:tcBorders>
            <w:shd w:val="clear" w:color="auto" w:fill="auto"/>
          </w:tcPr>
          <w:p w:rsidR="00F84779" w:rsidRPr="00656606" w:rsidP="00F84779">
            <w:pPr>
              <w:pStyle w:val="Normlny"/>
              <w:snapToGrid w:val="0"/>
              <w:jc w:val="both"/>
            </w:pPr>
            <w:r w:rsidRPr="00656606">
              <w:t>§ 26b</w:t>
            </w:r>
          </w:p>
          <w:p w:rsidR="00F84779" w:rsidRPr="00656606" w:rsidP="00F84779">
            <w:pPr>
              <w:pStyle w:val="Normlny"/>
              <w:snapToGrid w:val="0"/>
              <w:jc w:val="both"/>
            </w:pPr>
            <w:r w:rsidRPr="00656606">
              <w:t>O: 11</w:t>
            </w: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r w:rsidRPr="00656606">
              <w:t>§ 15</w:t>
            </w:r>
          </w:p>
          <w:p w:rsidR="00F84779" w:rsidRPr="00656606" w:rsidP="00F84779">
            <w:pPr>
              <w:pStyle w:val="Normlny"/>
              <w:snapToGrid w:val="0"/>
              <w:jc w:val="both"/>
            </w:pPr>
            <w:r w:rsidRPr="00656606">
              <w:t>O: 1</w:t>
            </w:r>
          </w:p>
          <w:p w:rsidR="00F84779" w:rsidRPr="00656606" w:rsidP="00F84779">
            <w:pPr>
              <w:pStyle w:val="Normlny"/>
              <w:snapToGrid w:val="0"/>
              <w:jc w:val="both"/>
            </w:pPr>
          </w:p>
          <w:p w:rsidR="00F84779" w:rsidRPr="00656606" w:rsidP="00F84779">
            <w:pPr>
              <w:pStyle w:val="Normlny"/>
              <w:snapToGrid w:val="0"/>
              <w:jc w:val="both"/>
            </w:pPr>
            <w:r w:rsidRPr="00656606">
              <w:t>O: 2</w:t>
            </w: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P="00F84779">
            <w:pPr>
              <w:pStyle w:val="Normlny"/>
              <w:snapToGrid w:val="0"/>
              <w:jc w:val="both"/>
            </w:pPr>
          </w:p>
          <w:p w:rsidR="00C536A0"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r w:rsidRPr="00656606">
              <w:t>§ 102a</w:t>
            </w:r>
          </w:p>
          <w:p w:rsidR="00F84779" w:rsidRPr="00656606" w:rsidP="00F84779">
            <w:pPr>
              <w:pStyle w:val="Normlny"/>
              <w:snapToGrid w:val="0"/>
              <w:jc w:val="both"/>
            </w:pPr>
            <w:r w:rsidRPr="00656606">
              <w:t>O: 1</w:t>
            </w: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r w:rsidRPr="00656606">
              <w:t>O: 2</w:t>
            </w: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p>
          <w:p w:rsidR="00F84779" w:rsidP="00F84779">
            <w:pPr>
              <w:pStyle w:val="Normlny"/>
              <w:snapToGrid w:val="0"/>
              <w:jc w:val="both"/>
            </w:pPr>
          </w:p>
          <w:p w:rsidR="00F84779" w:rsidP="00F84779">
            <w:pPr>
              <w:pStyle w:val="Normlny"/>
              <w:snapToGrid w:val="0"/>
              <w:jc w:val="both"/>
            </w:pPr>
          </w:p>
          <w:p w:rsidR="00C536A0" w:rsidRPr="00656606" w:rsidP="00F84779">
            <w:pPr>
              <w:pStyle w:val="Normlny"/>
              <w:snapToGrid w:val="0"/>
              <w:jc w:val="both"/>
            </w:pPr>
          </w:p>
          <w:p w:rsidR="00F84779" w:rsidRPr="00656606" w:rsidP="00F84779">
            <w:pPr>
              <w:pStyle w:val="Normlny"/>
              <w:snapToGrid w:val="0"/>
              <w:jc w:val="both"/>
            </w:pPr>
            <w:r w:rsidRPr="00656606">
              <w:t xml:space="preserve">§ 9 </w:t>
            </w:r>
          </w:p>
          <w:p w:rsidR="00F84779" w:rsidRPr="00656606" w:rsidP="001302ED">
            <w:pPr>
              <w:pStyle w:val="Normlny"/>
              <w:snapToGrid w:val="0"/>
              <w:jc w:val="both"/>
            </w:pPr>
            <w:r w:rsidRPr="00656606">
              <w:t>O: 3</w:t>
            </w:r>
          </w:p>
        </w:tc>
        <w:tc>
          <w:tcPr>
            <w:tcW w:w="5244" w:type="dxa"/>
            <w:tcBorders>
              <w:top w:val="single" w:sz="4" w:space="0" w:color="000000"/>
              <w:left w:val="single" w:sz="4" w:space="0" w:color="000000"/>
              <w:bottom w:val="single" w:sz="4" w:space="0" w:color="000000"/>
            </w:tcBorders>
            <w:shd w:val="clear" w:color="auto" w:fill="auto"/>
          </w:tcPr>
          <w:p w:rsidR="00F84779" w:rsidRPr="00656606" w:rsidP="00F84779">
            <w:pPr>
              <w:pStyle w:val="Normlny"/>
              <w:snapToGrid w:val="0"/>
              <w:jc w:val="both"/>
            </w:pPr>
            <w:r w:rsidRPr="00656606">
              <w:t xml:space="preserve">(11) </w:t>
            </w:r>
            <w:r w:rsidRPr="00854E8E">
              <w:t>Ministerstvo školstva zverejňuje a priebežne aktualizuje zoznam prijímajúcich organizácií prostredníctvom informačného systému a centrálneho informačného portálu.</w:t>
            </w:r>
          </w:p>
          <w:p w:rsidR="00F84779" w:rsidRPr="00656606"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r w:rsidRPr="00656606">
              <w:t xml:space="preserve">(1) </w:t>
            </w:r>
            <w:r w:rsidRPr="00835BA5">
              <w:t>Sieť je zoznam škôl a školských zariadení, ktoré majú oprávnenie uskutočňovať výchovu a vzdelávanie.51)</w:t>
            </w:r>
          </w:p>
          <w:p w:rsidR="00F84779" w:rsidRPr="00656606" w:rsidP="00F84779">
            <w:pPr>
              <w:pStyle w:val="Normlny"/>
              <w:snapToGrid w:val="0"/>
              <w:jc w:val="both"/>
            </w:pPr>
            <w:r w:rsidRPr="00656606">
              <w:t xml:space="preserve"> </w:t>
            </w:r>
          </w:p>
          <w:p w:rsidR="00F84779" w:rsidRPr="00656606" w:rsidP="00F84779">
            <w:pPr>
              <w:pStyle w:val="Normlny"/>
              <w:snapToGrid w:val="0"/>
              <w:jc w:val="both"/>
            </w:pPr>
            <w:r w:rsidRPr="00656606">
              <w:t xml:space="preserve">(2) </w:t>
            </w:r>
            <w:r w:rsidRPr="00835BA5">
              <w:t>Sieť spravuje ministerstvo po vyjadrení príslušného regionálneho úradu, príslušného ústredného orgánu štátnej správy a orgánu územnej samosprávy a každoročne ju zverejňuje na internete. Sieť zdravotníckych škôl spravuje ministerstvo zdravotníctva.52)</w:t>
            </w:r>
          </w:p>
          <w:p w:rsidR="00F84779" w:rsidRPr="00656606" w:rsidP="00F84779">
            <w:pPr>
              <w:pStyle w:val="Normlny"/>
              <w:snapToGrid w:val="0"/>
              <w:jc w:val="both"/>
            </w:pPr>
          </w:p>
          <w:p w:rsidR="00F84779" w:rsidRPr="00656606" w:rsidP="00F84779">
            <w:pPr>
              <w:pStyle w:val="Normlny"/>
              <w:snapToGrid w:val="0"/>
              <w:jc w:val="both"/>
            </w:pPr>
            <w:r w:rsidRPr="00656606">
              <w:rPr>
                <w:vertAlign w:val="superscript"/>
              </w:rPr>
              <w:t>51</w:t>
            </w:r>
            <w:r w:rsidRPr="00656606">
              <w:t>) § 2, 9a, 10a a 33a zákona č. 29/1984 Zb. v znení neskorších predpisov.</w:t>
            </w:r>
          </w:p>
          <w:p w:rsidR="00F84779" w:rsidRPr="00656606" w:rsidP="00F84779">
            <w:pPr>
              <w:pStyle w:val="Normlny"/>
              <w:snapToGrid w:val="0"/>
              <w:jc w:val="both"/>
            </w:pPr>
            <w:r w:rsidRPr="00656606">
              <w:t>§ 1 ods. 2 zákona Národnej rady Slovenskej republiky č. 279/1993 Z. z. v znení neskorších predpisov.</w:t>
            </w:r>
          </w:p>
          <w:p w:rsidR="00F84779" w:rsidRPr="00656606" w:rsidP="00F84779">
            <w:pPr>
              <w:pStyle w:val="Normlny"/>
              <w:snapToGrid w:val="0"/>
              <w:jc w:val="both"/>
            </w:pPr>
            <w:r w:rsidRPr="00656606">
              <w:rPr>
                <w:vertAlign w:val="superscript"/>
              </w:rPr>
              <w:t>52</w:t>
            </w:r>
            <w:r w:rsidRPr="00656606">
              <w:t>) § 56 ods.1 zákona č. 277/1994 Z. z. v znení neskorších predpisov.</w:t>
            </w:r>
          </w:p>
          <w:p w:rsidR="00F84779" w:rsidP="00F84779">
            <w:pPr>
              <w:pStyle w:val="Normlny"/>
              <w:snapToGrid w:val="0"/>
              <w:jc w:val="both"/>
            </w:pPr>
          </w:p>
          <w:p w:rsidR="00F84779" w:rsidRPr="00656606" w:rsidP="00F84779">
            <w:pPr>
              <w:pStyle w:val="Normlny"/>
              <w:snapToGrid w:val="0"/>
              <w:jc w:val="both"/>
            </w:pPr>
          </w:p>
          <w:p w:rsidR="00F84779" w:rsidRPr="00656606" w:rsidP="00F84779">
            <w:pPr>
              <w:pStyle w:val="Normlny"/>
              <w:snapToGrid w:val="0"/>
              <w:jc w:val="both"/>
            </w:pPr>
            <w:r w:rsidRPr="00656606">
              <w:t xml:space="preserve">(1) </w:t>
            </w:r>
            <w:r w:rsidRPr="00854E8E">
              <w:t>Register vysokých škôl je verejným informačným systémom verejnej správy, ktorého správcom a prevádzkovateľom je ministerstvo školstva.</w:t>
            </w:r>
          </w:p>
          <w:p w:rsidR="00F84779" w:rsidRPr="00656606" w:rsidP="00F84779">
            <w:pPr>
              <w:pStyle w:val="Normlny"/>
              <w:snapToGrid w:val="0"/>
              <w:jc w:val="both"/>
            </w:pPr>
            <w:r w:rsidRPr="00656606">
              <w:t xml:space="preserve"> </w:t>
            </w:r>
          </w:p>
          <w:p w:rsidR="00F84779" w:rsidRPr="00656606" w:rsidP="00F84779">
            <w:pPr>
              <w:pStyle w:val="Normlny"/>
              <w:snapToGrid w:val="0"/>
              <w:jc w:val="both"/>
            </w:pPr>
            <w:r w:rsidRPr="00656606">
              <w:t xml:space="preserve">(2) </w:t>
            </w:r>
            <w:r w:rsidRPr="00854E8E">
              <w:t>Register vysokých škôl slúži na zhromažďovanie a zverejňovanie údajov o vysokej škole a jej súčastiach, samosprávnych orgánoch vysokej školy, členoch správnej rady verejnej vysokej školy, samosprávnych orgánoch fakúlt,</w:t>
            </w:r>
            <w:r>
              <w:t xml:space="preserve"> </w:t>
            </w:r>
            <w:r w:rsidRPr="00BA2A02">
              <w:rPr>
                <w:b/>
                <w:i/>
              </w:rPr>
              <w:t>ak sú zriadené,</w:t>
            </w:r>
            <w:r w:rsidRPr="00BA2A02">
              <w:rPr>
                <w:b/>
              </w:rPr>
              <w:t xml:space="preserve"> </w:t>
            </w:r>
            <w:r w:rsidRPr="00854E8E">
              <w:t xml:space="preserve">osobách poverených výkonom funkcie rektora, prorektoroch, vedúcich zamestnancoch vysokej školy, </w:t>
            </w:r>
            <w:r w:rsidRPr="00BA2A02">
              <w:rPr>
                <w:strike/>
              </w:rPr>
              <w:t>prodekanoch,</w:t>
            </w:r>
            <w:r w:rsidRPr="00854E8E">
              <w:t xml:space="preserve"> </w:t>
            </w:r>
            <w:r w:rsidRPr="00443D68" w:rsidR="00E45DFC">
              <w:rPr>
                <w:b/>
                <w:i/>
              </w:rPr>
              <w:t>dekanoch</w:t>
            </w:r>
            <w:r w:rsidR="00E45DFC">
              <w:t xml:space="preserve"> </w:t>
            </w:r>
            <w:r w:rsidRPr="00854E8E">
              <w:t>vedúcich zamestnancoch súčastí vysokej školy a štatutárnom orgáne súkromnej vysokej školy, na rozpočtové účely, na</w:t>
            </w:r>
            <w:r w:rsidR="00E45DFC">
              <w:t xml:space="preserve"> </w:t>
            </w:r>
            <w:r w:rsidRPr="00443D68" w:rsidR="00E45DFC">
              <w:rPr>
                <w:b/>
                <w:i/>
              </w:rPr>
              <w:t>štatistické účely</w:t>
            </w:r>
            <w:r w:rsidRPr="00854E8E">
              <w:t xml:space="preserve"> </w:t>
            </w:r>
            <w:r w:rsidRPr="00E45DFC">
              <w:rPr>
                <w:strike/>
              </w:rPr>
              <w:t>účely štatistického zisťovania</w:t>
            </w:r>
            <w:r w:rsidRPr="00854E8E">
              <w:t xml:space="preserve"> a na potreby činnosti agentúry.</w:t>
            </w:r>
          </w:p>
          <w:p w:rsidR="00F84779" w:rsidRPr="00656606" w:rsidP="00F84779">
            <w:pPr>
              <w:pStyle w:val="Normlny"/>
              <w:snapToGrid w:val="0"/>
              <w:jc w:val="both"/>
            </w:pPr>
          </w:p>
          <w:p w:rsidR="00F84779" w:rsidRPr="00656606" w:rsidP="001302ED">
            <w:pPr>
              <w:pStyle w:val="Normlny"/>
              <w:snapToGrid w:val="0"/>
              <w:jc w:val="both"/>
            </w:pPr>
            <w:r w:rsidRPr="00656606">
              <w:t xml:space="preserve">(3) </w:t>
            </w:r>
            <w:r w:rsidRPr="001C6A42">
              <w:t>Zoznam akreditovaných subjektov s uvedením činností práce s mládežou, pre ktoré bolo potvrdenie o akreditácii vydané, ako aj odobratie potvrdenia o akreditácii sa uverejňuje na internetovej stránke ministerstva a v publikačnom prostriedku ministerstva.</w:t>
            </w:r>
          </w:p>
        </w:tc>
        <w:tc>
          <w:tcPr>
            <w:tcW w:w="426" w:type="dxa"/>
            <w:tcBorders>
              <w:top w:val="single" w:sz="4" w:space="0" w:color="000000"/>
              <w:left w:val="single" w:sz="4" w:space="0" w:color="000000"/>
              <w:bottom w:val="single" w:sz="4" w:space="0" w:color="000000"/>
            </w:tcBorders>
            <w:shd w:val="clear" w:color="auto" w:fill="auto"/>
          </w:tcPr>
          <w:p w:rsidR="00F84779" w:rsidRPr="00656606" w:rsidP="00F84779">
            <w:pPr>
              <w:snapToGrid w:val="0"/>
              <w:jc w:val="center"/>
              <w:rPr>
                <w:sz w:val="20"/>
                <w:szCs w:val="20"/>
              </w:rPr>
            </w:pPr>
            <w:r>
              <w:rPr>
                <w:sz w:val="20"/>
                <w:szCs w:val="20"/>
              </w:rPr>
              <w:t>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4779" w:rsidRPr="00656606" w:rsidP="00F84779">
            <w:pPr>
              <w:pStyle w:val="Heading1"/>
              <w:snapToGrid w:val="0"/>
              <w:ind w:left="0" w:firstLine="0"/>
              <w:jc w:val="both"/>
              <w:rPr>
                <w:b w:val="0"/>
                <w:bCs w:val="0"/>
                <w:sz w:val="20"/>
                <w:szCs w:val="20"/>
              </w:rPr>
            </w:pPr>
          </w:p>
        </w:tc>
      </w:tr>
    </w:tbl>
    <w:p w:rsidR="006C5AD8" w:rsidRPr="00656606" w:rsidP="00C3513B">
      <w:pPr>
        <w:autoSpaceDE/>
        <w:jc w:val="both"/>
        <w:rPr>
          <w:sz w:val="20"/>
          <w:szCs w:val="20"/>
        </w:rPr>
      </w:pPr>
    </w:p>
    <w:p w:rsidR="006C5AD8" w:rsidRPr="00656606" w:rsidP="00C3513B">
      <w:pPr>
        <w:autoSpaceDE/>
        <w:jc w:val="both"/>
        <w:rPr>
          <w:sz w:val="20"/>
          <w:szCs w:val="20"/>
        </w:rPr>
      </w:pPr>
    </w:p>
    <w:p w:rsidR="006C5AD8" w:rsidRPr="00656606" w:rsidP="00C3513B">
      <w:pPr>
        <w:autoSpaceDE/>
        <w:jc w:val="both"/>
        <w:rPr>
          <w:sz w:val="20"/>
          <w:szCs w:val="20"/>
        </w:rPr>
      </w:pPr>
    </w:p>
    <w:p w:rsidR="002762EC" w:rsidRPr="00656606" w:rsidP="00C3513B">
      <w:pPr>
        <w:autoSpaceDE/>
        <w:jc w:val="both"/>
        <w:rPr>
          <w:sz w:val="20"/>
          <w:szCs w:val="20"/>
        </w:rPr>
      </w:pPr>
      <w:r w:rsidRPr="00656606">
        <w:rPr>
          <w:sz w:val="20"/>
          <w:szCs w:val="20"/>
        </w:rPr>
        <w:t>LEGENDA:</w:t>
      </w:r>
    </w:p>
    <w:tbl>
      <w:tblPr>
        <w:tblStyle w:val="TableNormal"/>
        <w:tblW w:w="0" w:type="auto"/>
        <w:tblLayout w:type="fixed"/>
        <w:tblCellMar>
          <w:left w:w="70" w:type="dxa"/>
          <w:right w:w="70" w:type="dxa"/>
        </w:tblCellMar>
        <w:tblLook w:val="0000"/>
      </w:tblPr>
      <w:tblGrid>
        <w:gridCol w:w="2163"/>
        <w:gridCol w:w="3719"/>
        <w:gridCol w:w="2164"/>
        <w:gridCol w:w="6081"/>
      </w:tblGrid>
      <w:tr>
        <w:tblPrEx>
          <w:tblW w:w="0" w:type="auto"/>
          <w:tblLayout w:type="fixed"/>
          <w:tblCellMar>
            <w:left w:w="70" w:type="dxa"/>
            <w:right w:w="70" w:type="dxa"/>
          </w:tblCellMar>
          <w:tblLook w:val="0000"/>
        </w:tblPrEx>
        <w:trPr>
          <w:trHeight w:val="1440"/>
        </w:trPr>
        <w:tc>
          <w:tcPr>
            <w:tcW w:w="2163" w:type="dxa"/>
            <w:shd w:val="clear" w:color="auto" w:fill="auto"/>
          </w:tcPr>
          <w:p w:rsidR="002762EC" w:rsidRPr="00656606" w:rsidP="00C3513B">
            <w:pPr>
              <w:pStyle w:val="Normlny"/>
              <w:autoSpaceDE/>
              <w:snapToGrid w:val="0"/>
              <w:spacing w:after="60"/>
              <w:jc w:val="both"/>
            </w:pPr>
            <w:r w:rsidRPr="00656606">
              <w:t>V stĺpci (1):</w:t>
            </w:r>
          </w:p>
          <w:p w:rsidR="002762EC" w:rsidRPr="00656606" w:rsidP="00C3513B">
            <w:pPr>
              <w:autoSpaceDE/>
              <w:jc w:val="both"/>
              <w:rPr>
                <w:sz w:val="20"/>
                <w:szCs w:val="20"/>
              </w:rPr>
            </w:pPr>
            <w:r w:rsidRPr="00656606">
              <w:rPr>
                <w:sz w:val="20"/>
                <w:szCs w:val="20"/>
              </w:rPr>
              <w:t>Č – článok</w:t>
            </w:r>
          </w:p>
          <w:p w:rsidR="002762EC" w:rsidRPr="00656606" w:rsidP="00C3513B">
            <w:pPr>
              <w:autoSpaceDE/>
              <w:jc w:val="both"/>
              <w:rPr>
                <w:sz w:val="20"/>
                <w:szCs w:val="20"/>
              </w:rPr>
            </w:pPr>
            <w:r w:rsidRPr="00656606">
              <w:rPr>
                <w:sz w:val="20"/>
                <w:szCs w:val="20"/>
              </w:rPr>
              <w:t>O – odsek</w:t>
            </w:r>
          </w:p>
          <w:p w:rsidR="002762EC" w:rsidRPr="00656606" w:rsidP="00C3513B">
            <w:pPr>
              <w:autoSpaceDE/>
              <w:jc w:val="both"/>
              <w:rPr>
                <w:sz w:val="20"/>
                <w:szCs w:val="20"/>
              </w:rPr>
            </w:pPr>
            <w:r w:rsidRPr="00656606">
              <w:rPr>
                <w:sz w:val="20"/>
                <w:szCs w:val="20"/>
              </w:rPr>
              <w:t>V – veta</w:t>
            </w:r>
          </w:p>
          <w:p w:rsidR="002762EC" w:rsidRPr="00656606" w:rsidP="00C3513B">
            <w:pPr>
              <w:autoSpaceDE/>
              <w:jc w:val="both"/>
              <w:rPr>
                <w:sz w:val="20"/>
                <w:szCs w:val="20"/>
              </w:rPr>
            </w:pPr>
            <w:r w:rsidRPr="00656606">
              <w:rPr>
                <w:sz w:val="20"/>
                <w:szCs w:val="20"/>
              </w:rPr>
              <w:t>P – písmeno (číslo)</w:t>
            </w:r>
          </w:p>
          <w:p w:rsidR="00F57AC5" w:rsidRPr="00656606" w:rsidP="00C3513B">
            <w:pPr>
              <w:autoSpaceDE/>
              <w:jc w:val="both"/>
              <w:rPr>
                <w:sz w:val="20"/>
                <w:szCs w:val="20"/>
              </w:rPr>
            </w:pPr>
            <w:r w:rsidRPr="00656606">
              <w:rPr>
                <w:sz w:val="20"/>
                <w:szCs w:val="20"/>
              </w:rPr>
              <w:t>B - bod</w:t>
            </w:r>
          </w:p>
          <w:p w:rsidR="002762EC" w:rsidRPr="00656606" w:rsidP="00C3513B">
            <w:pPr>
              <w:autoSpaceDE/>
              <w:jc w:val="both"/>
              <w:rPr>
                <w:sz w:val="20"/>
                <w:szCs w:val="20"/>
              </w:rPr>
            </w:pPr>
          </w:p>
        </w:tc>
        <w:tc>
          <w:tcPr>
            <w:tcW w:w="3719" w:type="dxa"/>
            <w:shd w:val="clear" w:color="auto" w:fill="auto"/>
          </w:tcPr>
          <w:p w:rsidR="002762EC" w:rsidRPr="00656606" w:rsidP="00C3513B">
            <w:pPr>
              <w:pStyle w:val="Normlny"/>
              <w:autoSpaceDE/>
              <w:snapToGrid w:val="0"/>
              <w:spacing w:after="60"/>
              <w:jc w:val="both"/>
            </w:pPr>
            <w:r w:rsidRPr="00656606">
              <w:t>V stĺpci (3):</w:t>
            </w:r>
          </w:p>
          <w:p w:rsidR="002762EC" w:rsidRPr="00656606" w:rsidP="00C3513B">
            <w:pPr>
              <w:autoSpaceDE/>
              <w:jc w:val="both"/>
              <w:rPr>
                <w:sz w:val="20"/>
                <w:szCs w:val="20"/>
              </w:rPr>
            </w:pPr>
            <w:r w:rsidRPr="00656606">
              <w:rPr>
                <w:sz w:val="20"/>
                <w:szCs w:val="20"/>
              </w:rPr>
              <w:t>N – bežná transpozícia</w:t>
            </w:r>
          </w:p>
          <w:p w:rsidR="002762EC" w:rsidRPr="00656606" w:rsidP="00C3513B">
            <w:pPr>
              <w:autoSpaceDE/>
              <w:jc w:val="both"/>
              <w:rPr>
                <w:sz w:val="20"/>
                <w:szCs w:val="20"/>
              </w:rPr>
            </w:pPr>
            <w:r w:rsidRPr="00656606">
              <w:rPr>
                <w:sz w:val="20"/>
                <w:szCs w:val="20"/>
              </w:rPr>
              <w:t>O – transpozícia s možnosťou voľby</w:t>
            </w:r>
          </w:p>
          <w:p w:rsidR="002762EC" w:rsidRPr="00656606" w:rsidP="00C3513B">
            <w:pPr>
              <w:autoSpaceDE/>
              <w:jc w:val="both"/>
              <w:rPr>
                <w:sz w:val="20"/>
                <w:szCs w:val="20"/>
              </w:rPr>
            </w:pPr>
            <w:r w:rsidRPr="00656606">
              <w:rPr>
                <w:sz w:val="20"/>
                <w:szCs w:val="20"/>
              </w:rPr>
              <w:t>D – transpozícia podľa úvahy (dobrovoľná)</w:t>
            </w:r>
          </w:p>
          <w:p w:rsidR="002762EC" w:rsidRPr="00656606" w:rsidP="00C3513B">
            <w:pPr>
              <w:autoSpaceDE/>
              <w:jc w:val="both"/>
              <w:rPr>
                <w:sz w:val="20"/>
                <w:szCs w:val="20"/>
              </w:rPr>
            </w:pPr>
            <w:r w:rsidRPr="00656606">
              <w:rPr>
                <w:sz w:val="20"/>
                <w:szCs w:val="20"/>
              </w:rPr>
              <w:t>n.a. – transpozícia sa neuskutočňuje</w:t>
            </w:r>
          </w:p>
        </w:tc>
        <w:tc>
          <w:tcPr>
            <w:tcW w:w="2164" w:type="dxa"/>
            <w:shd w:val="clear" w:color="auto" w:fill="auto"/>
          </w:tcPr>
          <w:p w:rsidR="002762EC" w:rsidRPr="00656606" w:rsidP="00C3513B">
            <w:pPr>
              <w:pStyle w:val="Normlny"/>
              <w:autoSpaceDE/>
              <w:snapToGrid w:val="0"/>
              <w:spacing w:after="60"/>
              <w:jc w:val="both"/>
            </w:pPr>
            <w:r w:rsidRPr="00656606">
              <w:t>V stĺpci (5):</w:t>
            </w:r>
          </w:p>
          <w:p w:rsidR="002762EC" w:rsidRPr="00656606" w:rsidP="00C3513B">
            <w:pPr>
              <w:autoSpaceDE/>
              <w:jc w:val="both"/>
              <w:rPr>
                <w:sz w:val="20"/>
                <w:szCs w:val="20"/>
              </w:rPr>
            </w:pPr>
            <w:r w:rsidRPr="00656606">
              <w:rPr>
                <w:sz w:val="20"/>
                <w:szCs w:val="20"/>
              </w:rPr>
              <w:t>Č – článok</w:t>
            </w:r>
          </w:p>
          <w:p w:rsidR="002762EC" w:rsidRPr="00656606" w:rsidP="00C3513B">
            <w:pPr>
              <w:autoSpaceDE/>
              <w:jc w:val="both"/>
              <w:rPr>
                <w:sz w:val="20"/>
                <w:szCs w:val="20"/>
              </w:rPr>
            </w:pPr>
            <w:r w:rsidRPr="00656606">
              <w:rPr>
                <w:sz w:val="20"/>
                <w:szCs w:val="20"/>
              </w:rPr>
              <w:t>§ – paragraf</w:t>
            </w:r>
          </w:p>
          <w:p w:rsidR="002762EC" w:rsidRPr="00656606" w:rsidP="00C3513B">
            <w:pPr>
              <w:autoSpaceDE/>
              <w:jc w:val="both"/>
              <w:rPr>
                <w:sz w:val="20"/>
                <w:szCs w:val="20"/>
              </w:rPr>
            </w:pPr>
            <w:r w:rsidRPr="00656606">
              <w:rPr>
                <w:sz w:val="20"/>
                <w:szCs w:val="20"/>
              </w:rPr>
              <w:t>O – odsek</w:t>
            </w:r>
          </w:p>
          <w:p w:rsidR="002762EC" w:rsidRPr="00656606" w:rsidP="00C3513B">
            <w:pPr>
              <w:autoSpaceDE/>
              <w:jc w:val="both"/>
              <w:rPr>
                <w:sz w:val="20"/>
                <w:szCs w:val="20"/>
              </w:rPr>
            </w:pPr>
            <w:r w:rsidRPr="00656606">
              <w:rPr>
                <w:sz w:val="20"/>
                <w:szCs w:val="20"/>
              </w:rPr>
              <w:t>V – veta</w:t>
            </w:r>
          </w:p>
          <w:p w:rsidR="002762EC" w:rsidRPr="00656606" w:rsidP="00C3513B">
            <w:pPr>
              <w:autoSpaceDE/>
              <w:jc w:val="both"/>
              <w:rPr>
                <w:sz w:val="20"/>
                <w:szCs w:val="20"/>
              </w:rPr>
            </w:pPr>
            <w:r w:rsidRPr="00656606">
              <w:rPr>
                <w:sz w:val="20"/>
                <w:szCs w:val="20"/>
              </w:rPr>
              <w:t>P – písmeno (číslo)</w:t>
            </w:r>
          </w:p>
        </w:tc>
        <w:tc>
          <w:tcPr>
            <w:tcW w:w="6081" w:type="dxa"/>
            <w:shd w:val="clear" w:color="auto" w:fill="auto"/>
          </w:tcPr>
          <w:p w:rsidR="002762EC" w:rsidRPr="00656606" w:rsidP="00C3513B">
            <w:pPr>
              <w:pStyle w:val="Normlny"/>
              <w:autoSpaceDE/>
              <w:snapToGrid w:val="0"/>
              <w:spacing w:after="60"/>
              <w:jc w:val="both"/>
            </w:pPr>
            <w:r w:rsidRPr="00656606">
              <w:t>V stĺpci (7):</w:t>
            </w:r>
          </w:p>
          <w:p w:rsidR="002762EC" w:rsidRPr="00656606" w:rsidP="00C3513B">
            <w:pPr>
              <w:autoSpaceDE/>
              <w:jc w:val="both"/>
              <w:rPr>
                <w:sz w:val="20"/>
                <w:szCs w:val="20"/>
              </w:rPr>
            </w:pPr>
            <w:r w:rsidRPr="00656606">
              <w:rPr>
                <w:sz w:val="20"/>
                <w:szCs w:val="20"/>
              </w:rPr>
              <w:t>Ú – úplná zhoda</w:t>
            </w:r>
          </w:p>
          <w:p w:rsidR="002762EC" w:rsidRPr="00656606" w:rsidP="00C3513B">
            <w:pPr>
              <w:autoSpaceDE/>
              <w:jc w:val="both"/>
              <w:rPr>
                <w:sz w:val="20"/>
                <w:szCs w:val="20"/>
              </w:rPr>
            </w:pPr>
            <w:r w:rsidRPr="00656606">
              <w:rPr>
                <w:sz w:val="20"/>
                <w:szCs w:val="20"/>
              </w:rPr>
              <w:t>Č – čiastočná zhoda</w:t>
            </w:r>
          </w:p>
          <w:p w:rsidR="002762EC" w:rsidRPr="00656606" w:rsidP="00C3513B">
            <w:pPr>
              <w:autoSpaceDE/>
              <w:jc w:val="both"/>
              <w:rPr>
                <w:sz w:val="20"/>
                <w:szCs w:val="20"/>
              </w:rPr>
            </w:pPr>
            <w:r w:rsidRPr="00656606">
              <w:rPr>
                <w:sz w:val="20"/>
                <w:szCs w:val="20"/>
              </w:rPr>
              <w:t>R – rozpor (v príp., že zatiaľ nedošlo k transp., ale príde k nej v budúcnosti)</w:t>
            </w:r>
          </w:p>
          <w:p w:rsidR="002762EC" w:rsidRPr="00C06980" w:rsidP="00C3513B">
            <w:pPr>
              <w:autoSpaceDE/>
              <w:jc w:val="both"/>
              <w:rPr>
                <w:sz w:val="20"/>
                <w:szCs w:val="20"/>
              </w:rPr>
            </w:pPr>
            <w:r w:rsidRPr="00656606">
              <w:rPr>
                <w:sz w:val="20"/>
                <w:szCs w:val="20"/>
              </w:rPr>
              <w:t>N – neaplikovateľné</w:t>
            </w:r>
          </w:p>
        </w:tc>
      </w:tr>
    </w:tbl>
    <w:p w:rsidR="002762EC" w:rsidRPr="00C06980" w:rsidP="00C3513B">
      <w:pPr>
        <w:jc w:val="both"/>
      </w:pPr>
    </w:p>
    <w:sectPr w:rsidSect="00281C98">
      <w:footerReference w:type="default" r:id="rId8"/>
      <w:pgSz w:w="16838" w:h="11906" w:orient="landscape"/>
      <w:pgMar w:top="568" w:right="1418" w:bottom="1474" w:left="1418" w:header="708" w:footer="19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0000000000000000000"/>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FF">
    <w:pPr>
      <w:pStyle w:val="Footer"/>
      <w:jc w:val="center"/>
    </w:pPr>
    <w:r>
      <w:fldChar w:fldCharType="begin"/>
    </w:r>
    <w:r>
      <w:instrText xml:space="preserve"> PAGE </w:instrText>
    </w:r>
    <w:r>
      <w:fldChar w:fldCharType="separate"/>
    </w:r>
    <w:r w:rsidR="00F04F74">
      <w:rPr>
        <w:noProof/>
      </w:rPr>
      <w:t>2</w:t>
    </w:r>
    <w:r>
      <w:fldChar w:fldCharType="end"/>
    </w:r>
  </w:p>
  <w:p w:rsidR="00952AF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4"/>
        <w:szCs w:val="2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nsid w:val="06C97974"/>
    <w:multiLevelType w:val="hybridMultilevel"/>
    <w:tmpl w:val="CD10929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607A7"/>
    <w:multiLevelType w:val="hybridMultilevel"/>
    <w:tmpl w:val="9CAE5BB8"/>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986573"/>
    <w:multiLevelType w:val="hybridMultilevel"/>
    <w:tmpl w:val="F83815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D94A5C"/>
    <w:multiLevelType w:val="hybridMultilevel"/>
    <w:tmpl w:val="4E28A6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3F7CBA"/>
    <w:multiLevelType w:val="hybridMultilevel"/>
    <w:tmpl w:val="64AC8F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5C72E8"/>
    <w:multiLevelType w:val="hybridMultilevel"/>
    <w:tmpl w:val="A0128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49159C"/>
    <w:multiLevelType w:val="hybridMultilevel"/>
    <w:tmpl w:val="7C7AF9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5E4937"/>
    <w:multiLevelType w:val="hybridMultilevel"/>
    <w:tmpl w:val="FF26E84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A907E1"/>
    <w:multiLevelType w:val="hybridMultilevel"/>
    <w:tmpl w:val="E2A6A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1218B5"/>
    <w:multiLevelType w:val="hybridMultilevel"/>
    <w:tmpl w:val="4A087E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BB302A"/>
    <w:multiLevelType w:val="hybridMultilevel"/>
    <w:tmpl w:val="43660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B10B24"/>
    <w:multiLevelType w:val="hybridMultilevel"/>
    <w:tmpl w:val="276CA4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6A7AD8"/>
    <w:multiLevelType w:val="hybridMultilevel"/>
    <w:tmpl w:val="58CC09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C4742E"/>
    <w:multiLevelType w:val="hybridMultilevel"/>
    <w:tmpl w:val="2DC2F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ED54F1"/>
    <w:multiLevelType w:val="hybridMultilevel"/>
    <w:tmpl w:val="74787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C75077"/>
    <w:multiLevelType w:val="hybridMultilevel"/>
    <w:tmpl w:val="1F402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66685C"/>
    <w:multiLevelType w:val="hybridMultilevel"/>
    <w:tmpl w:val="FAB46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094D71"/>
    <w:multiLevelType w:val="hybridMultilevel"/>
    <w:tmpl w:val="82CC70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772B82"/>
    <w:multiLevelType w:val="hybridMultilevel"/>
    <w:tmpl w:val="EE5E52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0E553C"/>
    <w:multiLevelType w:val="hybridMultilevel"/>
    <w:tmpl w:val="8C6A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585915"/>
    <w:multiLevelType w:val="hybridMultilevel"/>
    <w:tmpl w:val="CAF6E5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535FB2"/>
    <w:multiLevelType w:val="hybridMultilevel"/>
    <w:tmpl w:val="A0128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0C7C21"/>
    <w:multiLevelType w:val="hybridMultilevel"/>
    <w:tmpl w:val="A62EAD2E"/>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2C2D37"/>
    <w:multiLevelType w:val="hybridMultilevel"/>
    <w:tmpl w:val="1EE481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3"/>
  </w:num>
  <w:num w:numId="9">
    <w:abstractNumId w:val="26"/>
  </w:num>
  <w:num w:numId="10">
    <w:abstractNumId w:val="18"/>
  </w:num>
  <w:num w:numId="11">
    <w:abstractNumId w:val="19"/>
  </w:num>
  <w:num w:numId="12">
    <w:abstractNumId w:val="14"/>
  </w:num>
  <w:num w:numId="13">
    <w:abstractNumId w:val="15"/>
  </w:num>
  <w:num w:numId="14">
    <w:abstractNumId w:val="10"/>
  </w:num>
  <w:num w:numId="15">
    <w:abstractNumId w:val="23"/>
  </w:num>
  <w:num w:numId="16">
    <w:abstractNumId w:val="24"/>
  </w:num>
  <w:num w:numId="17">
    <w:abstractNumId w:val="11"/>
  </w:num>
  <w:num w:numId="18">
    <w:abstractNumId w:val="8"/>
  </w:num>
  <w:num w:numId="19">
    <w:abstractNumId w:val="12"/>
  </w:num>
  <w:num w:numId="20">
    <w:abstractNumId w:val="28"/>
  </w:num>
  <w:num w:numId="21">
    <w:abstractNumId w:val="5"/>
  </w:num>
  <w:num w:numId="22">
    <w:abstractNumId w:val="0"/>
  </w:num>
  <w:num w:numId="23">
    <w:abstractNumId w:val="22"/>
  </w:num>
  <w:num w:numId="24">
    <w:abstractNumId w:val="20"/>
  </w:num>
  <w:num w:numId="25">
    <w:abstractNumId w:val="21"/>
  </w:num>
  <w:num w:numId="26">
    <w:abstractNumId w:val="7"/>
  </w:num>
  <w:num w:numId="27">
    <w:abstractNumId w:val="25"/>
  </w:num>
  <w:num w:numId="28">
    <w:abstractNumId w:val="16"/>
  </w:num>
  <w:num w:numId="29">
    <w:abstractNumId w:val="2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02D"/>
    <w:rsid w:val="00002D78"/>
    <w:rsid w:val="00010663"/>
    <w:rsid w:val="00031365"/>
    <w:rsid w:val="000353E0"/>
    <w:rsid w:val="00044E48"/>
    <w:rsid w:val="0004546C"/>
    <w:rsid w:val="00057463"/>
    <w:rsid w:val="00063DB0"/>
    <w:rsid w:val="00070901"/>
    <w:rsid w:val="000841F4"/>
    <w:rsid w:val="00084419"/>
    <w:rsid w:val="000D3FE7"/>
    <w:rsid w:val="000D52D6"/>
    <w:rsid w:val="000E018D"/>
    <w:rsid w:val="000F73E8"/>
    <w:rsid w:val="00117217"/>
    <w:rsid w:val="00122C55"/>
    <w:rsid w:val="001302ED"/>
    <w:rsid w:val="0013372D"/>
    <w:rsid w:val="00137EF3"/>
    <w:rsid w:val="00147703"/>
    <w:rsid w:val="001652BE"/>
    <w:rsid w:val="0017288D"/>
    <w:rsid w:val="00181D9D"/>
    <w:rsid w:val="00192C8E"/>
    <w:rsid w:val="00195733"/>
    <w:rsid w:val="001A25A3"/>
    <w:rsid w:val="001B1D27"/>
    <w:rsid w:val="001B4472"/>
    <w:rsid w:val="001B77D7"/>
    <w:rsid w:val="001C6A42"/>
    <w:rsid w:val="001D3F46"/>
    <w:rsid w:val="001E1105"/>
    <w:rsid w:val="001F37F4"/>
    <w:rsid w:val="00200C34"/>
    <w:rsid w:val="00213385"/>
    <w:rsid w:val="0022095B"/>
    <w:rsid w:val="00230913"/>
    <w:rsid w:val="002321FA"/>
    <w:rsid w:val="00237B0A"/>
    <w:rsid w:val="002408C3"/>
    <w:rsid w:val="002502E6"/>
    <w:rsid w:val="00251F6C"/>
    <w:rsid w:val="002524A2"/>
    <w:rsid w:val="0026089B"/>
    <w:rsid w:val="002762EC"/>
    <w:rsid w:val="00281110"/>
    <w:rsid w:val="00281C98"/>
    <w:rsid w:val="00286EF9"/>
    <w:rsid w:val="00290210"/>
    <w:rsid w:val="00297BC9"/>
    <w:rsid w:val="002A13E0"/>
    <w:rsid w:val="002B11DC"/>
    <w:rsid w:val="002C67BE"/>
    <w:rsid w:val="002D371A"/>
    <w:rsid w:val="002D48EE"/>
    <w:rsid w:val="002F00B0"/>
    <w:rsid w:val="002F4D3A"/>
    <w:rsid w:val="00321952"/>
    <w:rsid w:val="00331A93"/>
    <w:rsid w:val="0033530C"/>
    <w:rsid w:val="00346288"/>
    <w:rsid w:val="00351E51"/>
    <w:rsid w:val="00376682"/>
    <w:rsid w:val="00381F04"/>
    <w:rsid w:val="003B4053"/>
    <w:rsid w:val="003C0968"/>
    <w:rsid w:val="003C20AC"/>
    <w:rsid w:val="003C57D1"/>
    <w:rsid w:val="003D5B00"/>
    <w:rsid w:val="003F16DB"/>
    <w:rsid w:val="00443D68"/>
    <w:rsid w:val="00446BC1"/>
    <w:rsid w:val="00447E9B"/>
    <w:rsid w:val="004533AB"/>
    <w:rsid w:val="0045591C"/>
    <w:rsid w:val="00457DF6"/>
    <w:rsid w:val="0046304D"/>
    <w:rsid w:val="0049042E"/>
    <w:rsid w:val="00490EAD"/>
    <w:rsid w:val="004919C5"/>
    <w:rsid w:val="004B3668"/>
    <w:rsid w:val="004C5AE6"/>
    <w:rsid w:val="004D0677"/>
    <w:rsid w:val="004D2453"/>
    <w:rsid w:val="004E0E51"/>
    <w:rsid w:val="004E38B1"/>
    <w:rsid w:val="004E7A1F"/>
    <w:rsid w:val="004F555A"/>
    <w:rsid w:val="005102F4"/>
    <w:rsid w:val="00514426"/>
    <w:rsid w:val="005150C1"/>
    <w:rsid w:val="005271D3"/>
    <w:rsid w:val="00544739"/>
    <w:rsid w:val="00574DC8"/>
    <w:rsid w:val="005753AD"/>
    <w:rsid w:val="00584FA8"/>
    <w:rsid w:val="00586BF4"/>
    <w:rsid w:val="005A046F"/>
    <w:rsid w:val="005A0F11"/>
    <w:rsid w:val="005C3F3E"/>
    <w:rsid w:val="005D23A9"/>
    <w:rsid w:val="005F52DE"/>
    <w:rsid w:val="005F5DBD"/>
    <w:rsid w:val="005F712D"/>
    <w:rsid w:val="00603502"/>
    <w:rsid w:val="00610141"/>
    <w:rsid w:val="006200F6"/>
    <w:rsid w:val="00622C83"/>
    <w:rsid w:val="006510DB"/>
    <w:rsid w:val="00655844"/>
    <w:rsid w:val="00656606"/>
    <w:rsid w:val="00675750"/>
    <w:rsid w:val="006C26AA"/>
    <w:rsid w:val="006C5AD8"/>
    <w:rsid w:val="006E27CF"/>
    <w:rsid w:val="00722D96"/>
    <w:rsid w:val="00727D31"/>
    <w:rsid w:val="00743796"/>
    <w:rsid w:val="00746C3B"/>
    <w:rsid w:val="007508BD"/>
    <w:rsid w:val="00751CFD"/>
    <w:rsid w:val="00777B97"/>
    <w:rsid w:val="00783697"/>
    <w:rsid w:val="00794015"/>
    <w:rsid w:val="00794E51"/>
    <w:rsid w:val="007A6A02"/>
    <w:rsid w:val="007E40FD"/>
    <w:rsid w:val="007E74A9"/>
    <w:rsid w:val="007F62E0"/>
    <w:rsid w:val="007F78CB"/>
    <w:rsid w:val="00805B65"/>
    <w:rsid w:val="00814B19"/>
    <w:rsid w:val="008307A2"/>
    <w:rsid w:val="00835BA5"/>
    <w:rsid w:val="00837230"/>
    <w:rsid w:val="00843197"/>
    <w:rsid w:val="008453C8"/>
    <w:rsid w:val="008536FF"/>
    <w:rsid w:val="00854E8E"/>
    <w:rsid w:val="00874C8D"/>
    <w:rsid w:val="008835B3"/>
    <w:rsid w:val="00885ABC"/>
    <w:rsid w:val="00886301"/>
    <w:rsid w:val="008A5525"/>
    <w:rsid w:val="008B34D9"/>
    <w:rsid w:val="008C7B24"/>
    <w:rsid w:val="008D202D"/>
    <w:rsid w:val="008D26B8"/>
    <w:rsid w:val="008D4652"/>
    <w:rsid w:val="008E4393"/>
    <w:rsid w:val="008F200A"/>
    <w:rsid w:val="008F5A48"/>
    <w:rsid w:val="00905F7B"/>
    <w:rsid w:val="00907AB2"/>
    <w:rsid w:val="009359FA"/>
    <w:rsid w:val="009528FC"/>
    <w:rsid w:val="00952AF3"/>
    <w:rsid w:val="00952AFF"/>
    <w:rsid w:val="009579B3"/>
    <w:rsid w:val="009658D3"/>
    <w:rsid w:val="00965CCA"/>
    <w:rsid w:val="00974A5B"/>
    <w:rsid w:val="00975F01"/>
    <w:rsid w:val="009805D0"/>
    <w:rsid w:val="00980C28"/>
    <w:rsid w:val="00981AA2"/>
    <w:rsid w:val="009966B2"/>
    <w:rsid w:val="009C0DFD"/>
    <w:rsid w:val="009C12DF"/>
    <w:rsid w:val="009C1DFE"/>
    <w:rsid w:val="009D78E0"/>
    <w:rsid w:val="009D7C2F"/>
    <w:rsid w:val="009E1DCB"/>
    <w:rsid w:val="009E39D6"/>
    <w:rsid w:val="009E6457"/>
    <w:rsid w:val="009E6D48"/>
    <w:rsid w:val="009F49A8"/>
    <w:rsid w:val="00A05B75"/>
    <w:rsid w:val="00A26B1C"/>
    <w:rsid w:val="00A31E60"/>
    <w:rsid w:val="00A405C3"/>
    <w:rsid w:val="00A41050"/>
    <w:rsid w:val="00A445AC"/>
    <w:rsid w:val="00A457EF"/>
    <w:rsid w:val="00A47E57"/>
    <w:rsid w:val="00A5210E"/>
    <w:rsid w:val="00A6092A"/>
    <w:rsid w:val="00A65FED"/>
    <w:rsid w:val="00A76874"/>
    <w:rsid w:val="00A840F5"/>
    <w:rsid w:val="00A93DFC"/>
    <w:rsid w:val="00A94EA7"/>
    <w:rsid w:val="00AA572E"/>
    <w:rsid w:val="00AB71A1"/>
    <w:rsid w:val="00AC5A96"/>
    <w:rsid w:val="00AC7E68"/>
    <w:rsid w:val="00AD738B"/>
    <w:rsid w:val="00AE3A8B"/>
    <w:rsid w:val="00AF0669"/>
    <w:rsid w:val="00AF0B3B"/>
    <w:rsid w:val="00AF19E0"/>
    <w:rsid w:val="00AF756D"/>
    <w:rsid w:val="00B0159E"/>
    <w:rsid w:val="00B05F44"/>
    <w:rsid w:val="00B26107"/>
    <w:rsid w:val="00B33FE5"/>
    <w:rsid w:val="00B346EE"/>
    <w:rsid w:val="00B34F03"/>
    <w:rsid w:val="00B41CD0"/>
    <w:rsid w:val="00B41FC3"/>
    <w:rsid w:val="00B531EC"/>
    <w:rsid w:val="00B533EF"/>
    <w:rsid w:val="00B646BF"/>
    <w:rsid w:val="00B722A5"/>
    <w:rsid w:val="00B742F9"/>
    <w:rsid w:val="00B84BDE"/>
    <w:rsid w:val="00BA2A02"/>
    <w:rsid w:val="00BC3637"/>
    <w:rsid w:val="00BD4FC2"/>
    <w:rsid w:val="00BE0A51"/>
    <w:rsid w:val="00BE26D3"/>
    <w:rsid w:val="00BE30FC"/>
    <w:rsid w:val="00BE4972"/>
    <w:rsid w:val="00BE5D1C"/>
    <w:rsid w:val="00BF2AA6"/>
    <w:rsid w:val="00BF3130"/>
    <w:rsid w:val="00BF5584"/>
    <w:rsid w:val="00C06980"/>
    <w:rsid w:val="00C13E6E"/>
    <w:rsid w:val="00C23C8F"/>
    <w:rsid w:val="00C3513B"/>
    <w:rsid w:val="00C536A0"/>
    <w:rsid w:val="00C54DFE"/>
    <w:rsid w:val="00C74D95"/>
    <w:rsid w:val="00C7531D"/>
    <w:rsid w:val="00C855CB"/>
    <w:rsid w:val="00C8640A"/>
    <w:rsid w:val="00C864EA"/>
    <w:rsid w:val="00C90348"/>
    <w:rsid w:val="00C9351F"/>
    <w:rsid w:val="00C97109"/>
    <w:rsid w:val="00C97943"/>
    <w:rsid w:val="00CB0578"/>
    <w:rsid w:val="00CB248A"/>
    <w:rsid w:val="00CB3F59"/>
    <w:rsid w:val="00CC7162"/>
    <w:rsid w:val="00CD445F"/>
    <w:rsid w:val="00D00023"/>
    <w:rsid w:val="00D17AE2"/>
    <w:rsid w:val="00D30378"/>
    <w:rsid w:val="00D31E7E"/>
    <w:rsid w:val="00D43932"/>
    <w:rsid w:val="00D46E56"/>
    <w:rsid w:val="00D6212C"/>
    <w:rsid w:val="00D75E8B"/>
    <w:rsid w:val="00D77E39"/>
    <w:rsid w:val="00D902AB"/>
    <w:rsid w:val="00DA06E7"/>
    <w:rsid w:val="00DA26D9"/>
    <w:rsid w:val="00DA2A59"/>
    <w:rsid w:val="00DB12AC"/>
    <w:rsid w:val="00DB3B46"/>
    <w:rsid w:val="00DC1CFD"/>
    <w:rsid w:val="00DC4D3F"/>
    <w:rsid w:val="00DC5532"/>
    <w:rsid w:val="00DC6E10"/>
    <w:rsid w:val="00DD01FC"/>
    <w:rsid w:val="00DD3B4A"/>
    <w:rsid w:val="00DE6BC0"/>
    <w:rsid w:val="00DE6C47"/>
    <w:rsid w:val="00DF282F"/>
    <w:rsid w:val="00DF2ECC"/>
    <w:rsid w:val="00E11BE2"/>
    <w:rsid w:val="00E21030"/>
    <w:rsid w:val="00E238EA"/>
    <w:rsid w:val="00E25526"/>
    <w:rsid w:val="00E4315D"/>
    <w:rsid w:val="00E45DFC"/>
    <w:rsid w:val="00E625C5"/>
    <w:rsid w:val="00E76592"/>
    <w:rsid w:val="00E77920"/>
    <w:rsid w:val="00E90371"/>
    <w:rsid w:val="00E945B6"/>
    <w:rsid w:val="00E95D85"/>
    <w:rsid w:val="00E96488"/>
    <w:rsid w:val="00EB5A79"/>
    <w:rsid w:val="00EB644C"/>
    <w:rsid w:val="00EC60EB"/>
    <w:rsid w:val="00ED10E1"/>
    <w:rsid w:val="00ED56A5"/>
    <w:rsid w:val="00ED59AE"/>
    <w:rsid w:val="00ED6145"/>
    <w:rsid w:val="00F04F74"/>
    <w:rsid w:val="00F05089"/>
    <w:rsid w:val="00F20E7E"/>
    <w:rsid w:val="00F24C27"/>
    <w:rsid w:val="00F27F39"/>
    <w:rsid w:val="00F57AC5"/>
    <w:rsid w:val="00F65C48"/>
    <w:rsid w:val="00F67029"/>
    <w:rsid w:val="00F720A5"/>
    <w:rsid w:val="00F776F2"/>
    <w:rsid w:val="00F84779"/>
    <w:rsid w:val="00F87924"/>
    <w:rsid w:val="00FB2516"/>
    <w:rsid w:val="00FB6928"/>
    <w:rsid w:val="00FC572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E7A1F"/>
    <w:pPr>
      <w:suppressAutoHyphens/>
      <w:autoSpaceDE w:val="0"/>
    </w:pPr>
    <w:rPr>
      <w:sz w:val="24"/>
      <w:szCs w:val="24"/>
      <w:lang w:val="sk-SK" w:eastAsia="ar-SA" w:bidi="ar-SA"/>
    </w:rPr>
  </w:style>
  <w:style w:type="paragraph" w:styleId="Heading1">
    <w:name w:val="heading 1"/>
    <w:basedOn w:val="Normal"/>
    <w:next w:val="Normal"/>
    <w:qFormat/>
    <w:pPr>
      <w:keepNext/>
      <w:numPr>
        <w:ilvl w:val="0"/>
        <w:numId w:val="1"/>
      </w:numPr>
      <w:jc w:val="center"/>
      <w:outlineLvl w:val="0"/>
    </w:pPr>
    <w:rPr>
      <w:b/>
      <w:bCs/>
    </w:rPr>
  </w:style>
  <w:style w:type="paragraph" w:styleId="Heading4">
    <w:name w:val="heading 4"/>
    <w:basedOn w:val="Normal"/>
    <w:next w:val="Normal"/>
    <w:qFormat/>
    <w:pPr>
      <w:keepNext/>
      <w:numPr>
        <w:ilvl w:val="3"/>
        <w:numId w:val="1"/>
      </w:numPr>
      <w:jc w:val="center"/>
      <w:outlineLvl w:val="3"/>
    </w:pPr>
    <w:rPr>
      <w:b/>
      <w:bCs/>
      <w:sz w:val="22"/>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Times New Roman" w:hAnsi="Times New Roman" w:cs="Times New Roman"/>
      <w:sz w:val="24"/>
      <w:szCs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eastAsia="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eastAsia="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3z0">
    <w:name w:val="WW8Num3z0"/>
    <w:rPr>
      <w:color w:val="auto"/>
    </w:rPr>
  </w:style>
  <w:style w:type="character" w:customStyle="1" w:styleId="WW8Num4z0">
    <w:name w:val="WW8Num4z0"/>
    <w:rPr>
      <w:rFonts w:cs="Times New Roman"/>
    </w:rPr>
  </w:style>
  <w:style w:type="character" w:customStyle="1" w:styleId="WW8Num4z2">
    <w:name w:val="WW8Num4z2"/>
    <w:rPr>
      <w:rFonts w:cs="Times New Roman"/>
      <w:color w:val="auto"/>
    </w:rPr>
  </w:style>
  <w:style w:type="character" w:customStyle="1" w:styleId="WW8Num6z0">
    <w:name w:val="WW8Num6z0"/>
    <w:rPr>
      <w:rFonts w:cs="Times New Roman"/>
    </w:rPr>
  </w:style>
  <w:style w:type="character" w:customStyle="1" w:styleId="WW8Num10z1">
    <w:name w:val="WW8Num10z1"/>
    <w:rPr>
      <w:color w:val="auto"/>
    </w:rPr>
  </w:style>
  <w:style w:type="character" w:customStyle="1" w:styleId="WW8Num11z2">
    <w:name w:val="WW8Num11z2"/>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48z0">
    <w:name w:val="WW8Num48z0"/>
    <w:rPr>
      <w:color w:val="auto"/>
    </w:rPr>
  </w:style>
  <w:style w:type="character" w:customStyle="1" w:styleId="WW8Num49z0">
    <w:name w:val="WW8Num49z0"/>
    <w:rPr>
      <w:rFonts w:cs="Times New Roman"/>
    </w:rPr>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szCs w:val="16"/>
    </w:rPr>
  </w:style>
  <w:style w:type="character" w:customStyle="1" w:styleId="num1">
    <w:name w:val="num1"/>
    <w:rPr>
      <w:b/>
      <w:bCs/>
      <w:color w:val="303030"/>
    </w:rPr>
  </w:style>
  <w:style w:type="character" w:customStyle="1" w:styleId="PtaChar">
    <w:name w:val="Päta Char"/>
    <w:rPr>
      <w:rFonts w:ascii="Arial" w:hAnsi="Arial" w:cs="Arial"/>
      <w:sz w:val="22"/>
      <w:szCs w:val="22"/>
    </w:rPr>
  </w:style>
  <w:style w:type="paragraph" w:customStyle="1" w:styleId="Nadpis">
    <w:name w:val="Nadpis"/>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before="0" w:after="120"/>
    </w:pPr>
  </w:style>
  <w:style w:type="paragraph" w:styleId="List">
    <w:name w:val="List"/>
    <w:basedOn w:val="BodyText"/>
    <w:rPr>
      <w:rFonts w:cs="Mangal"/>
    </w:rPr>
  </w:style>
  <w:style w:type="paragraph" w:customStyle="1" w:styleId="Popisok">
    <w:name w:val="Popisok"/>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pPr>
      <w:spacing w:before="0" w:after="120" w:line="480" w:lineRule="auto"/>
    </w:pPr>
  </w:style>
  <w:style w:type="paragraph" w:customStyle="1" w:styleId="Normlny">
    <w:name w:val="_Normálny"/>
    <w:basedOn w:val="Normal"/>
    <w:rPr>
      <w:sz w:val="20"/>
      <w:szCs w:val="20"/>
    </w:rPr>
  </w:style>
  <w:style w:type="paragraph" w:styleId="FootnoteText">
    <w:name w:val="footnote text"/>
    <w:basedOn w:val="Normal"/>
    <w:rPr>
      <w:sz w:val="20"/>
      <w:szCs w:val="20"/>
    </w:rPr>
  </w:style>
  <w:style w:type="paragraph" w:styleId="Footer">
    <w:name w:val="footer"/>
    <w:basedOn w:val="Normal"/>
    <w:pPr>
      <w:tabs>
        <w:tab w:val="center" w:pos="4536"/>
        <w:tab w:val="right" w:pos="9072"/>
      </w:tabs>
    </w:pPr>
    <w:rPr>
      <w:rFonts w:ascii="Arial" w:hAnsi="Arial" w:cs="Arial"/>
      <w:sz w:val="22"/>
      <w:szCs w:val="22"/>
    </w:rPr>
  </w:style>
  <w:style w:type="paragraph" w:styleId="NormalWeb">
    <w:name w:val="Normal (Web)"/>
    <w:basedOn w:val="Normal"/>
    <w:pPr>
      <w:autoSpaceDE/>
      <w:spacing w:before="280" w:after="280"/>
    </w:pPr>
    <w:rPr>
      <w:rFonts w:ascii="Arial Unicode MS" w:eastAsia="Arial Unicode MS" w:hAnsi="Arial Unicode MS" w:cs="Arial Unicode MS"/>
      <w:lang w:val="cs-CZ"/>
    </w:rPr>
  </w:style>
  <w:style w:type="paragraph" w:customStyle="1" w:styleId="Default">
    <w:name w:val="Default"/>
    <w:pPr>
      <w:suppressAutoHyphens/>
      <w:autoSpaceDE w:val="0"/>
    </w:pPr>
    <w:rPr>
      <w:rFonts w:ascii="EUAlbertina" w:eastAsia="Arial" w:hAnsi="EUAlbertina" w:cs="EUAlbertina"/>
      <w:color w:val="000000"/>
      <w:sz w:val="24"/>
      <w:szCs w:val="24"/>
      <w:lang w:val="sk-SK" w:eastAsia="ar-SA" w:bidi="ar-SA"/>
    </w:rPr>
  </w:style>
  <w:style w:type="paragraph" w:customStyle="1" w:styleId="CM4">
    <w:name w:val="CM4"/>
    <w:basedOn w:val="Default"/>
    <w:next w:val="Default"/>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customStyle="1" w:styleId="ListParagraph">
    <w:name w:val="List Paragraph"/>
    <w:basedOn w:val="Normal"/>
    <w:pPr>
      <w:autoSpaceDE/>
      <w:ind w:left="708" w:right="0" w:firstLine="0"/>
    </w:pPr>
  </w:style>
  <w:style w:type="paragraph" w:customStyle="1" w:styleId="Obsahtabuky">
    <w:name w:val="Obsah tabuľky"/>
    <w:basedOn w:val="Normal"/>
    <w:pPr>
      <w:suppressLineNumbers/>
    </w:pPr>
  </w:style>
  <w:style w:type="paragraph" w:customStyle="1" w:styleId="Nadpistabuky">
    <w:name w:val="Nadpis tabuľky"/>
    <w:basedOn w:val="Obsahtabuky"/>
    <w:pPr>
      <w:suppressLineNumbers/>
      <w:jc w:val="center"/>
    </w:pPr>
    <w:rPr>
      <w:b/>
      <w:bCs/>
    </w:rPr>
  </w:style>
  <w:style w:type="paragraph" w:customStyle="1" w:styleId="Obsahrmca">
    <w:name w:val="Obsah rámca"/>
    <w:basedOn w:val="BodyText"/>
  </w:style>
  <w:style w:type="paragraph" w:styleId="Header">
    <w:name w:val="header"/>
    <w:basedOn w:val="Normal"/>
    <w:pPr>
      <w:suppressLineNumbers/>
      <w:tabs>
        <w:tab w:val="center" w:pos="4819"/>
        <w:tab w:val="right" w:pos="9638"/>
      </w:tabs>
    </w:pPr>
  </w:style>
  <w:style w:type="paragraph" w:styleId="BalloonText">
    <w:name w:val="Balloon Text"/>
    <w:basedOn w:val="Normal"/>
    <w:rPr>
      <w:rFonts w:ascii="Tahoma" w:hAnsi="Tahoma" w:cs="Tahoma"/>
      <w:sz w:val="16"/>
      <w:szCs w:val="16"/>
    </w:rPr>
  </w:style>
  <w:style w:type="paragraph" w:customStyle="1" w:styleId="l71">
    <w:name w:val="l71"/>
    <w:basedOn w:val="Normal"/>
    <w:pPr>
      <w:suppressAutoHyphens w:val="0"/>
      <w:autoSpaceDE/>
      <w:jc w:val="both"/>
    </w:pPr>
  </w:style>
  <w:style w:type="paragraph" w:styleId="NoSpacing">
    <w:name w:val="No Spacing"/>
    <w:uiPriority w:val="1"/>
    <w:qFormat/>
    <w:rsid w:val="00010663"/>
    <w:pPr>
      <w:suppressAutoHyphens/>
      <w:autoSpaceDE w:val="0"/>
    </w:pPr>
    <w:rPr>
      <w:sz w:val="24"/>
      <w:szCs w:val="24"/>
      <w:lang w:val="sk-SK" w:eastAsia="ar-SA" w:bidi="ar-SA"/>
    </w:rPr>
  </w:style>
  <w:style w:type="character" w:styleId="Nevyrieenzmienka">
    <w:name w:val="Nevyriešená zmienka"/>
    <w:uiPriority w:val="99"/>
    <w:semiHidden/>
    <w:unhideWhenUsed/>
    <w:rsid w:val="003353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lov-lex.sk/pravne-predpisy/SK/ZZ/2005/172/20211101" TargetMode="External" /><Relationship Id="rId8" Type="http://schemas.openxmlformats.org/officeDocument/2006/relationships/footer" Target="footer1.xml" /><Relationship Id="rId9" Type="http://schemas.openxmlformats.org/officeDocument/2006/relationships/numbering" Target="numbering.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8F20-919F-44FF-B092-8FBB580A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D889A6-A433-4109-897C-B83095B20E47}">
  <ds:schemaRefs>
    <ds:schemaRef ds:uri="http://schemas.microsoft.com/sharepoint/v3/contenttype/forms"/>
  </ds:schemaRefs>
</ds:datastoreItem>
</file>

<file path=customXml/itemProps3.xml><?xml version="1.0" encoding="utf-8"?>
<ds:datastoreItem xmlns:ds="http://schemas.openxmlformats.org/officeDocument/2006/customXml" ds:itemID="{E41DD3C1-7F78-4F2B-BBD3-C684E97C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3312</Words>
  <Characters>18879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Katarína Cabalová</cp:lastModifiedBy>
  <cp:revision>2</cp:revision>
  <cp:lastPrinted>2017-05-11T10:08:00Z</cp:lastPrinted>
  <dcterms:created xsi:type="dcterms:W3CDTF">2021-12-12T20:17:00Z</dcterms:created>
  <dcterms:modified xsi:type="dcterms:W3CDTF">2021-12-12T20:17:00Z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COO.2145.1000.3.4630613</vt:lpwstr>
  </property>
  <property fmtid="{D5CDD505-2E9C-101B-9397-08002B2CF9AE}" pid="3" name="FSC#FSCFOLIO@1.1001:docpropproject">
    <vt:lpwstr/>
  </property>
  <property fmtid="{D5CDD505-2E9C-101B-9397-08002B2CF9AE}" pid="4" name="FSC#SKEDITIONSLOVLEX@103.510:aktualnyrok">
    <vt:lpwstr>2021</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&lt;p&gt;Ministerstvo školstva, vedy, výskumu a&amp;nbsp;športu Slovenskej republiky predkladá na základe Programového vyhlásenia vlády Slovenskej republiky na roky 2021 až 2024, Rámcového plánu legislatívnych úloh vlády Slovenskej republiky na VIII. volebné obdobi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školstva, vedy, výskumu a športu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LP/2021/596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Hlavný štátny radca</vt:lpwstr>
  </property>
  <property fmtid="{D5CDD505-2E9C-101B-9397-08002B2CF9AE}" pid="119" name="FSC#SKEDITIONSLOVLEX@103.510:funkciaPredAkuzativ">
    <vt:lpwstr>Hlavného štátneho radca</vt:lpwstr>
  </property>
  <property fmtid="{D5CDD505-2E9C-101B-9397-08002B2CF9AE}" pid="120" name="FSC#SKEDITIONSLOVLEX@103.510:funkciaPredDativ">
    <vt:lpwstr>Hlavnému štátnemu radcovi</vt:lpwstr>
  </property>
  <property fmtid="{D5CDD505-2E9C-101B-9397-08002B2CF9AE}" pid="121" name="FSC#SKEDITIONSLOVLEX@103.510:funkciaZodpPred">
    <vt:lpwstr>minister školstva, vedy, výskumu a športu SR</vt:lpwstr>
  </property>
  <property fmtid="{D5CDD505-2E9C-101B-9397-08002B2CF9AE}" pid="122" name="FSC#SKEDITIONSLOVLEX@103.510:funkciaZodpPredAkuzativ">
    <vt:lpwstr>ministra školstva, vedy, výskumu a športu SR</vt:lpwstr>
  </property>
  <property fmtid="{D5CDD505-2E9C-101B-9397-08002B2CF9AE}" pid="123" name="FSC#SKEDITIONSLOVLEX@103.510:funkciaZodpPredDativ">
    <vt:lpwstr>ministrovi školstva, vedy, výskumu a športu SR</vt:lpwstr>
  </property>
  <property fmtid="{D5CDD505-2E9C-101B-9397-08002B2CF9AE}" pid="124" name="FSC#SKEDITIONSLOVLEX@103.510:legoblast">
    <vt:lpwstr>Vysoké a vyššie školstvo
Veda, technika, výskumníctvo</vt:lpwstr>
  </property>
  <property fmtid="{D5CDD505-2E9C-101B-9397-08002B2CF9AE}" pid="125" name="FSC#SKEDITIONSLOVLEX@103.510:nazovpredpis">
    <vt:lpwstr>, ktorým sa mení a dopĺňa zákon č. 131/2002 Z. z. o vysokých školách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131/2002 Z. z. o vysokých školách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roky 2021 až 2024, Rámcový plánu legislatívnych úloh vlády Slovenskej republiky na VIII. volebné obdobie a Plán legislatívnych úloh vlády Slovenskej republiky na mesiace jún až december 2021 </vt:lpwstr>
  </property>
  <property fmtid="{D5CDD505-2E9C-101B-9397-08002B2CF9AE}" pid="136" name="FSC#SKEDITIONSLOVLEX@103.510:povodpredpis">
    <vt:lpwstr>Slovlex (eLeg)</vt:lpwstr>
  </property>
  <property fmtid="{D5CDD505-2E9C-101B-9397-08002B2CF9AE}" pid="137" name="FSC#SKEDITIONSLOVLEX@103.510:predkladatel">
    <vt:lpwstr>Mgr. Katarína Cabalová</vt:lpwstr>
  </property>
  <property fmtid="{D5CDD505-2E9C-101B-9397-08002B2CF9AE}" pid="138" name="FSC#SKEDITIONSLOVLEX@103.510:predkladateliaObalSD">
    <vt:lpwstr>Mgr. Branislav Gröhling
minister školstva, vedy, výskumu a športu SR</vt:lpwstr>
  </property>
  <property fmtid="{D5CDD505-2E9C-101B-9397-08002B2CF9AE}" pid="139" name="FSC#SKEDITIONSLOVLEX@103.510:pripomienkovatelia">
    <vt:lpwstr>Ministerstvo školstva, vedy, výskumu a športu Slovenskej republiky, Ministerstvo školstva, vedy, výskumu a športu Slovenskej republiky, Ministerstvo školstva, vedy, výskumu a športu Slovenskej republiky</vt:lpwstr>
  </property>
  <property fmtid="{D5CDD505-2E9C-101B-9397-08002B2CF9AE}" pid="140" name="FSC#SKEDITIONSLOVLEX@103.510:rezortcislopredpis">
    <vt:lpwstr>2021/20426-A1810</vt:lpwstr>
  </property>
  <property fmtid="{D5CDD505-2E9C-101B-9397-08002B2CF9AE}" pid="141" name="FSC#SKEDITIONSLOVLEX@103.510:spiscislouv">
    <vt:lpwstr/>
  </property>
  <property fmtid="{D5CDD505-2E9C-101B-9397-08002B2CF9AE}" pid="142" name="FSC#SKEDITIONSLOVLEX@103.510:spravaucastverej">
    <vt:lpwstr>&lt;p style="margin: 1em 0px; text-align: justify;"&gt;Verejnosť bola o príprave návrhu zákona informovaná v rámci rámcového plánu legislatívnych úloh vlády SR na VIII. volebné obdobie a v rámci návrhu plánu legislatívnych úloh vlády SR na rok 2021 (schváleného</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22. 10. 2021</vt:lpwstr>
  </property>
  <property fmtid="{D5CDD505-2E9C-101B-9397-08002B2CF9AE}" pid="150" name="FSC#SKEDITIONSLOVLEX@103.510:vztahypredpis">
    <vt:lpwstr/>
  </property>
  <property fmtid="{D5CDD505-2E9C-101B-9397-08002B2CF9AE}" pid="151" name="FSC#SKEDITIONSLOVLEX@103.510:zodpinstitucia">
    <vt:lpwstr>Ministerstvo školstva, vedy, výskumu a športu Slovenskej republiky</vt:lpwstr>
  </property>
  <property fmtid="{D5CDD505-2E9C-101B-9397-08002B2CF9AE}" pid="152" name="FSC#SKEDITIONSLOVLEX@103.510:zodppredkladatel">
    <vt:lpwstr>Mgr. Branislav Gröhling</vt:lpwstr>
  </property>
</Properties>
</file>