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0E8E6A84" w:rsidR="00054C41" w:rsidRPr="001F1B43" w:rsidRDefault="00054C41" w:rsidP="00B234BB">
      <w:pPr>
        <w:ind w:left="1985" w:hanging="1985"/>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B234BB">
        <w:rPr>
          <w:rFonts w:ascii="Times New Roman" w:eastAsia="Calibri" w:hAnsi="Times New Roman" w:cs="Times New Roman"/>
          <w:b/>
          <w:sz w:val="24"/>
          <w:szCs w:val="24"/>
        </w:rPr>
        <w:t xml:space="preserve"> </w:t>
      </w:r>
      <w:r w:rsidR="00B234BB">
        <w:rPr>
          <w:rFonts w:ascii="Times New Roman" w:eastAsia="Calibri" w:hAnsi="Times New Roman" w:cs="Times New Roman"/>
          <w:b/>
          <w:sz w:val="24"/>
          <w:szCs w:val="24"/>
        </w:rPr>
        <w:tab/>
      </w:r>
      <w:r w:rsidR="00B234BB" w:rsidRPr="00B234BB">
        <w:rPr>
          <w:rFonts w:ascii="Times New Roman" w:eastAsia="Calibri" w:hAnsi="Times New Roman" w:cs="Times New Roman"/>
          <w:sz w:val="24"/>
          <w:szCs w:val="24"/>
        </w:rPr>
        <w:t>Návrh zákona o riešení hroziaceho úpadku a o zmene a doplnení niektorých zákonov</w:t>
      </w:r>
    </w:p>
    <w:p w14:paraId="77F96BF6" w14:textId="0EA8C2C5" w:rsidR="00054C41" w:rsidRPr="00B234BB" w:rsidRDefault="00054C41" w:rsidP="00B234BB">
      <w:pPr>
        <w:ind w:left="1985" w:hanging="1985"/>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B234BB">
        <w:rPr>
          <w:rFonts w:ascii="Times New Roman" w:eastAsia="Calibri" w:hAnsi="Times New Roman" w:cs="Times New Roman"/>
          <w:b/>
          <w:sz w:val="24"/>
          <w:szCs w:val="24"/>
        </w:rPr>
        <w:tab/>
      </w:r>
      <w:r w:rsidR="00B234BB" w:rsidRPr="00B234BB">
        <w:rPr>
          <w:rFonts w:ascii="Times New Roman" w:eastAsia="Calibri" w:hAnsi="Times New Roman" w:cs="Times New Roman"/>
          <w:sz w:val="24"/>
          <w:szCs w:val="24"/>
        </w:rPr>
        <w:t>Ministerstvo spravodlivosti SR</w:t>
      </w:r>
    </w:p>
    <w:p w14:paraId="36AFBB5F" w14:textId="77777777" w:rsidR="00054C41" w:rsidRPr="001F1B43" w:rsidRDefault="00054C41" w:rsidP="00054C41">
      <w:pPr>
        <w:jc w:val="both"/>
        <w:rPr>
          <w:rFonts w:ascii="Times New Roman" w:eastAsia="Calibri" w:hAnsi="Times New Roman" w:cs="Times New Roman"/>
          <w:b/>
          <w:sz w:val="24"/>
          <w:szCs w:val="24"/>
        </w:rPr>
      </w:pPr>
      <w:bookmarkStart w:id="0" w:name="_GoBack"/>
      <w:bookmarkEnd w:id="0"/>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27190C" w:rsidRPr="00895898" w14:paraId="40D2DDFC" w14:textId="77777777" w:rsidTr="0027190C">
        <w:trPr>
          <w:trHeight w:val="227"/>
        </w:trPr>
        <w:tc>
          <w:tcPr>
            <w:tcW w:w="3681" w:type="dxa"/>
          </w:tcPr>
          <w:p w14:paraId="18F50E63" w14:textId="1EC43257" w:rsidR="0027190C" w:rsidRPr="00895898" w:rsidRDefault="0027190C" w:rsidP="0027190C">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ktorých cieľom je znižovať negatívne externality</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14:paraId="0C359853" w14:textId="16C1A58A"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2693" w:type="dxa"/>
            <w:tcBorders>
              <w:top w:val="single" w:sz="4" w:space="0" w:color="auto"/>
              <w:left w:val="nil"/>
              <w:bottom w:val="single" w:sz="4" w:space="0" w:color="auto"/>
              <w:right w:val="single" w:sz="8" w:space="0" w:color="000000"/>
            </w:tcBorders>
            <w:shd w:val="clear" w:color="000000" w:fill="92D050"/>
            <w:vAlign w:val="center"/>
          </w:tcPr>
          <w:p w14:paraId="7F217001" w14:textId="1072904A"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27190C" w:rsidRPr="00895898" w14:paraId="2A3B7BD5" w14:textId="77777777" w:rsidTr="00ED3755">
        <w:tc>
          <w:tcPr>
            <w:tcW w:w="3681" w:type="dxa"/>
          </w:tcPr>
          <w:p w14:paraId="749ADDB1" w14:textId="6814776F" w:rsidR="0027190C" w:rsidRPr="00895898" w:rsidRDefault="0027190C" w:rsidP="0027190C">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7437C4A3" w14:textId="35F025D9"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71 568</w:t>
            </w:r>
          </w:p>
        </w:tc>
        <w:tc>
          <w:tcPr>
            <w:tcW w:w="2693" w:type="dxa"/>
            <w:tcBorders>
              <w:top w:val="single" w:sz="4" w:space="0" w:color="auto"/>
              <w:left w:val="nil"/>
              <w:bottom w:val="single" w:sz="4" w:space="0" w:color="auto"/>
              <w:right w:val="single" w:sz="8" w:space="0" w:color="000000"/>
            </w:tcBorders>
            <w:shd w:val="clear" w:color="000000" w:fill="92D050"/>
          </w:tcPr>
          <w:p w14:paraId="1A7F8C71" w14:textId="2183319E"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9 015</w:t>
            </w:r>
          </w:p>
        </w:tc>
      </w:tr>
      <w:tr w:rsidR="0027190C" w:rsidRPr="00895898" w14:paraId="5890A2A1" w14:textId="77777777" w:rsidTr="00ED3755">
        <w:tc>
          <w:tcPr>
            <w:tcW w:w="3681" w:type="dxa"/>
          </w:tcPr>
          <w:p w14:paraId="470A575F" w14:textId="77777777" w:rsidR="0027190C" w:rsidRPr="00895898" w:rsidRDefault="0027190C" w:rsidP="0027190C">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72C6ABCE" w14:textId="0110970B"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2693" w:type="dxa"/>
            <w:tcBorders>
              <w:top w:val="single" w:sz="4" w:space="0" w:color="auto"/>
              <w:left w:val="nil"/>
              <w:bottom w:val="single" w:sz="4" w:space="0" w:color="auto"/>
              <w:right w:val="single" w:sz="8" w:space="0" w:color="000000"/>
            </w:tcBorders>
            <w:shd w:val="clear" w:color="000000" w:fill="92D050"/>
          </w:tcPr>
          <w:p w14:paraId="4AB9E4F0" w14:textId="39EA5EAC"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27190C" w:rsidRPr="00895898" w14:paraId="1915EE9C" w14:textId="77777777" w:rsidTr="00ED3755">
        <w:tc>
          <w:tcPr>
            <w:tcW w:w="3681" w:type="dxa"/>
          </w:tcPr>
          <w:p w14:paraId="3FBBD35B" w14:textId="77777777" w:rsidR="0027190C" w:rsidRPr="00895898" w:rsidRDefault="0027190C" w:rsidP="0027190C">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23A80DDF" w14:textId="3119EB8B"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995,27</w:t>
            </w:r>
          </w:p>
        </w:tc>
        <w:tc>
          <w:tcPr>
            <w:tcW w:w="2693" w:type="dxa"/>
            <w:tcBorders>
              <w:top w:val="single" w:sz="4" w:space="0" w:color="auto"/>
              <w:left w:val="nil"/>
              <w:bottom w:val="single" w:sz="4" w:space="0" w:color="auto"/>
              <w:right w:val="single" w:sz="8" w:space="0" w:color="000000"/>
            </w:tcBorders>
            <w:shd w:val="clear" w:color="000000" w:fill="92D050"/>
          </w:tcPr>
          <w:p w14:paraId="0128E641" w14:textId="39D670B1"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21 816,18</w:t>
            </w:r>
          </w:p>
        </w:tc>
      </w:tr>
      <w:tr w:rsidR="0027190C" w:rsidRPr="00895898" w14:paraId="784F8A51" w14:textId="77777777" w:rsidTr="00ED3755">
        <w:tc>
          <w:tcPr>
            <w:tcW w:w="3681" w:type="dxa"/>
          </w:tcPr>
          <w:p w14:paraId="796F837A" w14:textId="77777777" w:rsidR="0027190C" w:rsidRPr="00895898" w:rsidRDefault="0027190C" w:rsidP="0027190C">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4613DC7D" w14:textId="76650310"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73 063,27</w:t>
            </w:r>
          </w:p>
        </w:tc>
        <w:tc>
          <w:tcPr>
            <w:tcW w:w="2693" w:type="dxa"/>
            <w:tcBorders>
              <w:top w:val="single" w:sz="4" w:space="0" w:color="auto"/>
              <w:left w:val="nil"/>
              <w:bottom w:val="single" w:sz="4" w:space="0" w:color="auto"/>
              <w:right w:val="single" w:sz="8" w:space="0" w:color="000000"/>
            </w:tcBorders>
            <w:shd w:val="clear" w:color="000000" w:fill="92D050"/>
          </w:tcPr>
          <w:p w14:paraId="02FE7EB5" w14:textId="18F35AAB"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30 831,18</w:t>
            </w:r>
          </w:p>
        </w:tc>
      </w:tr>
      <w:tr w:rsidR="0027190C" w:rsidRPr="00895898" w14:paraId="4440B6DF" w14:textId="77777777" w:rsidTr="00ED3755">
        <w:tc>
          <w:tcPr>
            <w:tcW w:w="3681" w:type="dxa"/>
          </w:tcPr>
          <w:p w14:paraId="1E7A37D9" w14:textId="05E931F4" w:rsidR="0027190C" w:rsidRPr="00895898" w:rsidRDefault="0027190C" w:rsidP="0027190C">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51BD31F5" w14:textId="3793E68C" w:rsidR="0027190C" w:rsidRPr="00ED3755" w:rsidRDefault="0027190C" w:rsidP="0027190C">
            <w:pPr>
              <w:jc w:val="center"/>
              <w:rPr>
                <w:rFonts w:ascii="Times New Roman" w:hAnsi="Times New Roman" w:cs="Times New Roman"/>
                <w:b/>
                <w:bCs/>
                <w:color w:val="000000"/>
                <w:sz w:val="20"/>
                <w:szCs w:val="20"/>
              </w:rPr>
            </w:pPr>
          </w:p>
        </w:tc>
        <w:tc>
          <w:tcPr>
            <w:tcW w:w="2693" w:type="dxa"/>
            <w:tcBorders>
              <w:top w:val="single" w:sz="4" w:space="0" w:color="auto"/>
              <w:left w:val="nil"/>
              <w:bottom w:val="single" w:sz="4" w:space="0" w:color="auto"/>
              <w:right w:val="single" w:sz="8" w:space="0" w:color="000000"/>
            </w:tcBorders>
            <w:shd w:val="clear" w:color="000000" w:fill="92D050"/>
          </w:tcPr>
          <w:p w14:paraId="623271B2" w14:textId="6B752C13" w:rsidR="0027190C" w:rsidRPr="00ED3755" w:rsidRDefault="0027190C" w:rsidP="0027190C">
            <w:pPr>
              <w:jc w:val="center"/>
              <w:rPr>
                <w:rFonts w:ascii="Times New Roman" w:hAnsi="Times New Roman" w:cs="Times New Roman"/>
                <w:b/>
                <w:bCs/>
                <w:color w:val="000000"/>
                <w:sz w:val="20"/>
                <w:szCs w:val="20"/>
              </w:rPr>
            </w:pPr>
          </w:p>
        </w:tc>
      </w:tr>
      <w:tr w:rsidR="0027190C" w:rsidRPr="00895898" w14:paraId="5592CF42" w14:textId="77777777" w:rsidTr="00ED3755">
        <w:tc>
          <w:tcPr>
            <w:tcW w:w="3681" w:type="dxa"/>
          </w:tcPr>
          <w:p w14:paraId="01B4507F" w14:textId="77777777" w:rsidR="0027190C" w:rsidRPr="00895898" w:rsidRDefault="0027190C" w:rsidP="0027190C">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tcBorders>
              <w:top w:val="single" w:sz="4" w:space="0" w:color="auto"/>
              <w:left w:val="single" w:sz="4" w:space="0" w:color="auto"/>
              <w:bottom w:val="single" w:sz="4" w:space="0" w:color="auto"/>
              <w:right w:val="single" w:sz="4" w:space="0" w:color="auto"/>
            </w:tcBorders>
            <w:shd w:val="clear" w:color="000000" w:fill="FFC000"/>
          </w:tcPr>
          <w:p w14:paraId="7D80D68C" w14:textId="4E563232"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7 370</w:t>
            </w:r>
          </w:p>
        </w:tc>
        <w:tc>
          <w:tcPr>
            <w:tcW w:w="2693" w:type="dxa"/>
            <w:tcBorders>
              <w:top w:val="single" w:sz="4" w:space="0" w:color="auto"/>
              <w:left w:val="nil"/>
              <w:bottom w:val="single" w:sz="4" w:space="0" w:color="auto"/>
              <w:right w:val="single" w:sz="8" w:space="0" w:color="000000"/>
            </w:tcBorders>
            <w:shd w:val="clear" w:color="000000" w:fill="92D050"/>
          </w:tcPr>
          <w:p w14:paraId="52B3C4D4" w14:textId="0596F196" w:rsidR="0027190C" w:rsidRPr="00ED3755" w:rsidRDefault="0027190C" w:rsidP="002719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27190C" w:rsidRPr="00895898" w14:paraId="22C30EA7" w14:textId="77777777" w:rsidTr="00ED3755">
        <w:tc>
          <w:tcPr>
            <w:tcW w:w="3681" w:type="dxa"/>
          </w:tcPr>
          <w:p w14:paraId="7C25F36F" w14:textId="77777777" w:rsidR="0027190C" w:rsidRPr="00895898" w:rsidRDefault="0027190C" w:rsidP="0027190C">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tcBorders>
              <w:top w:val="single" w:sz="4" w:space="0" w:color="auto"/>
              <w:left w:val="single" w:sz="4" w:space="0" w:color="auto"/>
              <w:bottom w:val="single" w:sz="8" w:space="0" w:color="auto"/>
              <w:right w:val="single" w:sz="4" w:space="0" w:color="auto"/>
            </w:tcBorders>
            <w:shd w:val="clear" w:color="000000" w:fill="FFC000"/>
          </w:tcPr>
          <w:p w14:paraId="56F8EF12" w14:textId="1DDCDF02"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894,35</w:t>
            </w:r>
          </w:p>
        </w:tc>
        <w:tc>
          <w:tcPr>
            <w:tcW w:w="2693" w:type="dxa"/>
            <w:tcBorders>
              <w:top w:val="single" w:sz="4" w:space="0" w:color="auto"/>
              <w:left w:val="nil"/>
              <w:bottom w:val="single" w:sz="8" w:space="0" w:color="auto"/>
              <w:right w:val="single" w:sz="8" w:space="0" w:color="000000"/>
            </w:tcBorders>
            <w:shd w:val="clear" w:color="000000" w:fill="92D050"/>
          </w:tcPr>
          <w:p w14:paraId="26F86839" w14:textId="6B4F16BD" w:rsidR="0027190C"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3 336,45</w:t>
            </w:r>
          </w:p>
        </w:tc>
      </w:tr>
      <w:tr w:rsidR="00BF07EF" w:rsidRPr="00895898" w14:paraId="51AAD86C" w14:textId="77777777" w:rsidTr="00142154">
        <w:tc>
          <w:tcPr>
            <w:tcW w:w="9067" w:type="dxa"/>
            <w:gridSpan w:val="3"/>
            <w:shd w:val="clear" w:color="auto" w:fill="auto"/>
          </w:tcPr>
          <w:p w14:paraId="3015DC22" w14:textId="77777777" w:rsidR="00BF07EF" w:rsidRPr="00EA6040" w:rsidRDefault="00BF07EF" w:rsidP="00BF07EF">
            <w:pPr>
              <w:jc w:val="center"/>
              <w:rPr>
                <w:rFonts w:ascii="Times New Roman" w:eastAsia="Calibri" w:hAnsi="Times New Roman" w:cs="Times New Roman"/>
                <w:b/>
                <w:bCs/>
                <w:i/>
                <w:sz w:val="20"/>
              </w:rPr>
            </w:pPr>
          </w:p>
        </w:tc>
      </w:tr>
      <w:tr w:rsidR="00BF07EF" w:rsidRPr="00895898" w14:paraId="0478A44B" w14:textId="77777777" w:rsidTr="00142154">
        <w:tc>
          <w:tcPr>
            <w:tcW w:w="3681" w:type="dxa"/>
          </w:tcPr>
          <w:p w14:paraId="223D796F" w14:textId="5E2E0367" w:rsidR="00BF07EF" w:rsidRPr="00895898" w:rsidRDefault="00BF07EF" w:rsidP="00BF07EF">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BF07EF" w:rsidRPr="00EA6040" w:rsidRDefault="00BF07EF" w:rsidP="00BF07EF">
            <w:pPr>
              <w:jc w:val="center"/>
              <w:rPr>
                <w:rFonts w:ascii="Times New Roman" w:eastAsia="Calibri" w:hAnsi="Times New Roman" w:cs="Times New Roman"/>
                <w:b/>
                <w:bCs/>
                <w:i/>
                <w:sz w:val="20"/>
              </w:rPr>
            </w:pPr>
            <w:r w:rsidRPr="00EA6040">
              <w:rPr>
                <w:rFonts w:ascii="Times New Roman" w:eastAsia="Calibri" w:hAnsi="Times New Roman" w:cs="Times New Roman"/>
                <w:b/>
                <w:bCs/>
                <w:i/>
                <w:sz w:val="20"/>
              </w:rPr>
              <w:t>IN</w:t>
            </w:r>
          </w:p>
        </w:tc>
        <w:tc>
          <w:tcPr>
            <w:tcW w:w="2693" w:type="dxa"/>
            <w:shd w:val="clear" w:color="auto" w:fill="92D050"/>
          </w:tcPr>
          <w:p w14:paraId="5C88BAF1" w14:textId="77777777" w:rsidR="00BF07EF" w:rsidRPr="00EA6040" w:rsidRDefault="00BF07EF" w:rsidP="00BF07EF">
            <w:pPr>
              <w:jc w:val="center"/>
              <w:rPr>
                <w:rFonts w:ascii="Times New Roman" w:eastAsia="Calibri" w:hAnsi="Times New Roman" w:cs="Times New Roman"/>
                <w:b/>
                <w:bCs/>
                <w:i/>
                <w:sz w:val="20"/>
              </w:rPr>
            </w:pPr>
            <w:r w:rsidRPr="00EA6040">
              <w:rPr>
                <w:rFonts w:ascii="Times New Roman" w:eastAsia="Calibri" w:hAnsi="Times New Roman" w:cs="Times New Roman"/>
                <w:b/>
                <w:bCs/>
                <w:i/>
                <w:sz w:val="20"/>
              </w:rPr>
              <w:t>OUT</w:t>
            </w:r>
          </w:p>
        </w:tc>
      </w:tr>
      <w:tr w:rsidR="002E201F" w:rsidRPr="00895898" w14:paraId="5011BAE2" w14:textId="77777777" w:rsidTr="00784F37">
        <w:tc>
          <w:tcPr>
            <w:tcW w:w="3681" w:type="dxa"/>
          </w:tcPr>
          <w:p w14:paraId="23438493" w14:textId="77777777" w:rsidR="002E201F" w:rsidRPr="00895898" w:rsidRDefault="002E201F" w:rsidP="002E201F">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tcBorders>
              <w:top w:val="single" w:sz="4" w:space="0" w:color="auto"/>
              <w:left w:val="single" w:sz="4" w:space="0" w:color="auto"/>
              <w:bottom w:val="single" w:sz="8" w:space="0" w:color="auto"/>
              <w:right w:val="single" w:sz="4" w:space="0" w:color="auto"/>
            </w:tcBorders>
            <w:shd w:val="clear" w:color="000000" w:fill="FFC000"/>
            <w:vAlign w:val="center"/>
          </w:tcPr>
          <w:p w14:paraId="7041BF23" w14:textId="0FB35B3F" w:rsidR="002E201F" w:rsidRPr="00ED3755" w:rsidRDefault="0027190C" w:rsidP="0027190C">
            <w:pPr>
              <w:jc w:val="center"/>
              <w:rPr>
                <w:rFonts w:ascii="Times New Roman" w:hAnsi="Times New Roman" w:cs="Times New Roman"/>
                <w:b/>
                <w:bCs/>
                <w:color w:val="000000"/>
                <w:sz w:val="20"/>
                <w:szCs w:val="20"/>
              </w:rPr>
            </w:pPr>
            <w:r w:rsidRPr="0027190C">
              <w:rPr>
                <w:rFonts w:ascii="Times New Roman" w:hAnsi="Times New Roman" w:cs="Times New Roman"/>
                <w:b/>
                <w:bCs/>
                <w:color w:val="000000"/>
                <w:sz w:val="20"/>
                <w:szCs w:val="20"/>
              </w:rPr>
              <w:t>72 168,92</w:t>
            </w:r>
          </w:p>
        </w:tc>
        <w:tc>
          <w:tcPr>
            <w:tcW w:w="2693" w:type="dxa"/>
            <w:tcBorders>
              <w:top w:val="single" w:sz="4" w:space="0" w:color="auto"/>
              <w:left w:val="nil"/>
              <w:bottom w:val="single" w:sz="8" w:space="0" w:color="auto"/>
              <w:right w:val="single" w:sz="8" w:space="0" w:color="000000"/>
            </w:tcBorders>
            <w:shd w:val="clear" w:color="000000" w:fill="92D050"/>
            <w:vAlign w:val="center"/>
          </w:tcPr>
          <w:p w14:paraId="254E8359" w14:textId="30F7C6FB" w:rsidR="002E201F" w:rsidRPr="00EA6040" w:rsidRDefault="0027190C" w:rsidP="0027190C">
            <w:pPr>
              <w:jc w:val="center"/>
              <w:rPr>
                <w:rFonts w:ascii="Times New Roman" w:eastAsia="Calibri" w:hAnsi="Times New Roman" w:cs="Times New Roman"/>
                <w:b/>
                <w:bCs/>
                <w:i/>
                <w:sz w:val="20"/>
              </w:rPr>
            </w:pPr>
            <w:r w:rsidRPr="0027190C">
              <w:rPr>
                <w:rFonts w:ascii="Times New Roman" w:hAnsi="Times New Roman" w:cs="Times New Roman"/>
                <w:b/>
                <w:bCs/>
                <w:color w:val="000000"/>
                <w:sz w:val="20"/>
                <w:szCs w:val="20"/>
              </w:rPr>
              <w:t>27 494,73</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5AAE50D3"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
        <w:gridCol w:w="3479"/>
        <w:gridCol w:w="1153"/>
        <w:gridCol w:w="1129"/>
        <w:gridCol w:w="1300"/>
        <w:gridCol w:w="934"/>
        <w:gridCol w:w="1323"/>
        <w:gridCol w:w="974"/>
        <w:gridCol w:w="974"/>
        <w:gridCol w:w="982"/>
        <w:gridCol w:w="992"/>
        <w:gridCol w:w="1122"/>
      </w:tblGrid>
      <w:tr w:rsidR="00054C41" w:rsidRPr="00895898" w14:paraId="10CEFB11" w14:textId="77777777" w:rsidTr="00ED3755">
        <w:trPr>
          <w:trHeight w:val="1885"/>
          <w:jc w:val="center"/>
        </w:trPr>
        <w:tc>
          <w:tcPr>
            <w:tcW w:w="499"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479"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153"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0"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23"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22"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27190C" w:rsidRPr="0027190C" w14:paraId="3EB15C1A"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EFB1C8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2838D3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výber poradcu v preventívnom konaní</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CC523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7AD16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AC0834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94EB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CD184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9EB56" w14:textId="2A2EED6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5FFE9"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53E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937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A6563C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B7B2F7F"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5271BA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85B9C3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Informovanie veriteľov o výbere a zmene poradcu v preventívnom konaní</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84FB0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9FA1A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409302D"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042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CCDB217"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1477" w14:textId="18F4C250"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F996"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2DFF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6AC7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1844C9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25539591"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FD9F18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7713BDE7" w14:textId="6D1795EC" w:rsidR="0027190C" w:rsidRPr="0027190C" w:rsidRDefault="003A6C8A"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podanie návrhu na povolenie verejnej preventívnej reštrukturalizácie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B693C6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F3F346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 § 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CB20D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0A3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6C8A3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03115" w14:textId="3CF31B7A"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7D42F"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3FBF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549E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7911EB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6AF8BA06"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29D9BA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369A73E" w14:textId="595969DE"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vypracovanie konceptu plánu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741D13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304D13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ADB5D2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1C57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F520CD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C2C3" w14:textId="172DAE3C"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9C30"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BC61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16F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098A4D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4EEAE95"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3056F6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29098C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povinnosť zápisu do RPVS pred podaním návrhu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0416DD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1EEA3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10 ods. 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20CA43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4901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C18D8D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27337" w14:textId="694210C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ABBAE"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ECC9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507,98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C996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507,98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C25E5D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09281861"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3AC8FA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6</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E0FC78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sprístupnenie návrhu, príloh a konceptu plánu veriteľom v elektronickej podobe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E66089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B64696F"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 ods. 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2DCCB2"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AEC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5C86B5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A373A" w14:textId="012FCE32"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59160"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6D98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FF1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9FDD02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0BD48E14"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23C066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3CE43A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informovanie súdu, správcu, veriteľského výboru a veriteľov o úpadku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B0569C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B6EB0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12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963442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B945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8B6C29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2345" w14:textId="24B7CE2A"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CEBCC"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FA3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26C7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3890D6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63F254DA"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45B3E5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8</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B72E4A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zverejnenie vyhlásenia v OV po skončení verejnej preventívnej reštrukturalizácie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1BB715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F76B1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4D37D4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A3B2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C3C14B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B0AF" w14:textId="6F990D2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FB3E"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C794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5671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FC0D68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BE28D7B"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2AE134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lastRenderedPageBreak/>
              <w:t>9</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B273E3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zostavenie priebežnej účtovnej závierky pre účely poskytnutia dočasnej ochrany</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B8AF4F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CE45C8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17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FBF8F9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4BC8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F10F4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43C9C" w14:textId="0F96B32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60577"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C631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964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0DE515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BC48D4C"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D5A879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10</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251098E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podanie žiadosti o predĺženie dočasnej ochrany</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8C5AE3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2B9D3A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18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DF91BF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3717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7155AD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ADE2C" w14:textId="5E71AA9E"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9FF52"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D59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C64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25B186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E41A094"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E6D80F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11</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9F8595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podanie žiadosti o ukončenie dočasnej ochrany</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7885CD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55F403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22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2300F3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5A85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1D91F1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F313" w14:textId="3927134B"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BF673"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A456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B5D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4D1C36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160FEAC0"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6BA320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701DC50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poskytnutie súčinnosti správcovi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11B936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9F1A5D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25 ods. 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672F18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C780"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FFA2BD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266E" w14:textId="4F3E3835"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C3ACE"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8B99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191,48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4BE0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191,48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B7A18A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3215BF7D"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BAD90C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13</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C990C7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úhrada odmeny a výdavkov správcu veriteľmi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81401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783EDDF"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26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B495D1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5872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59F0C2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13ED4" w14:textId="74C3F0AD"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43A22"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7129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84A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82D6F5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37CF2051"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75FF88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14</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7CF006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vyhotovenie zoznamu veriteľov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B4F5EB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EF055A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513186D"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D3E1"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379471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FE5A" w14:textId="3BB30EDB"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F7BDD"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BDD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2414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03E79B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EA0C99E"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01792E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15</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36C5D3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oprava alebo doplnenie zoznamu veriteľov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41265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6931F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30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BADF64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E6BF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90FEE8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E225B" w14:textId="01686E01"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8E62F"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36CD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11,97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3772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11,97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F0F078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2A730D7"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9638AB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16</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ACE546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žiadosť o opravu alebo doplnenie zoznamu veriteľov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8896BF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FF5CB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30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195841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5B6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29226F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E68D7" w14:textId="5BAD23E0"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CB09"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E45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05A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FB234F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1A81BADA"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3096FA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17</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C0D922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doručenie opraveného alebo doplneného zoznamu veriteľov súdu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FAC508F"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09B63D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30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4527D3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34E0"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C48333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0B305" w14:textId="01EE004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A6F3"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193D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779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F75EFE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7C6E0D3"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DEA04C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18</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5C5258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zvolanie informatívnej schôdze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73C5AC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73050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31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49549C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CBFA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B91010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1F69C" w14:textId="43F9AA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EA2EC"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D394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819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A77FA3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2E5FC70D"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3ABFE7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84E8A0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vypracovanie verejného plánu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12041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63490A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34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99DE80E"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C19F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BDCA0A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CCA10" w14:textId="74E8FF61"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B116"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7AB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DF97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2F865A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2EF56026"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B64175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20</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9E0215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poskytnutie súčinnosti dotknutému veriteľovi pri určení hodnoty majetku dlžníka</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66D1F4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35540CF"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34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8A3F52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0BC9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8502BD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EFDBF" w14:textId="5DCFE5AD"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96107"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C1ED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E02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F62737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3B14C4BF"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6764E4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lastRenderedPageBreak/>
              <w:t>21</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3A59D4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zvolanie schvaľovacej schôdze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90BD4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2BA6E57"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41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527CAC2"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556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5CC5ED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E2317" w14:textId="09A9CFF5"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4CE73"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0C1E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AC61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54ECCD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1A57F547"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6CCA42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22</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3C28B6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podanie návrhu na potvrdenie verejného plánu súdom</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96A54A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F3E053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44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95A456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4C2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CE7FFF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613F" w14:textId="1ED2E089"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27190C">
              <w:rPr>
                <w:rFonts w:ascii="Times New Roman" w:eastAsia="Times New Roman" w:hAnsi="Times New Roman" w:cs="Times New Roman"/>
                <w:sz w:val="20"/>
                <w:szCs w:val="20"/>
                <w:lang w:eastAsia="sk-SK"/>
              </w:rPr>
              <w:t xml:space="preserve">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6A8C5"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5633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D9B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0DB5BA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21416CD"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B6975F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7DE6D8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zaslanie návrhu na potvrdenie verejného plánu nesúhlasiacim veriteľom</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B1C98C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1CED3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44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7C6482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AD7D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CC6F42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339E" w14:textId="7A25A5B9"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5F7C2"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B2A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AC9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6742DF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48A27B6"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7BB878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24</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04BCDD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poskytnutie informácie dotknutému veriteľovi o uskutočnených plneniach verejného plánu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725867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A4E57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48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202E1D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EBB0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B794DF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1ABF7" w14:textId="62FDB890"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0064"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ED81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BDE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6A434C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0056913C"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322546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70C9A6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zverejnenie oznamu v OV o splnení podstatných častí verejného plánu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98B6677"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E6AAF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3388C8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3307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D172BE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513F" w14:textId="3B6F29C2"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B70D"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4D6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D66E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061506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024BDFD2"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40E4A0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26</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33B580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oznámenie začatia konania o neverejnej preventívnej reštrukturalizácii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6AC9FB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7785B6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51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F5831C1"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9E5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5BC58A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1F1D6" w14:textId="16D01993"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5931"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53F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EAA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2,39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92EC51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3A5E104D"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3D6345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27</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BA19D4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predloženie neverejného plánu na posúdenie súdu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21CABA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F2ECB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52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270967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B5C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472AB1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AB811" w14:textId="2DD42DC1"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6A25"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04F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27,13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FD39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27,13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4E6191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26D97434"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5A43E9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28</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902719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úhrada odmeny a výdavkov správcu dlžníkom</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DCD5B7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N/A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A39DBD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26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8B470A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4F1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9B12DC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E266" w14:textId="74CA1B3C"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1D20"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225B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0C0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0137E1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3918E1F"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F4BB0A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29</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5C5C91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zrušenie povinnosti s.r.o dokladovať súhlas správcu dane pri zápise zmeny v osobe spoločníka pri prevode väčšinového obchodného podielu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FC16FD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513/1991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ED8E0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115 ods. 6 až 11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66EC8D0"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A895D"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C14784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s.r.o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C857" w14:textId="5D9C274E"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7C15"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E209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67C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35BCB4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0F20AFCC"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20631B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30</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2AE66C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zrušenie povinnosti s.r.o dokladovať súhlas správcu dane pri zápise zmeny v osobe spoločníka pri rozdelení väčšinového obchodného podielu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7AA326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513/1991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75C0C7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117 ods. 4 a 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156AE1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43B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F6F35C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s.r.o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E9731" w14:textId="7FAFB549" w:rsidR="0027190C" w:rsidRPr="0027190C" w:rsidRDefault="0027190C" w:rsidP="0027190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F75D"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65F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14B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6E7A13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467CF60C"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404DF6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31</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79FB586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zvýšenie súdneho poplatku za konkurzné konanie - všeobecná podstata</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A7AFCC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71/1992 Zb.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4008E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Položka 5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2A35381"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7227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881848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5E4FE" w14:textId="6E26389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370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B5B8"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67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E3EB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7E6E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29 600,00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0E1837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465CD934"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2F7FC5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32</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E9817C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zvýšenie súdneho poplatku za konkurzné konanie - oddelená podstata</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D5116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71/1992 Zb.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809434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Položka 5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667EBA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8BAE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EB77AE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A5DD" w14:textId="39517CDF"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370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0718"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67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0E9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AB6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11 100,00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70ADA1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4E79153"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305729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lastRenderedPageBreak/>
              <w:t>33</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30AB8E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zvýšenie súdneho poplatku za podanie námietky zaujatosti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D63E42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71/1992 Zb.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C34D0D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Položka 5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13D6B3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6773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58643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8F5F5" w14:textId="766C51AD"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0948A"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F587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6B8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169,00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9F41C1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79F508F"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2BF029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34</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24D3CC0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zvýšenie súdneho poplatku za podanie námietky zaujatosti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C47DD2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71/1992 Zb.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FCC1A5"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Položka 5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A9D96B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6756"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CA80FF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8E8F2" w14:textId="0DC0D0A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5592"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88AB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E960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169,00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51E549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356C133A"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5E270E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35</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B11A6E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zvýšenie ročného správneho poplatku správcu - FO za trvanie zápisu v zozname správcov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F3BED9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145/1995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168A4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Časť I Položka 5 písm. l)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0C2B5B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1AF4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96E1E6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správca FO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1D0BB" w14:textId="3ECDA3D0"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740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521A"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783D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34,50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B0A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25 530,00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CAD0A2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70392C8B"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E2A585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36</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98C956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zmena sadzby ročného správneho poplatku správcu - PO za trvanie zápisu v zozname správcov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14CF51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145/1995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063A80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Časť I Položka 5 písm. m)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A312C2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8467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034ED5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správca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325AF" w14:textId="42522A62"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109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9920C"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4D0A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82,71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50E3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9 015,00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DAEA69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08C70CF7"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C6EB3D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37</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DF686A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zavedenie správneho poplatku za vykonanie špeciálnej správcovskej skúšky</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598104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145/1995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B45CD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Časť I Položka 5 písm. n) sadzobníka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359712D"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7AE7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01.05.22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3CD642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správca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7D9E0" w14:textId="3EBE7C12"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3893"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D1CD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8623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5 000,00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3FC7FF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5CECD2F2"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749237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38</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2BE26DD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povinnosť sledovať vlastnú finančnú situáciu, stav majetku a záväzkov v súvislosti s hroziacim úpadkom</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89D84C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DFAFFA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4a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12DDF0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5FC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CB0D9F1"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B011" w14:textId="35F9B81C"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5AE3"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B80B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574,43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ECE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574,43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8EE66D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1F038D75"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46583A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57778A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zavedenie povinnosti podať návrh na vyhlásenie konkurzu v prípade platobnej neschopnosti</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5D5FB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2E95C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6359F89"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5F7E1"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B7341E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4B5DA" w14:textId="076A3EA5"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5219"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7641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8C75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AC4126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In (zvyšuje náklady)</w:t>
            </w:r>
          </w:p>
        </w:tc>
      </w:tr>
      <w:tr w:rsidR="0027190C" w:rsidRPr="0027190C" w14:paraId="6FC4989E"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6567B4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40</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EC407F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výlučne elektronické podávanie návrhu na vyhlásenie konkurzu (zrušenie podávania návrhov papierovo a dvojmo)</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17373C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2CED89"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12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7A1779C"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6898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68671BC"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F889" w14:textId="0C340EB5"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316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854C"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2932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BB4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2 521,09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E925B4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18D5A7B8"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41FDFD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41</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5DAC0B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výlučne elektronické podávanie návrhu na vyhlásenie konkurzu (zrušenie podávania návrhov papierovo a dvojmo)</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4206AF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AB3BBC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12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C37906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C2B8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A0E4E3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0645" w14:textId="434866C8"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186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C55B1"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2BD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787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1 483,93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89DCD3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6C7A3F58"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7900C4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42</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C3479E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výlučne elektronické prihlasovanie pohľadávky (zrušenie prihlasovania papierovo)</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43578E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26BCB3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28 ods. 2</w:t>
            </w:r>
            <w:r w:rsidRPr="0027190C">
              <w:rPr>
                <w:rFonts w:ascii="Times New Roman" w:eastAsia="Times New Roman" w:hAnsi="Times New Roman" w:cs="Times New Roman"/>
                <w:sz w:val="20"/>
                <w:szCs w:val="20"/>
                <w:lang w:eastAsia="sk-SK"/>
              </w:rPr>
              <w:br/>
              <w:t>§ 121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C5F2D7B"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úplná harmonizácia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AC3D"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9BC70D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7373" w14:textId="0DA6F4C1"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2 788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3E037"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64D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45A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3 336,45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5B5047E"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6A135342"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8DD108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43</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3D0B52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možnosť konania schôdze veriteľov prostredníctvom videokonferencie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8C39C40"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34E045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34 ods. 5</w:t>
            </w:r>
            <w:r w:rsidRPr="0027190C">
              <w:rPr>
                <w:rFonts w:ascii="Times New Roman" w:eastAsia="Times New Roman" w:hAnsi="Times New Roman" w:cs="Times New Roman"/>
                <w:sz w:val="20"/>
                <w:szCs w:val="20"/>
                <w:lang w:eastAsia="sk-SK"/>
              </w:rPr>
              <w:br/>
              <w:t>§ 126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30A37B5"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7DF03"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B036222"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AFB5" w14:textId="5B6F48FA"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2 788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9883F"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CBC6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42A8F"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11 121,51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C418EE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26B98DBD"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26DFF0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lastRenderedPageBreak/>
              <w:t>44</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0DE0A5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výlučne elektronické podávanie návrhu na povolenie reštrukturalizácie (zrušenie podávania návrhov papierovo)</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13F47B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AEB9A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112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1151FD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39C0E"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8367ED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dlžník PO</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D7E9F" w14:textId="3FCB1FFD"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26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F80DD"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F75B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397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207,43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38C418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2A592E78"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77F5504"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45</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2AED4DA0"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výlučne elektronické podávanie návrhu na povolenie reštrukturalizácie (zrušenie podávania návrhov papierovo)</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CC7BE6D"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E14A7E"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112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EF3970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6D1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F66CFEB"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32590" w14:textId="2F49128C"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4F230"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BCC1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7D9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7,98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6BF0CC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673AA387"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A5869B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46</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CDC6D3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pokračovanie funkcie veriteľského výboru pri konverzii reštrukturalizácie na konkurz bez potreby zvolať schôdzu veriteľov</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F55D73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7/2005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B2EB19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131 ods. 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960192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EÚ harmonizácia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5CEA"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17.07.22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D46208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veriteľ</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A9243" w14:textId="2223A3F9"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361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A0F86"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252D6"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09655"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1 440,05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6243CB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3F76392B"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FA06AE7"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47</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831F93B"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zrušenie povinnosti preukazovania minimálnej výmery podlahovej plochy kancelárie správcu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0333A0F"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8/2005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46FAF6"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7 ods. 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6167AF8"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8607F"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01.05.22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01AD143"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správca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ACB1C" w14:textId="4A8F02F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849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ECDDB"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C3ED9"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E113"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1 693,36</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FFE725D"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r w:rsidR="0027190C" w:rsidRPr="0027190C" w14:paraId="6B25BD64" w14:textId="77777777" w:rsidTr="0027190C">
        <w:trPr>
          <w:trHeight w:val="612"/>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57C093A"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48</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727AD168"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zrušenie povinnosti dokladovať listom vlastníctva zriadenie kancelárie správcu</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CC06CBA"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8/2005</w:t>
            </w:r>
            <w:r w:rsidRPr="0027190C">
              <w:rPr>
                <w:rFonts w:ascii="Times New Roman" w:eastAsia="Times New Roman" w:hAnsi="Times New Roman" w:cs="Times New Roman"/>
                <w:sz w:val="20"/>
                <w:szCs w:val="20"/>
                <w:lang w:eastAsia="sk-SK"/>
              </w:rPr>
              <w:br/>
              <w:t>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1815C8"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7 ods. 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0085707"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51F4" w14:textId="77777777" w:rsidR="0027190C" w:rsidRPr="0027190C" w:rsidRDefault="0027190C" w:rsidP="0027190C">
            <w:pPr>
              <w:spacing w:after="0" w:line="240" w:lineRule="auto"/>
              <w:jc w:val="center"/>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01.05.22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FF7D024" w14:textId="77777777" w:rsidR="0027190C" w:rsidRPr="0027190C" w:rsidRDefault="0027190C" w:rsidP="0027190C">
            <w:pPr>
              <w:spacing w:after="0" w:line="240" w:lineRule="auto"/>
              <w:jc w:val="center"/>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správca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A809" w14:textId="651271F3"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 xml:space="preserve">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0229" w14:textId="77777777" w:rsidR="0027190C" w:rsidRPr="0027190C" w:rsidRDefault="0027190C" w:rsidP="0027190C">
            <w:pPr>
              <w:spacing w:after="0" w:line="240" w:lineRule="auto"/>
              <w:rPr>
                <w:rFonts w:ascii="Times New Roman" w:eastAsia="Times New Roman" w:hAnsi="Times New Roman" w:cs="Times New Roman"/>
                <w:color w:val="000000"/>
                <w:sz w:val="20"/>
                <w:szCs w:val="20"/>
                <w:lang w:eastAsia="sk-SK"/>
              </w:rPr>
            </w:pPr>
            <w:r w:rsidRPr="0027190C">
              <w:rPr>
                <w:rFonts w:ascii="Times New Roman" w:eastAsia="Times New Roman" w:hAnsi="Times New Roman" w:cs="Times New Roman"/>
                <w:color w:val="000000"/>
                <w:sz w:val="20"/>
                <w:szCs w:val="20"/>
                <w:lang w:eastAsia="sk-SK"/>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6D522"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506C"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1,99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338F541" w14:textId="77777777" w:rsidR="0027190C" w:rsidRPr="0027190C" w:rsidRDefault="0027190C" w:rsidP="0027190C">
            <w:pPr>
              <w:spacing w:after="0" w:line="240" w:lineRule="auto"/>
              <w:rPr>
                <w:rFonts w:ascii="Times New Roman" w:eastAsia="Times New Roman" w:hAnsi="Times New Roman" w:cs="Times New Roman"/>
                <w:sz w:val="20"/>
                <w:szCs w:val="20"/>
                <w:lang w:eastAsia="sk-SK"/>
              </w:rPr>
            </w:pPr>
            <w:r w:rsidRPr="0027190C">
              <w:rPr>
                <w:rFonts w:ascii="Times New Roman" w:eastAsia="Times New Roman" w:hAnsi="Times New Roman" w:cs="Times New Roman"/>
                <w:sz w:val="20"/>
                <w:szCs w:val="20"/>
                <w:lang w:eastAsia="sk-SK"/>
              </w:rPr>
              <w:t>Out (znižuje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159BF8E3"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06DDB619" w14:textId="06E3248B" w:rsidR="00B36124" w:rsidRDefault="003A18A2"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w:t>
      </w:r>
      <w:r w:rsidR="009F6024">
        <w:rPr>
          <w:rFonts w:ascii="Times New Roman" w:eastAsia="Calibri" w:hAnsi="Times New Roman" w:cs="Times New Roman"/>
          <w:bCs/>
          <w:iCs/>
          <w:color w:val="000000"/>
          <w:sz w:val="24"/>
          <w:szCs w:val="24"/>
        </w:rPr>
        <w:t xml:space="preserve"> predkladanom </w:t>
      </w:r>
      <w:r w:rsidR="00AC1670">
        <w:rPr>
          <w:rFonts w:ascii="Times New Roman" w:eastAsia="Calibri" w:hAnsi="Times New Roman" w:cs="Times New Roman"/>
          <w:bCs/>
          <w:iCs/>
          <w:color w:val="000000"/>
          <w:sz w:val="24"/>
          <w:szCs w:val="24"/>
        </w:rPr>
        <w:t>návrhu zákona</w:t>
      </w:r>
      <w:r w:rsidR="00B36124">
        <w:rPr>
          <w:rFonts w:ascii="Times New Roman" w:eastAsia="Calibri" w:hAnsi="Times New Roman" w:cs="Times New Roman"/>
          <w:bCs/>
          <w:iCs/>
          <w:color w:val="000000"/>
          <w:sz w:val="24"/>
          <w:szCs w:val="24"/>
        </w:rPr>
        <w:t xml:space="preserve"> bolo</w:t>
      </w:r>
      <w:r>
        <w:rPr>
          <w:rFonts w:ascii="Times New Roman" w:eastAsia="Calibri" w:hAnsi="Times New Roman" w:cs="Times New Roman"/>
          <w:bCs/>
          <w:iCs/>
          <w:color w:val="000000"/>
          <w:sz w:val="24"/>
          <w:szCs w:val="24"/>
        </w:rPr>
        <w:t xml:space="preserve"> identifi</w:t>
      </w:r>
      <w:r w:rsidR="00B36124">
        <w:rPr>
          <w:rFonts w:ascii="Times New Roman" w:eastAsia="Calibri" w:hAnsi="Times New Roman" w:cs="Times New Roman"/>
          <w:bCs/>
          <w:iCs/>
          <w:color w:val="000000"/>
          <w:sz w:val="24"/>
          <w:szCs w:val="24"/>
        </w:rPr>
        <w:t>kovaných</w:t>
      </w:r>
      <w:r w:rsidR="00FB74DC">
        <w:rPr>
          <w:rFonts w:ascii="Times New Roman" w:eastAsia="Calibri" w:hAnsi="Times New Roman" w:cs="Times New Roman"/>
          <w:bCs/>
          <w:iCs/>
          <w:color w:val="000000"/>
          <w:sz w:val="24"/>
          <w:szCs w:val="24"/>
        </w:rPr>
        <w:t xml:space="preserve"> </w:t>
      </w:r>
      <w:r w:rsidR="00D56A3A">
        <w:rPr>
          <w:rFonts w:ascii="Times New Roman" w:eastAsia="Calibri" w:hAnsi="Times New Roman" w:cs="Times New Roman"/>
          <w:bCs/>
          <w:iCs/>
          <w:color w:val="000000"/>
          <w:sz w:val="24"/>
          <w:szCs w:val="24"/>
        </w:rPr>
        <w:t>3</w:t>
      </w:r>
      <w:r w:rsidR="00934D07">
        <w:rPr>
          <w:rFonts w:ascii="Times New Roman" w:eastAsia="Calibri" w:hAnsi="Times New Roman" w:cs="Times New Roman"/>
          <w:bCs/>
          <w:iCs/>
          <w:color w:val="000000"/>
          <w:sz w:val="24"/>
          <w:szCs w:val="24"/>
        </w:rPr>
        <w:t>5</w:t>
      </w:r>
      <w:r w:rsidR="00FB74DC">
        <w:rPr>
          <w:rFonts w:ascii="Times New Roman" w:eastAsia="Calibri" w:hAnsi="Times New Roman" w:cs="Times New Roman"/>
          <w:bCs/>
          <w:iCs/>
          <w:color w:val="000000"/>
          <w:sz w:val="24"/>
          <w:szCs w:val="24"/>
        </w:rPr>
        <w:t xml:space="preserve"> regulácií</w:t>
      </w:r>
      <w:r w:rsidR="00B36124">
        <w:rPr>
          <w:rFonts w:ascii="Times New Roman" w:eastAsia="Calibri" w:hAnsi="Times New Roman" w:cs="Times New Roman"/>
          <w:bCs/>
          <w:iCs/>
          <w:color w:val="000000"/>
          <w:sz w:val="24"/>
          <w:szCs w:val="24"/>
        </w:rPr>
        <w:t xml:space="preserve"> s vplyvom na podnikateľské prostredie</w:t>
      </w:r>
      <w:r w:rsidR="00FB74DC">
        <w:rPr>
          <w:rFonts w:ascii="Times New Roman" w:eastAsia="Calibri" w:hAnsi="Times New Roman" w:cs="Times New Roman"/>
          <w:bCs/>
          <w:iCs/>
          <w:color w:val="000000"/>
          <w:sz w:val="24"/>
          <w:szCs w:val="24"/>
        </w:rPr>
        <w:t>.</w:t>
      </w:r>
      <w:r w:rsidR="00B36124">
        <w:rPr>
          <w:rFonts w:ascii="Times New Roman" w:eastAsia="Calibri" w:hAnsi="Times New Roman" w:cs="Times New Roman"/>
          <w:bCs/>
          <w:iCs/>
          <w:color w:val="000000"/>
          <w:sz w:val="24"/>
          <w:szCs w:val="24"/>
        </w:rPr>
        <w:t xml:space="preserve"> </w:t>
      </w:r>
      <w:r w:rsidR="00934D07">
        <w:rPr>
          <w:rFonts w:ascii="Times New Roman" w:eastAsia="Calibri" w:hAnsi="Times New Roman" w:cs="Times New Roman"/>
          <w:bCs/>
          <w:iCs/>
          <w:color w:val="000000"/>
          <w:sz w:val="24"/>
          <w:szCs w:val="24"/>
        </w:rPr>
        <w:t>P</w:t>
      </w:r>
      <w:r w:rsidR="00B36124">
        <w:rPr>
          <w:rFonts w:ascii="Times New Roman" w:eastAsia="Calibri" w:hAnsi="Times New Roman" w:cs="Times New Roman"/>
          <w:bCs/>
          <w:iCs/>
          <w:color w:val="000000"/>
          <w:sz w:val="24"/>
          <w:szCs w:val="24"/>
        </w:rPr>
        <w:t xml:space="preserve">redmetom kalkulačky nákladov </w:t>
      </w:r>
      <w:r w:rsidR="001A1443">
        <w:rPr>
          <w:rFonts w:ascii="Times New Roman" w:eastAsia="Calibri" w:hAnsi="Times New Roman" w:cs="Times New Roman"/>
          <w:bCs/>
          <w:iCs/>
          <w:color w:val="000000"/>
          <w:sz w:val="24"/>
          <w:szCs w:val="24"/>
        </w:rPr>
        <w:t xml:space="preserve">sú </w:t>
      </w:r>
      <w:r w:rsidR="00ED3755">
        <w:rPr>
          <w:rFonts w:ascii="Times New Roman" w:eastAsia="Calibri" w:hAnsi="Times New Roman" w:cs="Times New Roman"/>
          <w:bCs/>
          <w:iCs/>
          <w:color w:val="000000"/>
          <w:sz w:val="24"/>
          <w:szCs w:val="24"/>
        </w:rPr>
        <w:t>regulácie</w:t>
      </w:r>
      <w:r w:rsidR="001A1443">
        <w:rPr>
          <w:rFonts w:ascii="Times New Roman" w:eastAsia="Calibri" w:hAnsi="Times New Roman" w:cs="Times New Roman"/>
          <w:bCs/>
          <w:iCs/>
          <w:color w:val="000000"/>
          <w:sz w:val="24"/>
          <w:szCs w:val="24"/>
        </w:rPr>
        <w:t xml:space="preserve"> súvisiace s hroziacim úpadkom</w:t>
      </w:r>
      <w:r w:rsidR="00ED3755">
        <w:rPr>
          <w:rFonts w:ascii="Times New Roman" w:eastAsia="Calibri" w:hAnsi="Times New Roman" w:cs="Times New Roman"/>
          <w:bCs/>
          <w:iCs/>
          <w:color w:val="000000"/>
          <w:sz w:val="24"/>
          <w:szCs w:val="24"/>
        </w:rPr>
        <w:t>, novým preventívnym konaním,</w:t>
      </w:r>
      <w:r w:rsidR="00B36124">
        <w:rPr>
          <w:rFonts w:ascii="Times New Roman" w:eastAsia="Calibri" w:hAnsi="Times New Roman" w:cs="Times New Roman"/>
          <w:bCs/>
          <w:iCs/>
          <w:color w:val="000000"/>
          <w:sz w:val="24"/>
          <w:szCs w:val="24"/>
        </w:rPr>
        <w:t xml:space="preserve">  konkurzn</w:t>
      </w:r>
      <w:r w:rsidR="00ED3755">
        <w:rPr>
          <w:rFonts w:ascii="Times New Roman" w:eastAsia="Calibri" w:hAnsi="Times New Roman" w:cs="Times New Roman"/>
          <w:bCs/>
          <w:iCs/>
          <w:color w:val="000000"/>
          <w:sz w:val="24"/>
          <w:szCs w:val="24"/>
        </w:rPr>
        <w:t>ým</w:t>
      </w:r>
      <w:r w:rsidR="00B36124">
        <w:rPr>
          <w:rFonts w:ascii="Times New Roman" w:eastAsia="Calibri" w:hAnsi="Times New Roman" w:cs="Times New Roman"/>
          <w:bCs/>
          <w:iCs/>
          <w:color w:val="000000"/>
          <w:sz w:val="24"/>
          <w:szCs w:val="24"/>
        </w:rPr>
        <w:t xml:space="preserve"> konaní</w:t>
      </w:r>
      <w:r w:rsidR="00ED3755">
        <w:rPr>
          <w:rFonts w:ascii="Times New Roman" w:eastAsia="Calibri" w:hAnsi="Times New Roman" w:cs="Times New Roman"/>
          <w:bCs/>
          <w:iCs/>
          <w:color w:val="000000"/>
          <w:sz w:val="24"/>
          <w:szCs w:val="24"/>
        </w:rPr>
        <w:t>m</w:t>
      </w:r>
      <w:r w:rsidR="00B36124">
        <w:rPr>
          <w:rFonts w:ascii="Times New Roman" w:eastAsia="Calibri" w:hAnsi="Times New Roman" w:cs="Times New Roman"/>
          <w:bCs/>
          <w:iCs/>
          <w:color w:val="000000"/>
          <w:sz w:val="24"/>
          <w:szCs w:val="24"/>
        </w:rPr>
        <w:t>, reštrukturalizačn</w:t>
      </w:r>
      <w:r w:rsidR="00ED3755">
        <w:rPr>
          <w:rFonts w:ascii="Times New Roman" w:eastAsia="Calibri" w:hAnsi="Times New Roman" w:cs="Times New Roman"/>
          <w:bCs/>
          <w:iCs/>
          <w:color w:val="000000"/>
          <w:sz w:val="24"/>
          <w:szCs w:val="24"/>
        </w:rPr>
        <w:t>ým</w:t>
      </w:r>
      <w:r w:rsidR="00B36124">
        <w:rPr>
          <w:rFonts w:ascii="Times New Roman" w:eastAsia="Calibri" w:hAnsi="Times New Roman" w:cs="Times New Roman"/>
          <w:bCs/>
          <w:iCs/>
          <w:color w:val="000000"/>
          <w:sz w:val="24"/>
          <w:szCs w:val="24"/>
        </w:rPr>
        <w:t xml:space="preserve"> konaní</w:t>
      </w:r>
      <w:r w:rsidR="0035419F">
        <w:rPr>
          <w:rFonts w:ascii="Times New Roman" w:eastAsia="Calibri" w:hAnsi="Times New Roman" w:cs="Times New Roman"/>
          <w:bCs/>
          <w:iCs/>
          <w:color w:val="000000"/>
          <w:sz w:val="24"/>
          <w:szCs w:val="24"/>
        </w:rPr>
        <w:t xml:space="preserve">m, </w:t>
      </w:r>
      <w:r w:rsidR="00ED3755">
        <w:rPr>
          <w:rFonts w:ascii="Times New Roman" w:eastAsia="Calibri" w:hAnsi="Times New Roman" w:cs="Times New Roman"/>
          <w:bCs/>
          <w:iCs/>
          <w:color w:val="000000"/>
          <w:sz w:val="24"/>
          <w:szCs w:val="24"/>
        </w:rPr>
        <w:t>regulácie týkajúce sa</w:t>
      </w:r>
      <w:r w:rsidR="00B36124">
        <w:rPr>
          <w:rFonts w:ascii="Times New Roman" w:eastAsia="Calibri" w:hAnsi="Times New Roman" w:cs="Times New Roman"/>
          <w:bCs/>
          <w:iCs/>
          <w:color w:val="000000"/>
          <w:sz w:val="24"/>
          <w:szCs w:val="24"/>
        </w:rPr>
        <w:t> </w:t>
      </w:r>
      <w:r w:rsidR="0035419F">
        <w:rPr>
          <w:rFonts w:ascii="Times New Roman" w:eastAsia="Calibri" w:hAnsi="Times New Roman" w:cs="Times New Roman"/>
          <w:bCs/>
          <w:iCs/>
          <w:color w:val="000000"/>
          <w:sz w:val="24"/>
          <w:szCs w:val="24"/>
        </w:rPr>
        <w:t xml:space="preserve">statusových vecí správcov, </w:t>
      </w:r>
      <w:r w:rsidR="00B36124">
        <w:rPr>
          <w:rFonts w:ascii="Times New Roman" w:eastAsia="Calibri" w:hAnsi="Times New Roman" w:cs="Times New Roman"/>
          <w:bCs/>
          <w:iCs/>
          <w:color w:val="000000"/>
          <w:sz w:val="24"/>
          <w:szCs w:val="24"/>
        </w:rPr>
        <w:t>úhrad</w:t>
      </w:r>
      <w:r w:rsidR="00ED3755">
        <w:rPr>
          <w:rFonts w:ascii="Times New Roman" w:eastAsia="Calibri" w:hAnsi="Times New Roman" w:cs="Times New Roman"/>
          <w:bCs/>
          <w:iCs/>
          <w:color w:val="000000"/>
          <w:sz w:val="24"/>
          <w:szCs w:val="24"/>
        </w:rPr>
        <w:t>y</w:t>
      </w:r>
      <w:r w:rsidR="00B36124">
        <w:rPr>
          <w:rFonts w:ascii="Times New Roman" w:eastAsia="Calibri" w:hAnsi="Times New Roman" w:cs="Times New Roman"/>
          <w:bCs/>
          <w:iCs/>
          <w:color w:val="000000"/>
          <w:sz w:val="24"/>
          <w:szCs w:val="24"/>
        </w:rPr>
        <w:t xml:space="preserve"> vybraných súdnych poplatkov a správnych poplatkov.</w:t>
      </w:r>
    </w:p>
    <w:p w14:paraId="65765089" w14:textId="02AD0B5A" w:rsidR="00D02791" w:rsidRDefault="003A18A2"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Pri identifikácií </w:t>
      </w:r>
      <w:r w:rsidR="00FB74DC">
        <w:rPr>
          <w:rFonts w:ascii="Times New Roman" w:eastAsia="Calibri" w:hAnsi="Times New Roman" w:cs="Times New Roman"/>
          <w:bCs/>
          <w:iCs/>
          <w:color w:val="000000"/>
          <w:sz w:val="24"/>
          <w:szCs w:val="24"/>
        </w:rPr>
        <w:t>počtov dotknutých subjektov bolo zámerom</w:t>
      </w:r>
      <w:r w:rsidR="00ED3755">
        <w:rPr>
          <w:rFonts w:ascii="Times New Roman" w:eastAsia="Calibri" w:hAnsi="Times New Roman" w:cs="Times New Roman"/>
          <w:bCs/>
          <w:iCs/>
          <w:color w:val="000000"/>
          <w:sz w:val="24"/>
          <w:szCs w:val="24"/>
        </w:rPr>
        <w:t xml:space="preserve"> v čo najväčšej miere vy</w:t>
      </w:r>
      <w:r w:rsidR="00615CC0">
        <w:rPr>
          <w:rFonts w:ascii="Times New Roman" w:eastAsia="Calibri" w:hAnsi="Times New Roman" w:cs="Times New Roman"/>
          <w:bCs/>
          <w:iCs/>
          <w:color w:val="000000"/>
          <w:sz w:val="24"/>
          <w:szCs w:val="24"/>
        </w:rPr>
        <w:t>užiť</w:t>
      </w:r>
      <w:r>
        <w:rPr>
          <w:rFonts w:ascii="Times New Roman" w:eastAsia="Calibri" w:hAnsi="Times New Roman" w:cs="Times New Roman"/>
          <w:bCs/>
          <w:iCs/>
          <w:color w:val="000000"/>
          <w:sz w:val="24"/>
          <w:szCs w:val="24"/>
        </w:rPr>
        <w:t xml:space="preserve"> dáta rezortnej štatistiky, ktoré </w:t>
      </w:r>
      <w:r w:rsidR="00615CC0">
        <w:rPr>
          <w:rFonts w:ascii="Times New Roman" w:eastAsia="Calibri" w:hAnsi="Times New Roman" w:cs="Times New Roman"/>
          <w:bCs/>
          <w:iCs/>
          <w:color w:val="000000"/>
          <w:sz w:val="24"/>
          <w:szCs w:val="24"/>
        </w:rPr>
        <w:t>pochádzajú priamo zo súdov</w:t>
      </w:r>
      <w:r w:rsidR="00FB74DC">
        <w:rPr>
          <w:rFonts w:ascii="Times New Roman" w:eastAsia="Calibri" w:hAnsi="Times New Roman" w:cs="Times New Roman"/>
          <w:bCs/>
          <w:iCs/>
          <w:color w:val="000000"/>
          <w:sz w:val="24"/>
          <w:szCs w:val="24"/>
        </w:rPr>
        <w:t>. Keďže</w:t>
      </w:r>
      <w:r>
        <w:rPr>
          <w:rFonts w:ascii="Times New Roman" w:eastAsia="Calibri" w:hAnsi="Times New Roman" w:cs="Times New Roman"/>
          <w:bCs/>
          <w:iCs/>
          <w:color w:val="000000"/>
          <w:sz w:val="24"/>
          <w:szCs w:val="24"/>
        </w:rPr>
        <w:t xml:space="preserve"> tieto nie vždy dosahujú potrebnú úr</w:t>
      </w:r>
      <w:r w:rsidR="00FB74DC">
        <w:rPr>
          <w:rFonts w:ascii="Times New Roman" w:eastAsia="Calibri" w:hAnsi="Times New Roman" w:cs="Times New Roman"/>
          <w:bCs/>
          <w:iCs/>
          <w:color w:val="000000"/>
          <w:sz w:val="24"/>
          <w:szCs w:val="24"/>
        </w:rPr>
        <w:t xml:space="preserve">oveň detailu, boli použité dáta z IS </w:t>
      </w:r>
      <w:r w:rsidR="00615CC0">
        <w:rPr>
          <w:rFonts w:ascii="Times New Roman" w:eastAsia="Calibri" w:hAnsi="Times New Roman" w:cs="Times New Roman"/>
          <w:bCs/>
          <w:iCs/>
          <w:color w:val="000000"/>
          <w:sz w:val="24"/>
          <w:szCs w:val="24"/>
        </w:rPr>
        <w:t>R</w:t>
      </w:r>
      <w:r w:rsidR="00FB74DC">
        <w:rPr>
          <w:rFonts w:ascii="Times New Roman" w:eastAsia="Calibri" w:hAnsi="Times New Roman" w:cs="Times New Roman"/>
          <w:bCs/>
          <w:iCs/>
          <w:color w:val="000000"/>
          <w:sz w:val="24"/>
          <w:szCs w:val="24"/>
        </w:rPr>
        <w:t>egister</w:t>
      </w:r>
      <w:r w:rsidR="008C73DD">
        <w:rPr>
          <w:rFonts w:ascii="Times New Roman" w:eastAsia="Calibri" w:hAnsi="Times New Roman" w:cs="Times New Roman"/>
          <w:bCs/>
          <w:iCs/>
          <w:color w:val="000000"/>
          <w:sz w:val="24"/>
          <w:szCs w:val="24"/>
        </w:rPr>
        <w:t xml:space="preserve"> úpadcov, ktorý má však tiež svoje limity. V niektorých prípadoch boli preto po</w:t>
      </w:r>
      <w:r w:rsidR="001A1443">
        <w:rPr>
          <w:rFonts w:ascii="Times New Roman" w:eastAsia="Calibri" w:hAnsi="Times New Roman" w:cs="Times New Roman"/>
          <w:bCs/>
          <w:iCs/>
          <w:color w:val="000000"/>
          <w:sz w:val="24"/>
          <w:szCs w:val="24"/>
        </w:rPr>
        <w:t>žadované</w:t>
      </w:r>
      <w:r w:rsidR="008C73DD">
        <w:rPr>
          <w:rFonts w:ascii="Times New Roman" w:eastAsia="Calibri" w:hAnsi="Times New Roman" w:cs="Times New Roman"/>
          <w:bCs/>
          <w:iCs/>
          <w:color w:val="000000"/>
          <w:sz w:val="24"/>
          <w:szCs w:val="24"/>
        </w:rPr>
        <w:t xml:space="preserve"> údaje nedostupné</w:t>
      </w:r>
      <w:r w:rsidR="00D56A3A">
        <w:rPr>
          <w:rFonts w:ascii="Times New Roman" w:eastAsia="Calibri" w:hAnsi="Times New Roman" w:cs="Times New Roman"/>
          <w:bCs/>
          <w:iCs/>
          <w:color w:val="000000"/>
          <w:sz w:val="24"/>
          <w:szCs w:val="24"/>
        </w:rPr>
        <w:t xml:space="preserve"> a kvantifikácia nákladov na podnikateľské prostredie bola uskutočnená prostredníctvo</w:t>
      </w:r>
      <w:r w:rsidR="00D56084">
        <w:rPr>
          <w:rFonts w:ascii="Times New Roman" w:eastAsia="Calibri" w:hAnsi="Times New Roman" w:cs="Times New Roman"/>
          <w:bCs/>
          <w:iCs/>
          <w:color w:val="000000"/>
          <w:sz w:val="24"/>
          <w:szCs w:val="24"/>
        </w:rPr>
        <w:t>m</w:t>
      </w:r>
      <w:r w:rsidR="00D56A3A">
        <w:rPr>
          <w:rFonts w:ascii="Times New Roman" w:eastAsia="Calibri" w:hAnsi="Times New Roman" w:cs="Times New Roman"/>
          <w:bCs/>
          <w:iCs/>
          <w:color w:val="000000"/>
          <w:sz w:val="24"/>
          <w:szCs w:val="24"/>
        </w:rPr>
        <w:t xml:space="preserve"> modelových príkladov</w:t>
      </w:r>
      <w:r w:rsidR="008C73DD">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r w:rsidR="00FB74DC">
        <w:rPr>
          <w:rFonts w:ascii="Times New Roman" w:eastAsia="Calibri" w:hAnsi="Times New Roman" w:cs="Times New Roman"/>
          <w:bCs/>
          <w:iCs/>
          <w:color w:val="000000"/>
          <w:sz w:val="24"/>
          <w:szCs w:val="24"/>
        </w:rPr>
        <w:t>Z</w:t>
      </w:r>
      <w:r w:rsidR="0056297F">
        <w:rPr>
          <w:rFonts w:ascii="Times New Roman" w:eastAsia="Calibri" w:hAnsi="Times New Roman" w:cs="Times New Roman"/>
          <w:bCs/>
          <w:iCs/>
          <w:color w:val="000000"/>
          <w:sz w:val="24"/>
          <w:szCs w:val="24"/>
        </w:rPr>
        <w:t xml:space="preserve"> dôvodu možného vplyvu pandémie na konkurzné </w:t>
      </w:r>
      <w:r w:rsidR="00FB74DC">
        <w:rPr>
          <w:rFonts w:ascii="Times New Roman" w:eastAsia="Calibri" w:hAnsi="Times New Roman" w:cs="Times New Roman"/>
          <w:bCs/>
          <w:iCs/>
          <w:color w:val="000000"/>
          <w:sz w:val="24"/>
          <w:szCs w:val="24"/>
        </w:rPr>
        <w:t xml:space="preserve">a </w:t>
      </w:r>
      <w:r w:rsidR="0056297F">
        <w:rPr>
          <w:rFonts w:ascii="Times New Roman" w:eastAsia="Calibri" w:hAnsi="Times New Roman" w:cs="Times New Roman"/>
          <w:bCs/>
          <w:iCs/>
          <w:color w:val="000000"/>
          <w:sz w:val="24"/>
          <w:szCs w:val="24"/>
        </w:rPr>
        <w:t>reštruktur</w:t>
      </w:r>
      <w:r w:rsidR="00FB74DC">
        <w:rPr>
          <w:rFonts w:ascii="Times New Roman" w:eastAsia="Calibri" w:hAnsi="Times New Roman" w:cs="Times New Roman"/>
          <w:bCs/>
          <w:iCs/>
          <w:color w:val="000000"/>
          <w:sz w:val="24"/>
          <w:szCs w:val="24"/>
        </w:rPr>
        <w:t>alizačné konania v roku 2020</w:t>
      </w:r>
      <w:r w:rsidR="0056297F">
        <w:rPr>
          <w:rFonts w:ascii="Times New Roman" w:eastAsia="Calibri" w:hAnsi="Times New Roman" w:cs="Times New Roman"/>
          <w:bCs/>
          <w:iCs/>
          <w:color w:val="000000"/>
          <w:sz w:val="24"/>
          <w:szCs w:val="24"/>
        </w:rPr>
        <w:t xml:space="preserve"> sa pri určovaní počtu dotknutých subjektov</w:t>
      </w:r>
      <w:r w:rsidR="00FB74DC">
        <w:rPr>
          <w:rFonts w:ascii="Times New Roman" w:eastAsia="Calibri" w:hAnsi="Times New Roman" w:cs="Times New Roman"/>
          <w:bCs/>
          <w:iCs/>
          <w:color w:val="000000"/>
          <w:sz w:val="24"/>
          <w:szCs w:val="24"/>
        </w:rPr>
        <w:t xml:space="preserve"> vychádzalo</w:t>
      </w:r>
      <w:r w:rsidR="0056297F">
        <w:rPr>
          <w:rFonts w:ascii="Times New Roman" w:eastAsia="Calibri" w:hAnsi="Times New Roman" w:cs="Times New Roman"/>
          <w:bCs/>
          <w:iCs/>
          <w:color w:val="000000"/>
          <w:sz w:val="24"/>
          <w:szCs w:val="24"/>
        </w:rPr>
        <w:t xml:space="preserve"> z </w:t>
      </w:r>
      <w:r w:rsidR="00B36124">
        <w:rPr>
          <w:rFonts w:ascii="Times New Roman" w:eastAsia="Calibri" w:hAnsi="Times New Roman" w:cs="Times New Roman"/>
          <w:bCs/>
          <w:iCs/>
          <w:color w:val="000000"/>
          <w:sz w:val="24"/>
          <w:szCs w:val="24"/>
        </w:rPr>
        <w:t xml:space="preserve">priemerných hodnôt za roky 2018 až </w:t>
      </w:r>
      <w:r w:rsidR="0056297F">
        <w:rPr>
          <w:rFonts w:ascii="Times New Roman" w:eastAsia="Calibri" w:hAnsi="Times New Roman" w:cs="Times New Roman"/>
          <w:bCs/>
          <w:iCs/>
          <w:color w:val="000000"/>
          <w:sz w:val="24"/>
          <w:szCs w:val="24"/>
        </w:rPr>
        <w:t>2020.</w:t>
      </w:r>
    </w:p>
    <w:p w14:paraId="6FFAB257" w14:textId="465A59EC" w:rsidR="001F4DCC" w:rsidRPr="001D1E8C" w:rsidRDefault="001F4DCC" w:rsidP="001F4DCC">
      <w:pPr>
        <w:jc w:val="both"/>
        <w:rPr>
          <w:rFonts w:ascii="Times New Roman" w:eastAsia="Calibri" w:hAnsi="Times New Roman" w:cs="Times New Roman"/>
          <w:bCs/>
          <w:i/>
          <w:iCs/>
          <w:color w:val="000000"/>
          <w:sz w:val="24"/>
          <w:szCs w:val="24"/>
          <w:u w:val="single"/>
        </w:rPr>
      </w:pPr>
      <w:r w:rsidRPr="001D1E8C">
        <w:rPr>
          <w:rFonts w:ascii="Times New Roman" w:eastAsia="Calibri" w:hAnsi="Times New Roman" w:cs="Times New Roman"/>
          <w:bCs/>
          <w:i/>
          <w:iCs/>
          <w:color w:val="000000"/>
          <w:sz w:val="24"/>
          <w:szCs w:val="24"/>
          <w:u w:val="single"/>
        </w:rPr>
        <w:t>Opatrenia (opisy regulácií) č. 1-28</w:t>
      </w:r>
    </w:p>
    <w:p w14:paraId="439931DE" w14:textId="41BF71C5" w:rsidR="001F4DCC" w:rsidRDefault="001F4DCC"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Regulácie sa týkajú riešenia hroziaceho úpadku dlžníkom a preventívneho konania (preventívna reštrukturalizácia). Keďže ide o nové súdne konanie, nie je možné vyčísliť počet dotknutých subjektov na základe existujúcich dát z registrov alebo rezortnej štatistiky. Na to, aby to bolo možné, je potrebné poznať mieru využívania predmetného súdneho konania. Odhady na základe prebiehajúcich alebo ukončených konkurzných a reštrukturalizačných konaní nie je vhodné využiť, keďže samotné konanie o preventívnej reštrukturalizácii je navrhované pre podnikateľské subjekty ako dobrovoľné. Z tohto dôvodu sú pre kvantifikáciu dotknutých subjektov a nákladov pri týchto reguláciách použité modelové príklady na 1 podnikateľský subjekt. </w:t>
      </w:r>
      <w:r w:rsidR="001D1E8C">
        <w:rPr>
          <w:rFonts w:ascii="Times New Roman" w:eastAsia="Calibri" w:hAnsi="Times New Roman" w:cs="Times New Roman"/>
          <w:bCs/>
          <w:iCs/>
          <w:color w:val="000000"/>
          <w:sz w:val="24"/>
          <w:szCs w:val="24"/>
        </w:rPr>
        <w:t>Pre každú reguláciu je nižšie uvedený opis určenia nákladov.</w:t>
      </w:r>
    </w:p>
    <w:p w14:paraId="4B188D3A" w14:textId="05C91CEB" w:rsidR="003F1E3A" w:rsidRPr="007243C1" w:rsidRDefault="003F1E3A" w:rsidP="007243C1">
      <w:pPr>
        <w:pStyle w:val="Odsekzoznamu"/>
        <w:numPr>
          <w:ilvl w:val="0"/>
          <w:numId w:val="9"/>
        </w:numPr>
        <w:jc w:val="both"/>
        <w:rPr>
          <w:rFonts w:ascii="Times New Roman" w:eastAsia="Calibri" w:hAnsi="Times New Roman" w:cs="Times New Roman"/>
          <w:bCs/>
          <w:i/>
          <w:iCs/>
          <w:color w:val="000000"/>
          <w:sz w:val="24"/>
          <w:szCs w:val="24"/>
        </w:rPr>
      </w:pPr>
      <w:r w:rsidRPr="007243C1">
        <w:rPr>
          <w:rFonts w:ascii="Times New Roman" w:eastAsia="Calibri" w:hAnsi="Times New Roman" w:cs="Times New Roman"/>
          <w:bCs/>
          <w:i/>
          <w:iCs/>
          <w:color w:val="000000"/>
          <w:sz w:val="24"/>
          <w:szCs w:val="24"/>
        </w:rPr>
        <w:t>Výber poradcu v preventívnom konaní</w:t>
      </w:r>
    </w:p>
    <w:p w14:paraId="3194CBAF" w14:textId="1F142F14" w:rsidR="003F1E3A" w:rsidRDefault="003F1E3A" w:rsidP="00054C41">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 xml:space="preserve">Keďže ide o náklady spojené s výberom poradcu a s tým spojené náklady na uhradenie služieb, tak prvé z nákladov boli určené ako nepriame. Nakoľko, na výber poradcu a výšku odmeny budú mať vplyv aj veritelia a trh poradenských služieb, nie je možné vopred kvantifikovať výšku nákladov. Okrem toho táto regulácia zvyšuje aj administratívne náklady podnikateľských subjektov. Tie boli </w:t>
      </w:r>
      <w:r>
        <w:rPr>
          <w:rFonts w:ascii="Times New Roman" w:eastAsia="Calibri" w:hAnsi="Times New Roman" w:cs="Times New Roman"/>
          <w:sz w:val="24"/>
          <w:szCs w:val="24"/>
        </w:rPr>
        <w:t xml:space="preserve">počítané druhou alternatívou podľa metodiky (výberom z číselníka typických administratívnych povinností). Typ administratívnych nákladov bol určený ako poskytnutie súčinnosti pri </w:t>
      </w:r>
      <w:r w:rsidR="001A7191">
        <w:rPr>
          <w:rFonts w:ascii="Times New Roman" w:eastAsia="Calibri" w:hAnsi="Times New Roman" w:cs="Times New Roman"/>
          <w:sz w:val="24"/>
          <w:szCs w:val="24"/>
        </w:rPr>
        <w:t>jednorazovej/</w:t>
      </w:r>
      <w:r>
        <w:rPr>
          <w:rFonts w:ascii="Times New Roman" w:eastAsia="Calibri" w:hAnsi="Times New Roman" w:cs="Times New Roman"/>
          <w:sz w:val="24"/>
          <w:szCs w:val="24"/>
        </w:rPr>
        <w:t>nepravidelnej frekvencii</w:t>
      </w:r>
      <w:r w:rsidR="001D1E8C">
        <w:rPr>
          <w:rFonts w:ascii="Times New Roman" w:eastAsia="Calibri" w:hAnsi="Times New Roman" w:cs="Times New Roman"/>
          <w:sz w:val="24"/>
          <w:szCs w:val="24"/>
        </w:rPr>
        <w:t xml:space="preserve"> (</w:t>
      </w:r>
      <w:r w:rsidR="00683ECF">
        <w:rPr>
          <w:rFonts w:ascii="Times New Roman" w:eastAsia="Calibri" w:hAnsi="Times New Roman" w:cs="Times New Roman"/>
          <w:bCs/>
          <w:iCs/>
          <w:color w:val="000000"/>
          <w:sz w:val="24"/>
          <w:szCs w:val="24"/>
        </w:rPr>
        <w:t>dotknutým subjektom sa neukladajú povinnosti, ktoré by boli na pravid</w:t>
      </w:r>
      <w:r w:rsidR="0035419F">
        <w:rPr>
          <w:rFonts w:ascii="Times New Roman" w:eastAsia="Calibri" w:hAnsi="Times New Roman" w:cs="Times New Roman"/>
          <w:bCs/>
          <w:iCs/>
          <w:color w:val="000000"/>
          <w:sz w:val="24"/>
          <w:szCs w:val="24"/>
        </w:rPr>
        <w:t>elnej báze, z charakteru</w:t>
      </w:r>
      <w:r w:rsidR="00683ECF">
        <w:rPr>
          <w:rFonts w:ascii="Times New Roman" w:eastAsia="Calibri" w:hAnsi="Times New Roman" w:cs="Times New Roman"/>
          <w:bCs/>
          <w:iCs/>
          <w:color w:val="000000"/>
          <w:sz w:val="24"/>
          <w:szCs w:val="24"/>
        </w:rPr>
        <w:t xml:space="preserve"> </w:t>
      </w:r>
      <w:r w:rsidR="001F16B3">
        <w:rPr>
          <w:rFonts w:ascii="Times New Roman" w:eastAsia="Calibri" w:hAnsi="Times New Roman" w:cs="Times New Roman"/>
          <w:bCs/>
          <w:iCs/>
          <w:color w:val="000000"/>
          <w:sz w:val="24"/>
          <w:szCs w:val="24"/>
        </w:rPr>
        <w:t xml:space="preserve">súdneho </w:t>
      </w:r>
      <w:r w:rsidR="00683ECF">
        <w:rPr>
          <w:rFonts w:ascii="Times New Roman" w:eastAsia="Calibri" w:hAnsi="Times New Roman" w:cs="Times New Roman"/>
          <w:bCs/>
          <w:iCs/>
          <w:color w:val="000000"/>
          <w:sz w:val="24"/>
          <w:szCs w:val="24"/>
        </w:rPr>
        <w:t>konania ide o nepravidelné/jednorazové úkony</w:t>
      </w:r>
      <w:r w:rsidR="001D1E8C">
        <w:rPr>
          <w:rFonts w:ascii="Times New Roman" w:eastAsia="Calibri" w:hAnsi="Times New Roman" w:cs="Times New Roman"/>
          <w:bCs/>
          <w:iCs/>
          <w:color w:val="000000"/>
          <w:sz w:val="24"/>
          <w:szCs w:val="24"/>
        </w:rPr>
        <w:t>)</w:t>
      </w:r>
      <w:r>
        <w:rPr>
          <w:rFonts w:ascii="Times New Roman" w:eastAsia="Calibri" w:hAnsi="Times New Roman" w:cs="Times New Roman"/>
          <w:sz w:val="24"/>
          <w:szCs w:val="24"/>
        </w:rPr>
        <w:t>.</w:t>
      </w:r>
    </w:p>
    <w:p w14:paraId="38093389" w14:textId="01EABA50" w:rsidR="001A7191" w:rsidRPr="007243C1" w:rsidRDefault="001A7191"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Informovanie veriteľov o výbere a zmene poradcu v preventívnom konaní</w:t>
      </w:r>
    </w:p>
    <w:p w14:paraId="32AAF602" w14:textId="650A9366" w:rsidR="001A7191" w:rsidRDefault="001A7191" w:rsidP="001A7191">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lastRenderedPageBreak/>
        <w:t>Náklady regulácie boli určené ako administratívne</w:t>
      </w:r>
      <w:r w:rsidR="001D1E8C">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r w:rsidR="001D1E8C">
        <w:rPr>
          <w:rFonts w:ascii="Times New Roman" w:eastAsia="Calibri" w:hAnsi="Times New Roman" w:cs="Times New Roman"/>
          <w:bCs/>
          <w:iCs/>
          <w:color w:val="000000"/>
          <w:sz w:val="24"/>
          <w:szCs w:val="24"/>
        </w:rPr>
        <w:t xml:space="preserve">Pri kvantifikácii bol zvolený postup na základe alternatívy č. 2 pre administratívne náklady, kedy </w:t>
      </w:r>
      <w:r w:rsidR="000C53A1">
        <w:rPr>
          <w:rFonts w:ascii="Times New Roman" w:eastAsia="Calibri" w:hAnsi="Times New Roman" w:cs="Times New Roman"/>
          <w:bCs/>
          <w:iCs/>
          <w:color w:val="000000"/>
          <w:sz w:val="24"/>
          <w:szCs w:val="24"/>
        </w:rPr>
        <w:t xml:space="preserve">bola </w:t>
      </w:r>
      <w:r w:rsidR="001D1E8C">
        <w:rPr>
          <w:rFonts w:ascii="Times New Roman" w:eastAsia="Calibri" w:hAnsi="Times New Roman" w:cs="Times New Roman"/>
          <w:bCs/>
          <w:iCs/>
          <w:color w:val="000000"/>
          <w:sz w:val="24"/>
          <w:szCs w:val="24"/>
        </w:rPr>
        <w:t>zvolená hodnota z preddefinovaného číselníka.</w:t>
      </w:r>
      <w:r>
        <w:rPr>
          <w:rFonts w:ascii="Times New Roman" w:eastAsia="Calibri" w:hAnsi="Times New Roman" w:cs="Times New Roman"/>
          <w:sz w:val="24"/>
          <w:szCs w:val="24"/>
        </w:rPr>
        <w:t xml:space="preserve"> Typ administratívnych nákladov bol určený ako o</w:t>
      </w:r>
      <w:r w:rsidR="00683ECF">
        <w:rPr>
          <w:rFonts w:ascii="Times New Roman" w:eastAsia="Calibri" w:hAnsi="Times New Roman" w:cs="Times New Roman"/>
          <w:sz w:val="24"/>
          <w:szCs w:val="24"/>
        </w:rPr>
        <w:t xml:space="preserve">hlásenie, </w:t>
      </w:r>
      <w:r>
        <w:rPr>
          <w:rFonts w:ascii="Times New Roman" w:eastAsia="Calibri" w:hAnsi="Times New Roman" w:cs="Times New Roman"/>
          <w:sz w:val="24"/>
          <w:szCs w:val="24"/>
        </w:rPr>
        <w:t>oznámenie</w:t>
      </w:r>
      <w:r w:rsidR="00683ECF">
        <w:rPr>
          <w:rFonts w:ascii="Times New Roman" w:eastAsia="Calibri" w:hAnsi="Times New Roman" w:cs="Times New Roman"/>
          <w:sz w:val="24"/>
          <w:szCs w:val="24"/>
        </w:rPr>
        <w:t xml:space="preserve">, </w:t>
      </w:r>
      <w:r>
        <w:rPr>
          <w:rFonts w:ascii="Times New Roman" w:eastAsia="Calibri" w:hAnsi="Times New Roman" w:cs="Times New Roman"/>
          <w:sz w:val="24"/>
          <w:szCs w:val="24"/>
        </w:rPr>
        <w:t>poskytnutie informácie pri jednorazovej/nepravidelnej frekvencii</w:t>
      </w:r>
      <w:r w:rsidR="001D1E8C">
        <w:rPr>
          <w:rFonts w:ascii="Times New Roman" w:eastAsia="Calibri" w:hAnsi="Times New Roman" w:cs="Times New Roman"/>
          <w:sz w:val="24"/>
          <w:szCs w:val="24"/>
        </w:rPr>
        <w:t xml:space="preserve"> (</w:t>
      </w:r>
      <w:r w:rsidR="00683ECF">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001D1E8C">
        <w:rPr>
          <w:rFonts w:ascii="Times New Roman" w:eastAsia="Calibri" w:hAnsi="Times New Roman" w:cs="Times New Roman"/>
          <w:bCs/>
          <w:iCs/>
          <w:color w:val="000000"/>
          <w:sz w:val="24"/>
          <w:szCs w:val="24"/>
        </w:rPr>
        <w:t>)</w:t>
      </w:r>
      <w:r>
        <w:rPr>
          <w:rFonts w:ascii="Times New Roman" w:eastAsia="Calibri" w:hAnsi="Times New Roman" w:cs="Times New Roman"/>
          <w:sz w:val="24"/>
          <w:szCs w:val="24"/>
        </w:rPr>
        <w:t>.</w:t>
      </w:r>
    </w:p>
    <w:p w14:paraId="7ED13CD7" w14:textId="08843722" w:rsidR="001A7191" w:rsidRPr="007243C1" w:rsidRDefault="001A7191"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Podanie návrhu na povolenie verejnej preventívnej reštrukturalizácie</w:t>
      </w:r>
    </w:p>
    <w:p w14:paraId="097D09F1" w14:textId="503DE590" w:rsidR="001D1E8C" w:rsidRDefault="001D1E8C"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žiadosť/návrh pri jednorazovej/nepravidelnej frekvencii (</w:t>
      </w:r>
      <w:r w:rsidR="00683ECF">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bCs/>
          <w:iCs/>
          <w:color w:val="000000"/>
          <w:sz w:val="24"/>
          <w:szCs w:val="24"/>
        </w:rPr>
        <w:t>)</w:t>
      </w:r>
      <w:r>
        <w:rPr>
          <w:rFonts w:ascii="Times New Roman" w:eastAsia="Calibri" w:hAnsi="Times New Roman" w:cs="Times New Roman"/>
          <w:sz w:val="24"/>
          <w:szCs w:val="24"/>
        </w:rPr>
        <w:t>.</w:t>
      </w:r>
    </w:p>
    <w:p w14:paraId="6565D504" w14:textId="054CB2DE" w:rsidR="00683ECF" w:rsidRPr="007243C1" w:rsidRDefault="00683ECF" w:rsidP="007243C1">
      <w:pPr>
        <w:pStyle w:val="Odsekzoznamu"/>
        <w:numPr>
          <w:ilvl w:val="0"/>
          <w:numId w:val="9"/>
        </w:numPr>
        <w:jc w:val="both"/>
        <w:rPr>
          <w:rFonts w:ascii="Times New Roman" w:eastAsia="Calibri" w:hAnsi="Times New Roman" w:cs="Times New Roman"/>
          <w:bCs/>
          <w:i/>
          <w:iCs/>
          <w:color w:val="000000"/>
          <w:sz w:val="24"/>
          <w:szCs w:val="24"/>
        </w:rPr>
      </w:pPr>
      <w:r w:rsidRPr="007243C1">
        <w:rPr>
          <w:rFonts w:ascii="Times New Roman" w:eastAsia="Calibri" w:hAnsi="Times New Roman" w:cs="Times New Roman"/>
          <w:bCs/>
          <w:i/>
          <w:iCs/>
          <w:color w:val="000000"/>
          <w:sz w:val="24"/>
          <w:szCs w:val="24"/>
        </w:rPr>
        <w:t>Vypracovanie konceptu plánu</w:t>
      </w:r>
    </w:p>
    <w:p w14:paraId="5AF68399" w14:textId="71B41EC8" w:rsidR="00683ECF" w:rsidRDefault="00683ECF"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predmetnej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vypracovanie dokumentu/správy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30D471F8" w14:textId="06FEE8DD" w:rsidR="001D1E8C" w:rsidRPr="007243C1" w:rsidRDefault="001D1E8C" w:rsidP="007243C1">
      <w:pPr>
        <w:pStyle w:val="Odsekzoznamu"/>
        <w:numPr>
          <w:ilvl w:val="0"/>
          <w:numId w:val="9"/>
        </w:numPr>
        <w:jc w:val="both"/>
        <w:rPr>
          <w:rFonts w:ascii="Times New Roman" w:eastAsia="Calibri" w:hAnsi="Times New Roman" w:cs="Times New Roman"/>
          <w:bCs/>
          <w:i/>
          <w:iCs/>
          <w:color w:val="000000"/>
          <w:sz w:val="24"/>
          <w:szCs w:val="24"/>
        </w:rPr>
      </w:pPr>
      <w:r w:rsidRPr="007243C1">
        <w:rPr>
          <w:rFonts w:ascii="Times New Roman" w:eastAsia="Calibri" w:hAnsi="Times New Roman" w:cs="Times New Roman"/>
          <w:bCs/>
          <w:i/>
          <w:iCs/>
          <w:color w:val="000000"/>
          <w:sz w:val="24"/>
          <w:szCs w:val="24"/>
        </w:rPr>
        <w:t xml:space="preserve">Zápis do Registra partnerov verejného sektora (RPVS) </w:t>
      </w:r>
    </w:p>
    <w:p w14:paraId="06ACEE74" w14:textId="3FFFE5AC" w:rsidR="001D1E8C" w:rsidRDefault="001D1E8C"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Podľa navrhovanej úpravy musí byť dlžník v čase podania návrhu na preventívnu reštrukturalizáciu zapísaný v RPVS. Na tento účel si potrebuje zabezpečiť služby oprávnenej osoby, s ktorou uzaviera dohodu o plnení povinností. Na základe týchto skutočností bola táto regulácia vyhodnotená ako zvyšujúca nepriame finančné náklady a administratívne náklady dotknutých subjektov. Po zápise do RPVS je potrebné overiť identifikáciu konečného užívateľa výhod k 31. 12. Frekvencia plnenia povinnosti bola preto zvolená 1-krát ročne. Čo sa týka samotných nákladov na jedného podnikateľa, tieto boli určené na základe odhadu praxe na 500 €. Pri kvantifikácii administratívnych nákladov bol zvolený postup na základe alternatívy č. 2 pre administratívne náklady, kedy bola podľa povahy jednotlivých regulácií zvolená hodnota z preddefinovaného číselníka.</w:t>
      </w:r>
      <w:r>
        <w:rPr>
          <w:rFonts w:ascii="Times New Roman" w:eastAsia="Calibri" w:hAnsi="Times New Roman" w:cs="Times New Roman"/>
          <w:sz w:val="24"/>
          <w:szCs w:val="24"/>
        </w:rPr>
        <w:t xml:space="preserve"> Typ administratívnych nákladov bol určený ako žiadosť/návrh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571AD8D1" w14:textId="03692FB3" w:rsidR="00683ECF" w:rsidRPr="007243C1" w:rsidRDefault="00683ECF"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Sprístupnenie návrhu, príloh a konceptu plánu veriteľom v elektronickej podobe</w:t>
      </w:r>
    </w:p>
    <w:p w14:paraId="6B9A4D97" w14:textId="1A3C7D3F" w:rsidR="00683ECF" w:rsidRDefault="00683ECF"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predloženie dokladu/dokumentu elektronicky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438888F0" w14:textId="07A8A903" w:rsidR="00683ECF" w:rsidRPr="007243C1" w:rsidRDefault="00683ECF"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lastRenderedPageBreak/>
        <w:t>Informovanie súdu, správcu, veriteľského výboru a veriteľov o úpadku</w:t>
      </w:r>
    </w:p>
    <w:p w14:paraId="646AE603" w14:textId="7B1A5408" w:rsidR="00683ECF" w:rsidRDefault="00683ECF"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ohlásenie, oznámenie, poskytnutie informácie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689E1168" w14:textId="10C30D06" w:rsidR="007243C1" w:rsidRPr="007243C1" w:rsidRDefault="007243C1"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Zverejnenie vyhlásenia v OV po skončení verejnej preventívnej reštrukturalizácie</w:t>
      </w:r>
    </w:p>
    <w:p w14:paraId="59C29A3A" w14:textId="4E20727E" w:rsidR="007243C1" w:rsidRDefault="007243C1"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w:t>
      </w:r>
      <w:r w:rsidR="0073759A">
        <w:rPr>
          <w:rFonts w:ascii="Times New Roman" w:eastAsia="Calibri" w:hAnsi="Times New Roman" w:cs="Times New Roman"/>
          <w:sz w:val="24"/>
          <w:szCs w:val="24"/>
        </w:rPr>
        <w:t xml:space="preserve">ohlásenie, oznámenie, poskytnutie informácie </w:t>
      </w:r>
      <w:r>
        <w:rPr>
          <w:rFonts w:ascii="Times New Roman" w:eastAsia="Calibri" w:hAnsi="Times New Roman" w:cs="Times New Roman"/>
          <w:sz w:val="24"/>
          <w:szCs w:val="24"/>
        </w:rPr>
        <w:t>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05D3167D" w14:textId="1C08015B" w:rsidR="007243C1" w:rsidRDefault="007243C1" w:rsidP="007243C1">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Z</w:t>
      </w:r>
      <w:r w:rsidRPr="007243C1">
        <w:rPr>
          <w:rFonts w:ascii="Times New Roman" w:eastAsia="Calibri" w:hAnsi="Times New Roman" w:cs="Times New Roman"/>
          <w:i/>
          <w:sz w:val="24"/>
          <w:szCs w:val="24"/>
        </w:rPr>
        <w:t>ostavenie priebežnej účtovnej závierky pre účely poskytnutia dočasnej ochrany</w:t>
      </w:r>
    </w:p>
    <w:p w14:paraId="7A28B3FB" w14:textId="00F84F52" w:rsidR="007243C1" w:rsidRPr="007243C1" w:rsidRDefault="007243C1" w:rsidP="007243C1">
      <w:pPr>
        <w:jc w:val="both"/>
        <w:rPr>
          <w:rFonts w:ascii="Times New Roman" w:eastAsia="Calibri" w:hAnsi="Times New Roman" w:cs="Times New Roman"/>
          <w:sz w:val="24"/>
          <w:szCs w:val="24"/>
        </w:rPr>
      </w:pPr>
      <w:r w:rsidRPr="007243C1">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7243C1">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vypracovanie dokumentu/správy</w:t>
      </w:r>
      <w:r w:rsidRPr="007243C1">
        <w:rPr>
          <w:rFonts w:ascii="Times New Roman" w:eastAsia="Calibri" w:hAnsi="Times New Roman" w:cs="Times New Roman"/>
          <w:sz w:val="24"/>
          <w:szCs w:val="24"/>
        </w:rPr>
        <w:t xml:space="preserve"> pri jednorazovej/nepravidelnej frekvencii (</w:t>
      </w:r>
      <w:r w:rsidRPr="007243C1">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7243C1">
        <w:rPr>
          <w:rFonts w:ascii="Times New Roman" w:eastAsia="Calibri" w:hAnsi="Times New Roman" w:cs="Times New Roman"/>
          <w:sz w:val="24"/>
          <w:szCs w:val="24"/>
        </w:rPr>
        <w:t>.</w:t>
      </w:r>
    </w:p>
    <w:p w14:paraId="1D5F1423" w14:textId="390A4966" w:rsidR="00683ECF" w:rsidRPr="007243C1" w:rsidRDefault="00683ECF"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Podanie žiadosti o predĺženie dočasnej ochrany</w:t>
      </w:r>
    </w:p>
    <w:p w14:paraId="165AF78E" w14:textId="1EA30124" w:rsidR="00683ECF" w:rsidRDefault="00683ECF" w:rsidP="001D1E8C">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žiadosť/návrh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3F31826B" w14:textId="128F033C" w:rsidR="007243C1" w:rsidRPr="007243C1" w:rsidRDefault="007243C1"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Podanie žiadosti o ukončenie dočasnej ochrany</w:t>
      </w:r>
    </w:p>
    <w:p w14:paraId="696516DD" w14:textId="50D397EF" w:rsidR="007243C1" w:rsidRDefault="007243C1" w:rsidP="007243C1">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Pr>
          <w:rFonts w:ascii="Times New Roman" w:eastAsia="Calibri" w:hAnsi="Times New Roman" w:cs="Times New Roman"/>
          <w:sz w:val="24"/>
          <w:szCs w:val="24"/>
        </w:rPr>
        <w:t xml:space="preserve"> Typ administratívnych nákladov bol určený ako žiadosť/návrh pri jednorazovej/nepravidelnej frekvencii (</w:t>
      </w:r>
      <w:r>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401C2158" w14:textId="02AB40A5" w:rsidR="007243C1" w:rsidRDefault="007243C1" w:rsidP="007243C1">
      <w:pPr>
        <w:pStyle w:val="Odsekzoznamu"/>
        <w:numPr>
          <w:ilvl w:val="0"/>
          <w:numId w:val="9"/>
        </w:numPr>
        <w:jc w:val="both"/>
        <w:rPr>
          <w:rFonts w:ascii="Times New Roman" w:eastAsia="Calibri" w:hAnsi="Times New Roman" w:cs="Times New Roman"/>
          <w:i/>
          <w:sz w:val="24"/>
          <w:szCs w:val="24"/>
        </w:rPr>
      </w:pPr>
      <w:r w:rsidRPr="007243C1">
        <w:rPr>
          <w:rFonts w:ascii="Times New Roman" w:eastAsia="Calibri" w:hAnsi="Times New Roman" w:cs="Times New Roman"/>
          <w:i/>
          <w:sz w:val="24"/>
          <w:szCs w:val="24"/>
        </w:rPr>
        <w:t>Poskytnutie súčinnosti správcovi</w:t>
      </w:r>
    </w:p>
    <w:p w14:paraId="563F7EE7" w14:textId="73B8CD4F" w:rsidR="007243C1" w:rsidRPr="007243C1" w:rsidRDefault="007243C1" w:rsidP="007243C1">
      <w:pPr>
        <w:jc w:val="both"/>
        <w:rPr>
          <w:rFonts w:ascii="Times New Roman" w:eastAsia="Calibri" w:hAnsi="Times New Roman" w:cs="Times New Roman"/>
          <w:sz w:val="24"/>
          <w:szCs w:val="24"/>
        </w:rPr>
      </w:pPr>
      <w:r w:rsidRPr="007243C1">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7243C1">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 xml:space="preserve">poskytnutie súčinnosti </w:t>
      </w:r>
      <w:r w:rsidRPr="007243C1">
        <w:rPr>
          <w:rFonts w:ascii="Times New Roman" w:eastAsia="Calibri" w:hAnsi="Times New Roman" w:cs="Times New Roman"/>
          <w:sz w:val="24"/>
          <w:szCs w:val="24"/>
        </w:rPr>
        <w:t xml:space="preserve">pri </w:t>
      </w:r>
      <w:r>
        <w:rPr>
          <w:rFonts w:ascii="Times New Roman" w:eastAsia="Calibri" w:hAnsi="Times New Roman" w:cs="Times New Roman"/>
          <w:sz w:val="24"/>
          <w:szCs w:val="24"/>
        </w:rPr>
        <w:t>mesačnej frekvencii</w:t>
      </w:r>
      <w:r w:rsidRPr="007243C1">
        <w:rPr>
          <w:rFonts w:ascii="Times New Roman" w:eastAsia="Calibri" w:hAnsi="Times New Roman" w:cs="Times New Roman"/>
          <w:sz w:val="24"/>
          <w:szCs w:val="24"/>
        </w:rPr>
        <w:t xml:space="preserve"> (</w:t>
      </w:r>
      <w:r w:rsidR="009D68EC">
        <w:rPr>
          <w:rFonts w:ascii="Times New Roman" w:eastAsia="Calibri" w:hAnsi="Times New Roman" w:cs="Times New Roman"/>
          <w:bCs/>
          <w:iCs/>
          <w:color w:val="000000"/>
          <w:sz w:val="24"/>
          <w:szCs w:val="24"/>
        </w:rPr>
        <w:t>predpokladá sa pravidelné poskytnutie súčinnosti</w:t>
      </w:r>
      <w:r w:rsidRPr="007243C1">
        <w:rPr>
          <w:rFonts w:ascii="Times New Roman" w:eastAsia="Calibri" w:hAnsi="Times New Roman" w:cs="Times New Roman"/>
          <w:bCs/>
          <w:iCs/>
          <w:color w:val="000000"/>
          <w:sz w:val="24"/>
          <w:szCs w:val="24"/>
        </w:rPr>
        <w:t>)</w:t>
      </w:r>
      <w:r w:rsidRPr="007243C1">
        <w:rPr>
          <w:rFonts w:ascii="Times New Roman" w:eastAsia="Calibri" w:hAnsi="Times New Roman" w:cs="Times New Roman"/>
          <w:sz w:val="24"/>
          <w:szCs w:val="24"/>
        </w:rPr>
        <w:t>.</w:t>
      </w:r>
    </w:p>
    <w:p w14:paraId="4D39B5A3" w14:textId="6EA65F90" w:rsidR="007243C1" w:rsidRDefault="00455042" w:rsidP="009D68EC">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 28. </w:t>
      </w:r>
      <w:r w:rsidR="009D68EC">
        <w:rPr>
          <w:rFonts w:ascii="Times New Roman" w:eastAsia="Calibri" w:hAnsi="Times New Roman" w:cs="Times New Roman"/>
          <w:i/>
          <w:sz w:val="24"/>
          <w:szCs w:val="24"/>
        </w:rPr>
        <w:t>Ú</w:t>
      </w:r>
      <w:r w:rsidR="009D68EC" w:rsidRPr="009D68EC">
        <w:rPr>
          <w:rFonts w:ascii="Times New Roman" w:eastAsia="Calibri" w:hAnsi="Times New Roman" w:cs="Times New Roman"/>
          <w:i/>
          <w:sz w:val="24"/>
          <w:szCs w:val="24"/>
        </w:rPr>
        <w:t>hrada odmeny a výdavkov správcu veriteľmi</w:t>
      </w:r>
      <w:r w:rsidR="009D68EC">
        <w:rPr>
          <w:rFonts w:ascii="Times New Roman" w:eastAsia="Calibri" w:hAnsi="Times New Roman" w:cs="Times New Roman"/>
          <w:i/>
          <w:sz w:val="24"/>
          <w:szCs w:val="24"/>
        </w:rPr>
        <w:t xml:space="preserve"> a dlžníkom</w:t>
      </w:r>
    </w:p>
    <w:p w14:paraId="6B321128" w14:textId="0E01B2CF" w:rsidR="009D68EC" w:rsidRDefault="009D68EC" w:rsidP="009D68EC">
      <w:pPr>
        <w:jc w:val="both"/>
        <w:rPr>
          <w:rFonts w:ascii="Times New Roman" w:eastAsia="Calibri" w:hAnsi="Times New Roman" w:cs="Times New Roman"/>
          <w:sz w:val="24"/>
          <w:szCs w:val="24"/>
        </w:rPr>
      </w:pPr>
      <w:r>
        <w:rPr>
          <w:rFonts w:ascii="Times New Roman" w:eastAsia="Calibri" w:hAnsi="Times New Roman" w:cs="Times New Roman"/>
          <w:sz w:val="24"/>
          <w:szCs w:val="24"/>
        </w:rPr>
        <w:t>Náklady regulácie boli určené ako</w:t>
      </w:r>
      <w:r w:rsidR="00143C05">
        <w:rPr>
          <w:rFonts w:ascii="Times New Roman" w:eastAsia="Calibri" w:hAnsi="Times New Roman" w:cs="Times New Roman"/>
          <w:sz w:val="24"/>
          <w:szCs w:val="24"/>
        </w:rPr>
        <w:t xml:space="preserve"> nepriame, keďže veritelia, príp. dlžník,</w:t>
      </w:r>
      <w:r>
        <w:rPr>
          <w:rFonts w:ascii="Times New Roman" w:eastAsia="Calibri" w:hAnsi="Times New Roman" w:cs="Times New Roman"/>
          <w:sz w:val="24"/>
          <w:szCs w:val="24"/>
        </w:rPr>
        <w:t xml:space="preserve"> budú mať povinnosť uhradiť odmenu a výdavky správcu spojené s konaním. Z charakteru súdneho konania ide o nepravidelný/jednorazový úkon, preto aj frekvencia bola takto zvolená. Výšku nákladov na jeden podnikateľský subjekt však nie je možné vyčísliť</w:t>
      </w:r>
      <w:r w:rsidR="00AE6C5A">
        <w:rPr>
          <w:rFonts w:ascii="Times New Roman" w:eastAsia="Calibri" w:hAnsi="Times New Roman" w:cs="Times New Roman"/>
          <w:sz w:val="24"/>
          <w:szCs w:val="24"/>
        </w:rPr>
        <w:t>,</w:t>
      </w:r>
      <w:r>
        <w:rPr>
          <w:rFonts w:ascii="Times New Roman" w:eastAsia="Calibri" w:hAnsi="Times New Roman" w:cs="Times New Roman"/>
          <w:sz w:val="24"/>
          <w:szCs w:val="24"/>
        </w:rPr>
        <w:t xml:space="preserve"> nakoľko výšku a spôsob úhrady odmeny výdavkov správcu stanoví vykonávací predpis.</w:t>
      </w:r>
    </w:p>
    <w:p w14:paraId="11474C16" w14:textId="3E1BF2C6" w:rsidR="009D68EC" w:rsidRPr="009D68EC" w:rsidRDefault="009D68EC" w:rsidP="009D68EC">
      <w:pPr>
        <w:pStyle w:val="Odsekzoznamu"/>
        <w:numPr>
          <w:ilvl w:val="0"/>
          <w:numId w:val="9"/>
        </w:numPr>
        <w:jc w:val="both"/>
        <w:rPr>
          <w:rFonts w:ascii="Times New Roman" w:eastAsia="Calibri" w:hAnsi="Times New Roman" w:cs="Times New Roman"/>
          <w:i/>
          <w:sz w:val="24"/>
          <w:szCs w:val="24"/>
        </w:rPr>
      </w:pPr>
      <w:r w:rsidRPr="009D68EC">
        <w:rPr>
          <w:rFonts w:ascii="Times New Roman" w:eastAsia="Calibri" w:hAnsi="Times New Roman" w:cs="Times New Roman"/>
          <w:i/>
          <w:sz w:val="24"/>
          <w:szCs w:val="24"/>
        </w:rPr>
        <w:t>Vyhotovenie zoznamu veriteľov</w:t>
      </w:r>
    </w:p>
    <w:p w14:paraId="5C9EEF93" w14:textId="50187DCC" w:rsidR="00191105" w:rsidRP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191105">
        <w:rPr>
          <w:rFonts w:ascii="Times New Roman" w:eastAsia="Calibri" w:hAnsi="Times New Roman" w:cs="Times New Roman"/>
          <w:sz w:val="24"/>
          <w:szCs w:val="24"/>
        </w:rPr>
        <w:t xml:space="preserve"> Typ administratívnych nákladov bol určený ako vypracovanie dokumentu/správy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513D6BDF" w14:textId="1130C9D4" w:rsidR="009D68EC"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O</w:t>
      </w:r>
      <w:r w:rsidRPr="00191105">
        <w:rPr>
          <w:rFonts w:ascii="Times New Roman" w:eastAsia="Calibri" w:hAnsi="Times New Roman" w:cs="Times New Roman"/>
          <w:i/>
          <w:sz w:val="24"/>
          <w:szCs w:val="24"/>
        </w:rPr>
        <w:t>prava alebo doplnenie zoznamu veriteľov</w:t>
      </w:r>
    </w:p>
    <w:p w14:paraId="1B271027" w14:textId="25F1D484" w:rsidR="00191105" w:rsidRP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evidencia, vedenie dokumentácie</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17BB89DB" w14:textId="1D214FFC" w:rsid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Ž</w:t>
      </w:r>
      <w:r w:rsidRPr="00191105">
        <w:rPr>
          <w:rFonts w:ascii="Times New Roman" w:eastAsia="Calibri" w:hAnsi="Times New Roman" w:cs="Times New Roman"/>
          <w:i/>
          <w:sz w:val="24"/>
          <w:szCs w:val="24"/>
        </w:rPr>
        <w:t>iadosť o opravu alebo doplnenie zoznamu veriteľov</w:t>
      </w:r>
    </w:p>
    <w:p w14:paraId="677BEA7A" w14:textId="29479B8F" w:rsid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w:t>
      </w:r>
      <w:r w:rsidR="000C53A1">
        <w:rPr>
          <w:rFonts w:ascii="Times New Roman" w:eastAsia="Calibri" w:hAnsi="Times New Roman" w:cs="Times New Roman"/>
          <w:bCs/>
          <w:iCs/>
          <w:color w:val="000000"/>
          <w:sz w:val="24"/>
          <w:szCs w:val="24"/>
        </w:rPr>
        <w:t xml:space="preserve">nistratívne náklady, kedy bola </w:t>
      </w:r>
      <w:r w:rsidRPr="00191105">
        <w:rPr>
          <w:rFonts w:ascii="Times New Roman" w:eastAsia="Calibri" w:hAnsi="Times New Roman" w:cs="Times New Roman"/>
          <w:bCs/>
          <w:iCs/>
          <w:color w:val="000000"/>
          <w:sz w:val="24"/>
          <w:szCs w:val="24"/>
        </w:rPr>
        <w:t>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žiadosť/návrh</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22F273A6" w14:textId="78854E46" w:rsid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D</w:t>
      </w:r>
      <w:r w:rsidRPr="00191105">
        <w:rPr>
          <w:rFonts w:ascii="Times New Roman" w:eastAsia="Calibri" w:hAnsi="Times New Roman" w:cs="Times New Roman"/>
          <w:i/>
          <w:sz w:val="24"/>
          <w:szCs w:val="24"/>
        </w:rPr>
        <w:t>oručenie opraveného alebo doplneného zoznamu veriteľov súdu</w:t>
      </w:r>
    </w:p>
    <w:p w14:paraId="2FF608AE" w14:textId="14190D77" w:rsid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predloženie dokladu/dokumentu elektronicky</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0C97DC81" w14:textId="59B0E413" w:rsid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Z</w:t>
      </w:r>
      <w:r w:rsidRPr="00191105">
        <w:rPr>
          <w:rFonts w:ascii="Times New Roman" w:eastAsia="Calibri" w:hAnsi="Times New Roman" w:cs="Times New Roman"/>
          <w:i/>
          <w:sz w:val="24"/>
          <w:szCs w:val="24"/>
        </w:rPr>
        <w:t>volanie informatívnej schôdze</w:t>
      </w:r>
    </w:p>
    <w:p w14:paraId="358B7568" w14:textId="0CBED404" w:rsid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 xml:space="preserve">ohlásenie, oznámenie, poskytnutie informácie </w:t>
      </w:r>
      <w:r w:rsidRPr="00191105">
        <w:rPr>
          <w:rFonts w:ascii="Times New Roman" w:eastAsia="Calibri" w:hAnsi="Times New Roman" w:cs="Times New Roman"/>
          <w:sz w:val="24"/>
          <w:szCs w:val="24"/>
        </w:rPr>
        <w:t>pri jednorazovej/nepravidelnej frekvencii (</w:t>
      </w:r>
      <w:r w:rsidRPr="00191105">
        <w:rPr>
          <w:rFonts w:ascii="Times New Roman" w:eastAsia="Calibri" w:hAnsi="Times New Roman" w:cs="Times New Roman"/>
          <w:bCs/>
          <w:iCs/>
          <w:color w:val="000000"/>
          <w:sz w:val="24"/>
          <w:szCs w:val="24"/>
        </w:rPr>
        <w:t xml:space="preserve">dotknutým </w:t>
      </w:r>
      <w:r w:rsidRPr="00191105">
        <w:rPr>
          <w:rFonts w:ascii="Times New Roman" w:eastAsia="Calibri" w:hAnsi="Times New Roman" w:cs="Times New Roman"/>
          <w:bCs/>
          <w:iCs/>
          <w:color w:val="000000"/>
          <w:sz w:val="24"/>
          <w:szCs w:val="24"/>
        </w:rPr>
        <w:lastRenderedPageBreak/>
        <w:t>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7CB7E021" w14:textId="3A875F54" w:rsidR="00191105" w:rsidRP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V</w:t>
      </w:r>
      <w:r w:rsidRPr="00191105">
        <w:rPr>
          <w:rFonts w:ascii="Times New Roman" w:eastAsia="Calibri" w:hAnsi="Times New Roman" w:cs="Times New Roman"/>
          <w:i/>
          <w:sz w:val="24"/>
          <w:szCs w:val="24"/>
        </w:rPr>
        <w:t>ypracovanie verejného plánu</w:t>
      </w:r>
    </w:p>
    <w:p w14:paraId="079F40C3" w14:textId="1806F166" w:rsidR="00191105" w:rsidRP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podľa povahy jednotlivých regulácií 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vypracovanie dokumentu/správy</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722A9892" w14:textId="4D3C020D" w:rsid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P</w:t>
      </w:r>
      <w:r w:rsidRPr="00191105">
        <w:rPr>
          <w:rFonts w:ascii="Times New Roman" w:eastAsia="Calibri" w:hAnsi="Times New Roman" w:cs="Times New Roman"/>
          <w:i/>
          <w:sz w:val="24"/>
          <w:szCs w:val="24"/>
        </w:rPr>
        <w:t>oskytnutie súčinnosti dotknutému veriteľovi pri určení hodnoty majetku dlžníka</w:t>
      </w:r>
    </w:p>
    <w:p w14:paraId="0E670FBE" w14:textId="06C4D3BE" w:rsid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podľa povahy jednotlivých regulácií zvolená hodnota z preddefinovaného číselníka.</w:t>
      </w:r>
      <w:r w:rsidRPr="00191105">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poskytnutie súčinnosti</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47FBE662" w14:textId="3EB01975" w:rsidR="00191105" w:rsidRPr="00191105" w:rsidRDefault="00191105" w:rsidP="00191105">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Z</w:t>
      </w:r>
      <w:r w:rsidRPr="00191105">
        <w:rPr>
          <w:rFonts w:ascii="Times New Roman" w:eastAsia="Calibri" w:hAnsi="Times New Roman" w:cs="Times New Roman"/>
          <w:i/>
          <w:sz w:val="24"/>
          <w:szCs w:val="24"/>
        </w:rPr>
        <w:t>volanie schvaľovacej schôdze</w:t>
      </w:r>
    </w:p>
    <w:p w14:paraId="24BC378F" w14:textId="6B91DACD" w:rsidR="00191105" w:rsidRDefault="00191105" w:rsidP="00191105">
      <w:pPr>
        <w:jc w:val="both"/>
        <w:rPr>
          <w:rFonts w:ascii="Times New Roman" w:eastAsia="Calibri" w:hAnsi="Times New Roman" w:cs="Times New Roman"/>
          <w:sz w:val="24"/>
          <w:szCs w:val="24"/>
        </w:rPr>
      </w:pPr>
      <w:r w:rsidRPr="00191105">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podľa povahy jednotlivých regulácií zvolená hodnota z preddefinovaného číselníka.</w:t>
      </w:r>
      <w:r w:rsidRPr="00191105">
        <w:rPr>
          <w:rFonts w:ascii="Times New Roman" w:eastAsia="Calibri" w:hAnsi="Times New Roman" w:cs="Times New Roman"/>
          <w:sz w:val="24"/>
          <w:szCs w:val="24"/>
        </w:rPr>
        <w:t xml:space="preserve"> Typ administratívnych nákladov bol určený ako </w:t>
      </w:r>
      <w:r w:rsidR="00967284">
        <w:rPr>
          <w:rFonts w:ascii="Times New Roman" w:eastAsia="Calibri" w:hAnsi="Times New Roman" w:cs="Times New Roman"/>
          <w:sz w:val="24"/>
          <w:szCs w:val="24"/>
        </w:rPr>
        <w:t>ohlásenie, oznámenie, poskytnutie informácie</w:t>
      </w:r>
      <w:r w:rsidRPr="00191105">
        <w:rPr>
          <w:rFonts w:ascii="Times New Roman" w:eastAsia="Calibri" w:hAnsi="Times New Roman" w:cs="Times New Roman"/>
          <w:sz w:val="24"/>
          <w:szCs w:val="24"/>
        </w:rPr>
        <w:t xml:space="preserve"> pri jednorazovej/nepravidelnej frekvencii (</w:t>
      </w:r>
      <w:r w:rsidRPr="00191105">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191105">
        <w:rPr>
          <w:rFonts w:ascii="Times New Roman" w:eastAsia="Calibri" w:hAnsi="Times New Roman" w:cs="Times New Roman"/>
          <w:sz w:val="24"/>
          <w:szCs w:val="24"/>
        </w:rPr>
        <w:t>.</w:t>
      </w:r>
    </w:p>
    <w:p w14:paraId="5583EA99" w14:textId="165F858E" w:rsidR="00967284" w:rsidRDefault="00967284" w:rsidP="00967284">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P</w:t>
      </w:r>
      <w:r w:rsidRPr="00967284">
        <w:rPr>
          <w:rFonts w:ascii="Times New Roman" w:eastAsia="Calibri" w:hAnsi="Times New Roman" w:cs="Times New Roman"/>
          <w:i/>
          <w:sz w:val="24"/>
          <w:szCs w:val="24"/>
        </w:rPr>
        <w:t>odanie návrhu na potvrdenie verejného plánu súdom</w:t>
      </w:r>
    </w:p>
    <w:p w14:paraId="1C94C570" w14:textId="01C8FBE8" w:rsidR="00967284" w:rsidRP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podľa povahy jednotlivých regulácií zvolená hodnota z preddefinovaného číselníka.</w:t>
      </w:r>
      <w:r w:rsidRPr="00967284">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žiadosť/návrh</w:t>
      </w:r>
      <w:r w:rsidRPr="00967284">
        <w:rPr>
          <w:rFonts w:ascii="Times New Roman" w:eastAsia="Calibri" w:hAnsi="Times New Roman" w:cs="Times New Roman"/>
          <w:sz w:val="24"/>
          <w:szCs w:val="24"/>
        </w:rPr>
        <w:t xml:space="preserv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967284">
        <w:rPr>
          <w:rFonts w:ascii="Times New Roman" w:eastAsia="Calibri" w:hAnsi="Times New Roman" w:cs="Times New Roman"/>
          <w:sz w:val="24"/>
          <w:szCs w:val="24"/>
        </w:rPr>
        <w:t>.</w:t>
      </w:r>
    </w:p>
    <w:p w14:paraId="6993628A" w14:textId="62B67F78" w:rsidR="00967284" w:rsidRDefault="00967284" w:rsidP="00967284">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Z</w:t>
      </w:r>
      <w:r w:rsidRPr="00967284">
        <w:rPr>
          <w:rFonts w:ascii="Times New Roman" w:eastAsia="Calibri" w:hAnsi="Times New Roman" w:cs="Times New Roman"/>
          <w:i/>
          <w:sz w:val="24"/>
          <w:szCs w:val="24"/>
        </w:rPr>
        <w:t>aslanie návrhu na potvrdenie verejného plánu nesúhlasiacim veriteľom</w:t>
      </w:r>
    </w:p>
    <w:p w14:paraId="54B077FB" w14:textId="7041AAD9" w:rsid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podľa povahy jednotlivých regulácií zvolená hodnota z preddefinovaného číselníka.</w:t>
      </w:r>
      <w:r w:rsidRPr="00967284">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predloženie dokladu/dokumentu elektronicky</w:t>
      </w:r>
      <w:r w:rsidRPr="00967284">
        <w:rPr>
          <w:rFonts w:ascii="Times New Roman" w:eastAsia="Calibri" w:hAnsi="Times New Roman" w:cs="Times New Roman"/>
          <w:sz w:val="24"/>
          <w:szCs w:val="24"/>
        </w:rPr>
        <w:t xml:space="preserv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967284">
        <w:rPr>
          <w:rFonts w:ascii="Times New Roman" w:eastAsia="Calibri" w:hAnsi="Times New Roman" w:cs="Times New Roman"/>
          <w:sz w:val="24"/>
          <w:szCs w:val="24"/>
        </w:rPr>
        <w:t>.</w:t>
      </w:r>
    </w:p>
    <w:p w14:paraId="2244301C" w14:textId="6901BB58" w:rsidR="00967284" w:rsidRDefault="00967284" w:rsidP="00967284">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P</w:t>
      </w:r>
      <w:r w:rsidRPr="00967284">
        <w:rPr>
          <w:rFonts w:ascii="Times New Roman" w:eastAsia="Calibri" w:hAnsi="Times New Roman" w:cs="Times New Roman"/>
          <w:i/>
          <w:sz w:val="24"/>
          <w:szCs w:val="24"/>
        </w:rPr>
        <w:t>oskytnutie informácie dotknutému veriteľovi o uskutočnených plneniach verejného plánu</w:t>
      </w:r>
    </w:p>
    <w:p w14:paraId="0E450F5D" w14:textId="0E8ABCDF" w:rsidR="00967284" w:rsidRP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lastRenderedPageBreak/>
        <w:t>Náklady regulácie boli určené ako administratívne. Pri kvantifikácii bol zvolený postup na základe alternatívy č. 2 pre administratívne náklady, kedy bola zvolená hodnota z preddefinovaného číselníka.</w:t>
      </w:r>
      <w:r w:rsidRPr="00967284">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ohlásenie, oznámenie, poskytnutie informácie</w:t>
      </w:r>
      <w:r w:rsidRPr="00967284">
        <w:rPr>
          <w:rFonts w:ascii="Times New Roman" w:eastAsia="Calibri" w:hAnsi="Times New Roman" w:cs="Times New Roman"/>
          <w:sz w:val="24"/>
          <w:szCs w:val="24"/>
        </w:rPr>
        <w:t xml:space="preserv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Pr>
          <w:rFonts w:ascii="Times New Roman" w:eastAsia="Calibri" w:hAnsi="Times New Roman" w:cs="Times New Roman"/>
          <w:sz w:val="24"/>
          <w:szCs w:val="24"/>
        </w:rPr>
        <w:t>.</w:t>
      </w:r>
    </w:p>
    <w:p w14:paraId="3BF3CFEB" w14:textId="12DE6697" w:rsidR="00191105" w:rsidRDefault="00967284" w:rsidP="00967284">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Z</w:t>
      </w:r>
      <w:r w:rsidRPr="00967284">
        <w:rPr>
          <w:rFonts w:ascii="Times New Roman" w:eastAsia="Calibri" w:hAnsi="Times New Roman" w:cs="Times New Roman"/>
          <w:i/>
          <w:sz w:val="24"/>
          <w:szCs w:val="24"/>
        </w:rPr>
        <w:t>verejnenie oznamu v OV o splnení podstatných častí verejného plánu</w:t>
      </w:r>
    </w:p>
    <w:p w14:paraId="5472FB0E" w14:textId="1E5DCDA3" w:rsid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967284">
        <w:rPr>
          <w:rFonts w:ascii="Times New Roman" w:eastAsia="Calibri" w:hAnsi="Times New Roman" w:cs="Times New Roman"/>
          <w:sz w:val="24"/>
          <w:szCs w:val="24"/>
        </w:rPr>
        <w:t xml:space="preserve"> Typ administratívnych nákladov bol určený ako ohlásenie, oznámenie, poskytnutie informácie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967284">
        <w:rPr>
          <w:rFonts w:ascii="Times New Roman" w:eastAsia="Calibri" w:hAnsi="Times New Roman" w:cs="Times New Roman"/>
          <w:sz w:val="24"/>
          <w:szCs w:val="24"/>
        </w:rPr>
        <w:t>.</w:t>
      </w:r>
    </w:p>
    <w:p w14:paraId="5BACCECA" w14:textId="5DAF084D" w:rsidR="00967284" w:rsidRPr="00967284" w:rsidRDefault="00967284" w:rsidP="00967284">
      <w:pPr>
        <w:pStyle w:val="Odsekzoznamu"/>
        <w:numPr>
          <w:ilvl w:val="0"/>
          <w:numId w:val="9"/>
        </w:numPr>
        <w:jc w:val="both"/>
        <w:rPr>
          <w:rFonts w:ascii="Times New Roman" w:eastAsia="Calibri" w:hAnsi="Times New Roman" w:cs="Times New Roman"/>
          <w:i/>
          <w:sz w:val="24"/>
          <w:szCs w:val="24"/>
        </w:rPr>
      </w:pPr>
      <w:r w:rsidRPr="00967284">
        <w:rPr>
          <w:rFonts w:ascii="Times New Roman" w:eastAsia="Calibri" w:hAnsi="Times New Roman" w:cs="Times New Roman"/>
          <w:i/>
          <w:sz w:val="24"/>
          <w:szCs w:val="24"/>
        </w:rPr>
        <w:t>Oznámenie začatia konania o neverejnej preventívnej reštrukturalizácii</w:t>
      </w:r>
    </w:p>
    <w:p w14:paraId="3D3ED1D2" w14:textId="6FED2A14" w:rsid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w:t>
      </w:r>
      <w:r w:rsidR="00455042">
        <w:rPr>
          <w:rFonts w:ascii="Times New Roman" w:eastAsia="Calibri" w:hAnsi="Times New Roman" w:cs="Times New Roman"/>
          <w:bCs/>
          <w:iCs/>
          <w:color w:val="000000"/>
          <w:sz w:val="24"/>
          <w:szCs w:val="24"/>
        </w:rPr>
        <w:t xml:space="preserve">inistratívne náklady, kedy bola </w:t>
      </w:r>
      <w:r w:rsidRPr="00967284">
        <w:rPr>
          <w:rFonts w:ascii="Times New Roman" w:eastAsia="Calibri" w:hAnsi="Times New Roman" w:cs="Times New Roman"/>
          <w:bCs/>
          <w:iCs/>
          <w:color w:val="000000"/>
          <w:sz w:val="24"/>
          <w:szCs w:val="24"/>
        </w:rPr>
        <w:t>zvolená hodnota z preddefinovaného číselníka.</w:t>
      </w:r>
      <w:r w:rsidRPr="00967284">
        <w:rPr>
          <w:rFonts w:ascii="Times New Roman" w:eastAsia="Calibri" w:hAnsi="Times New Roman" w:cs="Times New Roman"/>
          <w:sz w:val="24"/>
          <w:szCs w:val="24"/>
        </w:rPr>
        <w:t xml:space="preserve"> Typ administratívnych nákladov bol určený ako ohlásenie, oznámenie, poskytnutie informácie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967284">
        <w:rPr>
          <w:rFonts w:ascii="Times New Roman" w:eastAsia="Calibri" w:hAnsi="Times New Roman" w:cs="Times New Roman"/>
          <w:sz w:val="24"/>
          <w:szCs w:val="24"/>
        </w:rPr>
        <w:t>.</w:t>
      </w:r>
    </w:p>
    <w:p w14:paraId="466A9A67" w14:textId="17BB26B3" w:rsidR="00967284" w:rsidRDefault="00CD4E01" w:rsidP="00967284">
      <w:pPr>
        <w:pStyle w:val="Odsekzoznamu"/>
        <w:numPr>
          <w:ilvl w:val="0"/>
          <w:numId w:val="9"/>
        </w:numPr>
        <w:jc w:val="both"/>
        <w:rPr>
          <w:rFonts w:ascii="Times New Roman" w:eastAsia="Calibri" w:hAnsi="Times New Roman" w:cs="Times New Roman"/>
          <w:i/>
          <w:sz w:val="24"/>
          <w:szCs w:val="24"/>
        </w:rPr>
      </w:pPr>
      <w:r>
        <w:rPr>
          <w:rFonts w:ascii="Times New Roman" w:eastAsia="Calibri" w:hAnsi="Times New Roman" w:cs="Times New Roman"/>
          <w:i/>
          <w:sz w:val="24"/>
          <w:szCs w:val="24"/>
        </w:rPr>
        <w:t>P</w:t>
      </w:r>
      <w:r w:rsidR="00967284" w:rsidRPr="00967284">
        <w:rPr>
          <w:rFonts w:ascii="Times New Roman" w:eastAsia="Calibri" w:hAnsi="Times New Roman" w:cs="Times New Roman"/>
          <w:i/>
          <w:sz w:val="24"/>
          <w:szCs w:val="24"/>
        </w:rPr>
        <w:t>redloženie neverejného plánu na posúdenie súdu</w:t>
      </w:r>
    </w:p>
    <w:p w14:paraId="5FBC10ED" w14:textId="16042613" w:rsidR="00967284" w:rsidRPr="00967284" w:rsidRDefault="00967284" w:rsidP="00967284">
      <w:pPr>
        <w:jc w:val="both"/>
        <w:rPr>
          <w:rFonts w:ascii="Times New Roman" w:eastAsia="Calibri" w:hAnsi="Times New Roman" w:cs="Times New Roman"/>
          <w:sz w:val="24"/>
          <w:szCs w:val="24"/>
        </w:rPr>
      </w:pPr>
      <w:r w:rsidRPr="00967284">
        <w:rPr>
          <w:rFonts w:ascii="Times New Roman" w:eastAsia="Calibri" w:hAnsi="Times New Roman" w:cs="Times New Roman"/>
          <w:bCs/>
          <w:iCs/>
          <w:color w:val="000000"/>
          <w:sz w:val="24"/>
          <w:szCs w:val="24"/>
        </w:rPr>
        <w:t>Náklady regulácie boli určené ako administratívne. Pri kvantifikácii bol zvolený postup na základe alternatívy č. 2 pre administratívne náklady, kedy bola zvolená hodnota z preddefinovaného číselníka.</w:t>
      </w:r>
      <w:r w:rsidRPr="00967284">
        <w:rPr>
          <w:rFonts w:ascii="Times New Roman" w:eastAsia="Calibri" w:hAnsi="Times New Roman" w:cs="Times New Roman"/>
          <w:sz w:val="24"/>
          <w:szCs w:val="24"/>
        </w:rPr>
        <w:t xml:space="preserve"> Typ administratívnych nákladov bol určený ako </w:t>
      </w:r>
      <w:r>
        <w:rPr>
          <w:rFonts w:ascii="Times New Roman" w:eastAsia="Calibri" w:hAnsi="Times New Roman" w:cs="Times New Roman"/>
          <w:sz w:val="24"/>
          <w:szCs w:val="24"/>
        </w:rPr>
        <w:t>predloženie dokladu/dokumentu elektronicky a zároveň vypracovanie dokumentu/správy</w:t>
      </w:r>
      <w:r w:rsidRPr="00967284">
        <w:rPr>
          <w:rFonts w:ascii="Times New Roman" w:eastAsia="Calibri" w:hAnsi="Times New Roman" w:cs="Times New Roman"/>
          <w:sz w:val="24"/>
          <w:szCs w:val="24"/>
        </w:rPr>
        <w:t xml:space="preserve"> pri jednorazovej/nepravidelnej frekvencii (</w:t>
      </w:r>
      <w:r w:rsidRPr="00967284">
        <w:rPr>
          <w:rFonts w:ascii="Times New Roman" w:eastAsia="Calibri" w:hAnsi="Times New Roman" w:cs="Times New Roman"/>
          <w:bCs/>
          <w:iCs/>
          <w:color w:val="000000"/>
          <w:sz w:val="24"/>
          <w:szCs w:val="24"/>
        </w:rPr>
        <w:t>dotknutým subjektom sa neukladajú povinnosti, ktoré by boli na pravidelnej báze, z charakteru súdneho konania ide o nepravidelné/jednorazové úkony)</w:t>
      </w:r>
      <w:r w:rsidRPr="00967284">
        <w:rPr>
          <w:rFonts w:ascii="Times New Roman" w:eastAsia="Calibri" w:hAnsi="Times New Roman" w:cs="Times New Roman"/>
          <w:sz w:val="24"/>
          <w:szCs w:val="24"/>
        </w:rPr>
        <w:t>.</w:t>
      </w:r>
    </w:p>
    <w:p w14:paraId="79126626" w14:textId="03D8526B" w:rsidR="00967284" w:rsidRDefault="00455042" w:rsidP="00455042">
      <w:pPr>
        <w:pStyle w:val="Odsekzoznamu"/>
        <w:numPr>
          <w:ilvl w:val="0"/>
          <w:numId w:val="10"/>
        </w:numPr>
        <w:ind w:left="426"/>
        <w:jc w:val="both"/>
        <w:rPr>
          <w:rFonts w:ascii="Times New Roman" w:eastAsia="Calibri" w:hAnsi="Times New Roman" w:cs="Times New Roman"/>
          <w:i/>
          <w:sz w:val="24"/>
          <w:szCs w:val="24"/>
        </w:rPr>
      </w:pPr>
      <w:r w:rsidRPr="00455042">
        <w:rPr>
          <w:rFonts w:ascii="Times New Roman" w:eastAsia="Calibri" w:hAnsi="Times New Roman" w:cs="Times New Roman"/>
          <w:i/>
          <w:sz w:val="24"/>
          <w:szCs w:val="24"/>
        </w:rPr>
        <w:t>Zrušenie povinnosti s.r.o dokladovať súhlas správcu dane pri zápise zmeny v osobe spoločníka pri prevode väčšinového obchodného podielu</w:t>
      </w:r>
    </w:p>
    <w:p w14:paraId="3DF27845" w14:textId="551F6BB2" w:rsidR="000C53A1" w:rsidRPr="00967284" w:rsidRDefault="00455042" w:rsidP="000C53A1">
      <w:pPr>
        <w:jc w:val="both"/>
        <w:rPr>
          <w:rFonts w:ascii="Times New Roman" w:eastAsia="Calibri" w:hAnsi="Times New Roman" w:cs="Times New Roman"/>
          <w:sz w:val="24"/>
          <w:szCs w:val="24"/>
        </w:rPr>
      </w:pPr>
      <w:r w:rsidRPr="00455042">
        <w:rPr>
          <w:rFonts w:ascii="Times New Roman" w:eastAsia="Calibri" w:hAnsi="Times New Roman" w:cs="Times New Roman"/>
          <w:sz w:val="24"/>
          <w:szCs w:val="24"/>
        </w:rPr>
        <w:t>Regulácia sa dotýka spoločností s ručením obmedzením</w:t>
      </w:r>
      <w:r>
        <w:rPr>
          <w:rFonts w:ascii="Times New Roman" w:eastAsia="Calibri" w:hAnsi="Times New Roman" w:cs="Times New Roman"/>
          <w:sz w:val="24"/>
          <w:szCs w:val="24"/>
        </w:rPr>
        <w:t xml:space="preserve">, pričom im znižuje náklady. </w:t>
      </w:r>
      <w:r w:rsidR="00D9693D" w:rsidRPr="000C53A1">
        <w:rPr>
          <w:rFonts w:ascii="Times New Roman" w:eastAsia="Calibri" w:hAnsi="Times New Roman" w:cs="Times New Roman"/>
          <w:sz w:val="24"/>
          <w:szCs w:val="24"/>
        </w:rPr>
        <w:t xml:space="preserve">Počet </w:t>
      </w:r>
      <w:r w:rsidR="00D9693D" w:rsidRPr="000C53A1">
        <w:rPr>
          <w:rFonts w:ascii="Times New Roman" w:eastAsia="Calibri" w:hAnsi="Times New Roman" w:cs="Times New Roman"/>
          <w:bCs/>
          <w:iCs/>
          <w:color w:val="000000"/>
          <w:sz w:val="24"/>
          <w:szCs w:val="24"/>
        </w:rPr>
        <w:t xml:space="preserve">dotknutých subjektov, ktoré </w:t>
      </w:r>
      <w:r w:rsidR="00D9693D">
        <w:rPr>
          <w:rFonts w:ascii="Times New Roman" w:eastAsia="Calibri" w:hAnsi="Times New Roman" w:cs="Times New Roman"/>
          <w:bCs/>
          <w:iCs/>
          <w:color w:val="000000"/>
          <w:sz w:val="24"/>
          <w:szCs w:val="24"/>
        </w:rPr>
        <w:t>zapisovali zmenu v osobe spoločníka pri prevode väčšinového obchodného</w:t>
      </w:r>
      <w:r w:rsidR="00D9693D" w:rsidRPr="000C53A1">
        <w:rPr>
          <w:rFonts w:ascii="Times New Roman" w:eastAsia="Calibri" w:hAnsi="Times New Roman" w:cs="Times New Roman"/>
          <w:bCs/>
          <w:iCs/>
          <w:color w:val="000000"/>
          <w:sz w:val="24"/>
          <w:szCs w:val="24"/>
        </w:rPr>
        <w:t xml:space="preserve"> podiel</w:t>
      </w:r>
      <w:r w:rsidR="00D9693D">
        <w:rPr>
          <w:rFonts w:ascii="Times New Roman" w:eastAsia="Calibri" w:hAnsi="Times New Roman" w:cs="Times New Roman"/>
          <w:bCs/>
          <w:iCs/>
          <w:color w:val="000000"/>
          <w:sz w:val="24"/>
          <w:szCs w:val="24"/>
        </w:rPr>
        <w:t xml:space="preserve">u </w:t>
      </w:r>
      <w:r w:rsidR="00D9693D" w:rsidRPr="000C53A1">
        <w:rPr>
          <w:rFonts w:ascii="Times New Roman" w:eastAsia="Calibri" w:hAnsi="Times New Roman" w:cs="Times New Roman"/>
          <w:bCs/>
          <w:iCs/>
          <w:color w:val="000000"/>
          <w:sz w:val="24"/>
          <w:szCs w:val="24"/>
        </w:rPr>
        <w:t>nie je možné vyčísliť na základe existujúcich dát z registrov alebo rezortnej štatistiky</w:t>
      </w:r>
      <w:r>
        <w:rPr>
          <w:rFonts w:ascii="Times New Roman" w:eastAsia="Calibri" w:hAnsi="Times New Roman" w:cs="Times New Roman"/>
          <w:bCs/>
          <w:iCs/>
          <w:color w:val="000000"/>
          <w:sz w:val="24"/>
          <w:szCs w:val="24"/>
        </w:rPr>
        <w:t xml:space="preserve">. Preto bol zvolený spôsob výpočtu prostredníctvom modelového príkladu na 1 podnikateľský subjekt. Regulácia znižuje administratívne náklady. </w:t>
      </w:r>
      <w:r w:rsidRPr="00967284">
        <w:rPr>
          <w:rFonts w:ascii="Times New Roman" w:eastAsia="Calibri" w:hAnsi="Times New Roman" w:cs="Times New Roman"/>
          <w:bCs/>
          <w:iCs/>
          <w:color w:val="000000"/>
          <w:sz w:val="24"/>
          <w:szCs w:val="24"/>
        </w:rPr>
        <w:t>Pri kvantifikácii bol zvolený postup na základe alternatívy č. 2 pre administratívne náklady, kedy bola zvolená hodnota z preddefinovaného číselníka.</w:t>
      </w:r>
      <w:r w:rsidR="000C53A1">
        <w:rPr>
          <w:rFonts w:ascii="Times New Roman" w:eastAsia="Calibri" w:hAnsi="Times New Roman" w:cs="Times New Roman"/>
          <w:bCs/>
          <w:iCs/>
          <w:color w:val="000000"/>
          <w:sz w:val="24"/>
          <w:szCs w:val="24"/>
        </w:rPr>
        <w:t xml:space="preserve"> </w:t>
      </w:r>
      <w:r w:rsidR="000C53A1" w:rsidRPr="00967284">
        <w:rPr>
          <w:rFonts w:ascii="Times New Roman" w:eastAsia="Calibri" w:hAnsi="Times New Roman" w:cs="Times New Roman"/>
          <w:sz w:val="24"/>
          <w:szCs w:val="24"/>
        </w:rPr>
        <w:t xml:space="preserve">Typ administratívnych nákladov bol určený ako </w:t>
      </w:r>
      <w:r w:rsidR="000C53A1">
        <w:rPr>
          <w:rFonts w:ascii="Times New Roman" w:eastAsia="Calibri" w:hAnsi="Times New Roman" w:cs="Times New Roman"/>
          <w:sz w:val="24"/>
          <w:szCs w:val="24"/>
        </w:rPr>
        <w:t xml:space="preserve">predloženie </w:t>
      </w:r>
      <w:r w:rsidR="00D137F0">
        <w:rPr>
          <w:rFonts w:ascii="Times New Roman" w:eastAsia="Calibri" w:hAnsi="Times New Roman" w:cs="Times New Roman"/>
          <w:sz w:val="24"/>
          <w:szCs w:val="24"/>
        </w:rPr>
        <w:t>dokladu/dokumentu elektronicky</w:t>
      </w:r>
      <w:r w:rsidR="000C53A1" w:rsidRPr="00967284">
        <w:rPr>
          <w:rFonts w:ascii="Times New Roman" w:eastAsia="Calibri" w:hAnsi="Times New Roman" w:cs="Times New Roman"/>
          <w:sz w:val="24"/>
          <w:szCs w:val="24"/>
        </w:rPr>
        <w:t xml:space="preserve"> pri jednorazovej/nepravidelnej frekvencii (</w:t>
      </w:r>
      <w:r w:rsidR="000C53A1" w:rsidRPr="00967284">
        <w:rPr>
          <w:rFonts w:ascii="Times New Roman" w:eastAsia="Calibri" w:hAnsi="Times New Roman" w:cs="Times New Roman"/>
          <w:bCs/>
          <w:iCs/>
          <w:color w:val="000000"/>
          <w:sz w:val="24"/>
          <w:szCs w:val="24"/>
        </w:rPr>
        <w:t xml:space="preserve">dotknutým subjektom sa </w:t>
      </w:r>
      <w:r w:rsidR="000C53A1">
        <w:rPr>
          <w:rFonts w:ascii="Times New Roman" w:eastAsia="Calibri" w:hAnsi="Times New Roman" w:cs="Times New Roman"/>
          <w:bCs/>
          <w:iCs/>
          <w:color w:val="000000"/>
          <w:sz w:val="24"/>
          <w:szCs w:val="24"/>
        </w:rPr>
        <w:t>nerušia</w:t>
      </w:r>
      <w:r w:rsidR="000C53A1" w:rsidRPr="00967284">
        <w:rPr>
          <w:rFonts w:ascii="Times New Roman" w:eastAsia="Calibri" w:hAnsi="Times New Roman" w:cs="Times New Roman"/>
          <w:bCs/>
          <w:iCs/>
          <w:color w:val="000000"/>
          <w:sz w:val="24"/>
          <w:szCs w:val="24"/>
        </w:rPr>
        <w:t xml:space="preserve"> povinnosti, ktoré by boli na pravidelnej báze, z charakteru súdneho konania ide o nepravidelné/jednorazové úkony)</w:t>
      </w:r>
      <w:r w:rsidR="000C53A1" w:rsidRPr="00967284">
        <w:rPr>
          <w:rFonts w:ascii="Times New Roman" w:eastAsia="Calibri" w:hAnsi="Times New Roman" w:cs="Times New Roman"/>
          <w:sz w:val="24"/>
          <w:szCs w:val="24"/>
        </w:rPr>
        <w:t>.</w:t>
      </w:r>
    </w:p>
    <w:p w14:paraId="1CDE91F7" w14:textId="559BD065" w:rsidR="00455042" w:rsidRDefault="000C53A1" w:rsidP="000C53A1">
      <w:pPr>
        <w:pStyle w:val="Odsekzoznamu"/>
        <w:numPr>
          <w:ilvl w:val="0"/>
          <w:numId w:val="10"/>
        </w:numPr>
        <w:ind w:left="426"/>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Z</w:t>
      </w:r>
      <w:r w:rsidRPr="000C53A1">
        <w:rPr>
          <w:rFonts w:ascii="Times New Roman" w:eastAsia="Calibri" w:hAnsi="Times New Roman" w:cs="Times New Roman"/>
          <w:i/>
          <w:sz w:val="24"/>
          <w:szCs w:val="24"/>
        </w:rPr>
        <w:t>rušenie povinnosti s.r.o dokladovať súhlas správcu dane pri zápise zmeny v osobe spoločníka pri rozdelení väčšinového obchodného podielu</w:t>
      </w:r>
    </w:p>
    <w:p w14:paraId="55968B08" w14:textId="3E3558CC" w:rsidR="000C53A1" w:rsidRPr="000C53A1" w:rsidRDefault="000C53A1" w:rsidP="000C53A1">
      <w:pPr>
        <w:jc w:val="both"/>
        <w:rPr>
          <w:rFonts w:ascii="Times New Roman" w:eastAsia="Calibri" w:hAnsi="Times New Roman" w:cs="Times New Roman"/>
          <w:sz w:val="24"/>
          <w:szCs w:val="24"/>
        </w:rPr>
      </w:pPr>
      <w:r w:rsidRPr="000C53A1">
        <w:rPr>
          <w:rFonts w:ascii="Times New Roman" w:eastAsia="Calibri" w:hAnsi="Times New Roman" w:cs="Times New Roman"/>
          <w:sz w:val="24"/>
          <w:szCs w:val="24"/>
        </w:rPr>
        <w:t xml:space="preserve">Regulácia sa dotýka spoločností s ručením obmedzením, pričom im znižuje náklady. Počet </w:t>
      </w:r>
      <w:r w:rsidRPr="000C53A1">
        <w:rPr>
          <w:rFonts w:ascii="Times New Roman" w:eastAsia="Calibri" w:hAnsi="Times New Roman" w:cs="Times New Roman"/>
          <w:bCs/>
          <w:iCs/>
          <w:color w:val="000000"/>
          <w:sz w:val="24"/>
          <w:szCs w:val="24"/>
        </w:rPr>
        <w:t xml:space="preserve">dotknutých subjektov, ktoré </w:t>
      </w:r>
      <w:r w:rsidR="00D9693D">
        <w:rPr>
          <w:rFonts w:ascii="Times New Roman" w:eastAsia="Calibri" w:hAnsi="Times New Roman" w:cs="Times New Roman"/>
          <w:bCs/>
          <w:iCs/>
          <w:color w:val="000000"/>
          <w:sz w:val="24"/>
          <w:szCs w:val="24"/>
        </w:rPr>
        <w:t xml:space="preserve">zapisovali zmenu v osobe spoločníka pri </w:t>
      </w:r>
      <w:r>
        <w:rPr>
          <w:rFonts w:ascii="Times New Roman" w:eastAsia="Calibri" w:hAnsi="Times New Roman" w:cs="Times New Roman"/>
          <w:bCs/>
          <w:iCs/>
          <w:color w:val="000000"/>
          <w:sz w:val="24"/>
          <w:szCs w:val="24"/>
        </w:rPr>
        <w:t>r</w:t>
      </w:r>
      <w:r w:rsidR="00D9693D">
        <w:rPr>
          <w:rFonts w:ascii="Times New Roman" w:eastAsia="Calibri" w:hAnsi="Times New Roman" w:cs="Times New Roman"/>
          <w:bCs/>
          <w:iCs/>
          <w:color w:val="000000"/>
          <w:sz w:val="24"/>
          <w:szCs w:val="24"/>
        </w:rPr>
        <w:t>ozdelení</w:t>
      </w:r>
      <w:r>
        <w:rPr>
          <w:rFonts w:ascii="Times New Roman" w:eastAsia="Calibri" w:hAnsi="Times New Roman" w:cs="Times New Roman"/>
          <w:bCs/>
          <w:iCs/>
          <w:color w:val="000000"/>
          <w:sz w:val="24"/>
          <w:szCs w:val="24"/>
        </w:rPr>
        <w:t xml:space="preserve"> </w:t>
      </w:r>
      <w:r w:rsidR="00D9693D">
        <w:rPr>
          <w:rFonts w:ascii="Times New Roman" w:eastAsia="Calibri" w:hAnsi="Times New Roman" w:cs="Times New Roman"/>
          <w:bCs/>
          <w:iCs/>
          <w:color w:val="000000"/>
          <w:sz w:val="24"/>
          <w:szCs w:val="24"/>
        </w:rPr>
        <w:t>väčšinového obchodného</w:t>
      </w:r>
      <w:r w:rsidRPr="000C53A1">
        <w:rPr>
          <w:rFonts w:ascii="Times New Roman" w:eastAsia="Calibri" w:hAnsi="Times New Roman" w:cs="Times New Roman"/>
          <w:bCs/>
          <w:iCs/>
          <w:color w:val="000000"/>
          <w:sz w:val="24"/>
          <w:szCs w:val="24"/>
        </w:rPr>
        <w:t xml:space="preserve"> podiel</w:t>
      </w:r>
      <w:r w:rsidR="00D9693D">
        <w:rPr>
          <w:rFonts w:ascii="Times New Roman" w:eastAsia="Calibri" w:hAnsi="Times New Roman" w:cs="Times New Roman"/>
          <w:bCs/>
          <w:iCs/>
          <w:color w:val="000000"/>
          <w:sz w:val="24"/>
          <w:szCs w:val="24"/>
        </w:rPr>
        <w:t>u</w:t>
      </w:r>
      <w:r w:rsidRPr="000C53A1">
        <w:rPr>
          <w:rFonts w:ascii="Times New Roman" w:eastAsia="Calibri" w:hAnsi="Times New Roman" w:cs="Times New Roman"/>
          <w:bCs/>
          <w:iCs/>
          <w:color w:val="000000"/>
          <w:sz w:val="24"/>
          <w:szCs w:val="24"/>
        </w:rPr>
        <w:t xml:space="preserve"> nie je možné vyčísliť na základe existujúcich dát z registrov alebo rezortnej štatistiky. Preto bol zvolený spôsob výpočtu prostredníctvom modelového príkladu na 1 podnikateľský subjekt. Regulácia znižuje administratívne náklady. Pri kvantifikácii bol zvolený postup na základe alternatívy č. 2 pre administratívne náklady, kedy bola zvolená hodnota z preddefinovaného číselníka. </w:t>
      </w:r>
      <w:r w:rsidRPr="000C53A1">
        <w:rPr>
          <w:rFonts w:ascii="Times New Roman" w:eastAsia="Calibri" w:hAnsi="Times New Roman" w:cs="Times New Roman"/>
          <w:sz w:val="24"/>
          <w:szCs w:val="24"/>
        </w:rPr>
        <w:t xml:space="preserve">Typ administratívnych nákladov bol určený ako predloženie </w:t>
      </w:r>
      <w:r w:rsidR="00D137F0">
        <w:rPr>
          <w:rFonts w:ascii="Times New Roman" w:eastAsia="Calibri" w:hAnsi="Times New Roman" w:cs="Times New Roman"/>
          <w:sz w:val="24"/>
          <w:szCs w:val="24"/>
        </w:rPr>
        <w:t>dokladu/dokumentu elektronicky</w:t>
      </w:r>
      <w:r w:rsidRPr="000C53A1">
        <w:rPr>
          <w:rFonts w:ascii="Times New Roman" w:eastAsia="Calibri" w:hAnsi="Times New Roman" w:cs="Times New Roman"/>
          <w:sz w:val="24"/>
          <w:szCs w:val="24"/>
        </w:rPr>
        <w:t xml:space="preserve"> pri jednorazovej/nepravidelnej frekvencii (</w:t>
      </w:r>
      <w:r w:rsidRPr="000C53A1">
        <w:rPr>
          <w:rFonts w:ascii="Times New Roman" w:eastAsia="Calibri" w:hAnsi="Times New Roman" w:cs="Times New Roman"/>
          <w:bCs/>
          <w:iCs/>
          <w:color w:val="000000"/>
          <w:sz w:val="24"/>
          <w:szCs w:val="24"/>
        </w:rPr>
        <w:t>dotknutým subjektom sa nerušia povinnosti, ktoré by boli na pravidelnej báze, z charakteru súdneho konania ide o nepravidelné/jednorazové úkony)</w:t>
      </w:r>
      <w:r w:rsidRPr="000C53A1">
        <w:rPr>
          <w:rFonts w:ascii="Times New Roman" w:eastAsia="Calibri" w:hAnsi="Times New Roman" w:cs="Times New Roman"/>
          <w:sz w:val="24"/>
          <w:szCs w:val="24"/>
        </w:rPr>
        <w:t>.</w:t>
      </w:r>
    </w:p>
    <w:p w14:paraId="17C8FE34" w14:textId="3C6792FD" w:rsidR="008E788D" w:rsidRPr="00D9693D" w:rsidRDefault="00D9693D" w:rsidP="00D9693D">
      <w:pPr>
        <w:pStyle w:val="Odsekzoznamu"/>
        <w:numPr>
          <w:ilvl w:val="0"/>
          <w:numId w:val="10"/>
        </w:numPr>
        <w:ind w:left="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 32. </w:t>
      </w:r>
      <w:r w:rsidR="008E788D" w:rsidRPr="00D9693D">
        <w:rPr>
          <w:rFonts w:ascii="Times New Roman" w:eastAsia="Calibri" w:hAnsi="Times New Roman" w:cs="Times New Roman"/>
          <w:i/>
          <w:sz w:val="24"/>
          <w:szCs w:val="24"/>
        </w:rPr>
        <w:t>Zvýšenie súdneho poplatku za konkurzné konanie</w:t>
      </w:r>
    </w:p>
    <w:p w14:paraId="21337098" w14:textId="2289A719" w:rsidR="00E64D7C" w:rsidRDefault="002572CF"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Reg</w:t>
      </w:r>
      <w:r w:rsidR="008E788D">
        <w:rPr>
          <w:rFonts w:ascii="Times New Roman" w:eastAsia="Calibri" w:hAnsi="Times New Roman" w:cs="Times New Roman"/>
          <w:bCs/>
          <w:iCs/>
          <w:color w:val="000000"/>
          <w:sz w:val="24"/>
          <w:szCs w:val="24"/>
        </w:rPr>
        <w:t>ulácia sa</w:t>
      </w:r>
      <w:r w:rsidR="00DC2D58">
        <w:rPr>
          <w:rFonts w:ascii="Times New Roman" w:eastAsia="Calibri" w:hAnsi="Times New Roman" w:cs="Times New Roman"/>
          <w:bCs/>
          <w:iCs/>
          <w:color w:val="000000"/>
          <w:sz w:val="24"/>
          <w:szCs w:val="24"/>
        </w:rPr>
        <w:t xml:space="preserve"> dotýka dlžníkov</w:t>
      </w:r>
      <w:r w:rsidR="008E788D">
        <w:rPr>
          <w:rFonts w:ascii="Times New Roman" w:eastAsia="Calibri" w:hAnsi="Times New Roman" w:cs="Times New Roman"/>
          <w:bCs/>
          <w:iCs/>
          <w:color w:val="000000"/>
          <w:sz w:val="24"/>
          <w:szCs w:val="24"/>
        </w:rPr>
        <w:t xml:space="preserve"> PO, keďže</w:t>
      </w:r>
      <w:r w:rsidR="00E37219">
        <w:rPr>
          <w:rFonts w:ascii="Times New Roman" w:eastAsia="Calibri" w:hAnsi="Times New Roman" w:cs="Times New Roman"/>
          <w:bCs/>
          <w:iCs/>
          <w:color w:val="000000"/>
          <w:sz w:val="24"/>
          <w:szCs w:val="24"/>
        </w:rPr>
        <w:t xml:space="preserve"> podľa návrhu zákona </w:t>
      </w:r>
      <w:r w:rsidR="008E788D">
        <w:rPr>
          <w:rFonts w:ascii="Times New Roman" w:eastAsia="Calibri" w:hAnsi="Times New Roman" w:cs="Times New Roman"/>
          <w:bCs/>
          <w:iCs/>
          <w:color w:val="000000"/>
          <w:sz w:val="24"/>
          <w:szCs w:val="24"/>
        </w:rPr>
        <w:t xml:space="preserve">súdny </w:t>
      </w:r>
      <w:r w:rsidR="00E37219">
        <w:rPr>
          <w:rFonts w:ascii="Times New Roman" w:eastAsia="Calibri" w:hAnsi="Times New Roman" w:cs="Times New Roman"/>
          <w:bCs/>
          <w:iCs/>
          <w:color w:val="000000"/>
          <w:sz w:val="24"/>
          <w:szCs w:val="24"/>
        </w:rPr>
        <w:t>poplatok uhrádza správca v mene a na účet dlžníka</w:t>
      </w:r>
      <w:r w:rsidR="00DC2D58">
        <w:rPr>
          <w:rFonts w:ascii="Times New Roman" w:eastAsia="Calibri" w:hAnsi="Times New Roman" w:cs="Times New Roman"/>
          <w:bCs/>
          <w:iCs/>
          <w:color w:val="000000"/>
          <w:sz w:val="24"/>
          <w:szCs w:val="24"/>
        </w:rPr>
        <w:t xml:space="preserve">. </w:t>
      </w:r>
      <w:r w:rsidR="00FB74DC">
        <w:rPr>
          <w:rFonts w:ascii="Times New Roman" w:eastAsia="Calibri" w:hAnsi="Times New Roman" w:cs="Times New Roman"/>
          <w:bCs/>
          <w:iCs/>
          <w:color w:val="000000"/>
          <w:sz w:val="24"/>
          <w:szCs w:val="24"/>
        </w:rPr>
        <w:t>Počet dotknutých subjektov bol určený</w:t>
      </w:r>
      <w:r w:rsidR="003D2862">
        <w:rPr>
          <w:rFonts w:ascii="Times New Roman" w:eastAsia="Calibri" w:hAnsi="Times New Roman" w:cs="Times New Roman"/>
          <w:bCs/>
          <w:iCs/>
          <w:color w:val="000000"/>
          <w:sz w:val="24"/>
          <w:szCs w:val="24"/>
        </w:rPr>
        <w:t xml:space="preserve"> na základe priemerného počtu zrušených konkurzov</w:t>
      </w:r>
      <w:r w:rsidR="00FB74DC">
        <w:rPr>
          <w:rFonts w:ascii="Times New Roman" w:eastAsia="Calibri" w:hAnsi="Times New Roman" w:cs="Times New Roman"/>
          <w:bCs/>
          <w:iCs/>
          <w:color w:val="000000"/>
          <w:sz w:val="24"/>
          <w:szCs w:val="24"/>
        </w:rPr>
        <w:t xml:space="preserve"> po splnení</w:t>
      </w:r>
      <w:r w:rsidR="003D2862">
        <w:rPr>
          <w:rFonts w:ascii="Times New Roman" w:eastAsia="Calibri" w:hAnsi="Times New Roman" w:cs="Times New Roman"/>
          <w:bCs/>
          <w:iCs/>
          <w:color w:val="000000"/>
          <w:sz w:val="24"/>
          <w:szCs w:val="24"/>
        </w:rPr>
        <w:t xml:space="preserve"> konečného rozvrhu výťažku</w:t>
      </w:r>
      <w:r w:rsidR="00DC2D58">
        <w:rPr>
          <w:rFonts w:ascii="Times New Roman" w:eastAsia="Calibri" w:hAnsi="Times New Roman" w:cs="Times New Roman"/>
          <w:bCs/>
          <w:iCs/>
          <w:color w:val="000000"/>
          <w:sz w:val="24"/>
          <w:szCs w:val="24"/>
        </w:rPr>
        <w:t xml:space="preserve"> z dát rezortnej štatistiky</w:t>
      </w:r>
      <w:r w:rsidR="003D2862">
        <w:rPr>
          <w:rFonts w:ascii="Times New Roman" w:eastAsia="Calibri" w:hAnsi="Times New Roman" w:cs="Times New Roman"/>
          <w:bCs/>
          <w:iCs/>
          <w:color w:val="000000"/>
          <w:sz w:val="24"/>
          <w:szCs w:val="24"/>
        </w:rPr>
        <w:t xml:space="preserve"> za roky 2018</w:t>
      </w:r>
      <w:r w:rsidR="00D56084">
        <w:rPr>
          <w:rFonts w:ascii="Times New Roman" w:eastAsia="Calibri" w:hAnsi="Times New Roman" w:cs="Times New Roman"/>
          <w:bCs/>
          <w:iCs/>
          <w:color w:val="000000"/>
          <w:sz w:val="24"/>
          <w:szCs w:val="24"/>
        </w:rPr>
        <w:t xml:space="preserve"> </w:t>
      </w:r>
      <w:r w:rsidR="003D2862">
        <w:rPr>
          <w:rFonts w:ascii="Times New Roman" w:eastAsia="Calibri" w:hAnsi="Times New Roman" w:cs="Times New Roman"/>
          <w:bCs/>
          <w:iCs/>
          <w:color w:val="000000"/>
          <w:sz w:val="24"/>
          <w:szCs w:val="24"/>
        </w:rPr>
        <w:t>-</w:t>
      </w:r>
      <w:r w:rsidR="00D56084">
        <w:rPr>
          <w:rFonts w:ascii="Times New Roman" w:eastAsia="Calibri" w:hAnsi="Times New Roman" w:cs="Times New Roman"/>
          <w:bCs/>
          <w:iCs/>
          <w:color w:val="000000"/>
          <w:sz w:val="24"/>
          <w:szCs w:val="24"/>
        </w:rPr>
        <w:t xml:space="preserve"> </w:t>
      </w:r>
      <w:r w:rsidR="003D2862">
        <w:rPr>
          <w:rFonts w:ascii="Times New Roman" w:eastAsia="Calibri" w:hAnsi="Times New Roman" w:cs="Times New Roman"/>
          <w:bCs/>
          <w:iCs/>
          <w:color w:val="000000"/>
          <w:sz w:val="24"/>
          <w:szCs w:val="24"/>
        </w:rPr>
        <w:t xml:space="preserve">2020. </w:t>
      </w:r>
      <w:r w:rsidR="004316BB">
        <w:rPr>
          <w:rFonts w:ascii="Times New Roman" w:eastAsia="Calibri" w:hAnsi="Times New Roman" w:cs="Times New Roman"/>
          <w:bCs/>
          <w:iCs/>
          <w:color w:val="000000"/>
          <w:sz w:val="24"/>
          <w:szCs w:val="24"/>
        </w:rPr>
        <w:t>Počet dotknutých subjektov MSP taktiež vychádza z dát o zrušených konkurzoch</w:t>
      </w:r>
      <w:r w:rsidR="00E37219">
        <w:rPr>
          <w:rFonts w:ascii="Times New Roman" w:eastAsia="Calibri" w:hAnsi="Times New Roman" w:cs="Times New Roman"/>
          <w:bCs/>
          <w:iCs/>
          <w:color w:val="000000"/>
          <w:sz w:val="24"/>
          <w:szCs w:val="24"/>
        </w:rPr>
        <w:t xml:space="preserve"> po</w:t>
      </w:r>
      <w:r w:rsidR="004316BB">
        <w:rPr>
          <w:rFonts w:ascii="Times New Roman" w:eastAsia="Calibri" w:hAnsi="Times New Roman" w:cs="Times New Roman"/>
          <w:bCs/>
          <w:iCs/>
          <w:color w:val="000000"/>
          <w:sz w:val="24"/>
          <w:szCs w:val="24"/>
        </w:rPr>
        <w:t xml:space="preserve"> splnení konečného rozvrhu výťažku</w:t>
      </w:r>
      <w:r w:rsidR="00542D47">
        <w:rPr>
          <w:rFonts w:ascii="Times New Roman" w:eastAsia="Calibri" w:hAnsi="Times New Roman" w:cs="Times New Roman"/>
          <w:bCs/>
          <w:iCs/>
          <w:color w:val="000000"/>
          <w:sz w:val="24"/>
          <w:szCs w:val="24"/>
        </w:rPr>
        <w:t>. V tomt</w:t>
      </w:r>
      <w:r w:rsidR="00E37219">
        <w:rPr>
          <w:rFonts w:ascii="Times New Roman" w:eastAsia="Calibri" w:hAnsi="Times New Roman" w:cs="Times New Roman"/>
          <w:bCs/>
          <w:iCs/>
          <w:color w:val="000000"/>
          <w:sz w:val="24"/>
          <w:szCs w:val="24"/>
        </w:rPr>
        <w:t>o prípade sú však</w:t>
      </w:r>
      <w:r w:rsidR="00542D47">
        <w:rPr>
          <w:rFonts w:ascii="Times New Roman" w:eastAsia="Calibri" w:hAnsi="Times New Roman" w:cs="Times New Roman"/>
          <w:bCs/>
          <w:iCs/>
          <w:color w:val="000000"/>
          <w:sz w:val="24"/>
          <w:szCs w:val="24"/>
        </w:rPr>
        <w:t xml:space="preserve"> údaje o veľkosti jednotlivých subjektov</w:t>
      </w:r>
      <w:r w:rsidR="00E37219">
        <w:rPr>
          <w:rFonts w:ascii="Times New Roman" w:eastAsia="Calibri" w:hAnsi="Times New Roman" w:cs="Times New Roman"/>
          <w:bCs/>
          <w:iCs/>
          <w:color w:val="000000"/>
          <w:sz w:val="24"/>
          <w:szCs w:val="24"/>
        </w:rPr>
        <w:t xml:space="preserve"> dostupné</w:t>
      </w:r>
      <w:r w:rsidR="00542D47">
        <w:rPr>
          <w:rFonts w:ascii="Times New Roman" w:eastAsia="Calibri" w:hAnsi="Times New Roman" w:cs="Times New Roman"/>
          <w:bCs/>
          <w:iCs/>
          <w:color w:val="000000"/>
          <w:sz w:val="24"/>
          <w:szCs w:val="24"/>
        </w:rPr>
        <w:t xml:space="preserve"> iba </w:t>
      </w:r>
      <w:r w:rsidR="00DC2D58">
        <w:rPr>
          <w:rFonts w:ascii="Times New Roman" w:eastAsia="Calibri" w:hAnsi="Times New Roman" w:cs="Times New Roman"/>
          <w:bCs/>
          <w:iCs/>
          <w:color w:val="000000"/>
          <w:sz w:val="24"/>
          <w:szCs w:val="24"/>
        </w:rPr>
        <w:t>na úrovni všetkých zrušených konkurzov</w:t>
      </w:r>
      <w:r w:rsidR="00542D47">
        <w:rPr>
          <w:rFonts w:ascii="Times New Roman" w:eastAsia="Calibri" w:hAnsi="Times New Roman" w:cs="Times New Roman"/>
          <w:bCs/>
          <w:iCs/>
          <w:color w:val="000000"/>
          <w:sz w:val="24"/>
          <w:szCs w:val="24"/>
        </w:rPr>
        <w:t xml:space="preserve"> v rámci </w:t>
      </w:r>
      <w:r w:rsidR="00DC2D58">
        <w:rPr>
          <w:rFonts w:ascii="Times New Roman" w:eastAsia="Calibri" w:hAnsi="Times New Roman" w:cs="Times New Roman"/>
          <w:bCs/>
          <w:iCs/>
          <w:color w:val="000000"/>
          <w:sz w:val="24"/>
          <w:szCs w:val="24"/>
        </w:rPr>
        <w:t xml:space="preserve">rokov </w:t>
      </w:r>
      <w:r w:rsidR="00542D47">
        <w:rPr>
          <w:rFonts w:ascii="Times New Roman" w:eastAsia="Calibri" w:hAnsi="Times New Roman" w:cs="Times New Roman"/>
          <w:bCs/>
          <w:iCs/>
          <w:color w:val="000000"/>
          <w:sz w:val="24"/>
          <w:szCs w:val="24"/>
        </w:rPr>
        <w:t>2018</w:t>
      </w:r>
      <w:r w:rsidR="00D56084">
        <w:rPr>
          <w:rFonts w:ascii="Times New Roman" w:eastAsia="Calibri" w:hAnsi="Times New Roman" w:cs="Times New Roman"/>
          <w:bCs/>
          <w:iCs/>
          <w:color w:val="000000"/>
          <w:sz w:val="24"/>
          <w:szCs w:val="24"/>
        </w:rPr>
        <w:t xml:space="preserve"> </w:t>
      </w:r>
      <w:r w:rsidR="00542D47">
        <w:rPr>
          <w:rFonts w:ascii="Times New Roman" w:eastAsia="Calibri" w:hAnsi="Times New Roman" w:cs="Times New Roman"/>
          <w:bCs/>
          <w:iCs/>
          <w:color w:val="000000"/>
          <w:sz w:val="24"/>
          <w:szCs w:val="24"/>
        </w:rPr>
        <w:t>-</w:t>
      </w:r>
      <w:r w:rsidR="00D56084">
        <w:rPr>
          <w:rFonts w:ascii="Times New Roman" w:eastAsia="Calibri" w:hAnsi="Times New Roman" w:cs="Times New Roman"/>
          <w:bCs/>
          <w:iCs/>
          <w:color w:val="000000"/>
          <w:sz w:val="24"/>
          <w:szCs w:val="24"/>
        </w:rPr>
        <w:t xml:space="preserve"> </w:t>
      </w:r>
      <w:r w:rsidR="00542D47">
        <w:rPr>
          <w:rFonts w:ascii="Times New Roman" w:eastAsia="Calibri" w:hAnsi="Times New Roman" w:cs="Times New Roman"/>
          <w:bCs/>
          <w:iCs/>
          <w:color w:val="000000"/>
          <w:sz w:val="24"/>
          <w:szCs w:val="24"/>
        </w:rPr>
        <w:t xml:space="preserve">2020.  Tieto údaje </w:t>
      </w:r>
      <w:r w:rsidR="008E788D">
        <w:rPr>
          <w:rFonts w:ascii="Times New Roman" w:eastAsia="Calibri" w:hAnsi="Times New Roman" w:cs="Times New Roman"/>
          <w:bCs/>
          <w:iCs/>
          <w:color w:val="000000"/>
          <w:sz w:val="24"/>
          <w:szCs w:val="24"/>
        </w:rPr>
        <w:t>boli získané od PWC Slovensko (člen externej pracovnej skupiny)</w:t>
      </w:r>
      <w:r w:rsidR="00E37219">
        <w:rPr>
          <w:rFonts w:ascii="Times New Roman" w:eastAsia="Calibri" w:hAnsi="Times New Roman" w:cs="Times New Roman"/>
          <w:bCs/>
          <w:iCs/>
          <w:color w:val="000000"/>
          <w:sz w:val="24"/>
          <w:szCs w:val="24"/>
        </w:rPr>
        <w:t>.</w:t>
      </w:r>
      <w:r w:rsidR="008E788D">
        <w:rPr>
          <w:rFonts w:ascii="Times New Roman" w:eastAsia="Calibri" w:hAnsi="Times New Roman" w:cs="Times New Roman"/>
          <w:bCs/>
          <w:iCs/>
          <w:color w:val="000000"/>
          <w:sz w:val="24"/>
          <w:szCs w:val="24"/>
        </w:rPr>
        <w:t xml:space="preserve"> Z dôvodu</w:t>
      </w:r>
      <w:r w:rsidR="00542D47">
        <w:rPr>
          <w:rFonts w:ascii="Times New Roman" w:eastAsia="Calibri" w:hAnsi="Times New Roman" w:cs="Times New Roman"/>
          <w:bCs/>
          <w:iCs/>
          <w:color w:val="000000"/>
          <w:sz w:val="24"/>
          <w:szCs w:val="24"/>
        </w:rPr>
        <w:t xml:space="preserve"> </w:t>
      </w:r>
      <w:r w:rsidR="008E788D">
        <w:rPr>
          <w:rFonts w:ascii="Times New Roman" w:eastAsia="Calibri" w:hAnsi="Times New Roman" w:cs="Times New Roman"/>
          <w:bCs/>
          <w:iCs/>
          <w:color w:val="000000"/>
          <w:sz w:val="24"/>
          <w:szCs w:val="24"/>
        </w:rPr>
        <w:t xml:space="preserve">dostupnosti údajov </w:t>
      </w:r>
      <w:r w:rsidR="00615CC0">
        <w:rPr>
          <w:rFonts w:ascii="Times New Roman" w:eastAsia="Calibri" w:hAnsi="Times New Roman" w:cs="Times New Roman"/>
          <w:bCs/>
          <w:iCs/>
          <w:color w:val="000000"/>
          <w:sz w:val="24"/>
          <w:szCs w:val="24"/>
        </w:rPr>
        <w:t>len</w:t>
      </w:r>
      <w:r w:rsidR="00542D47">
        <w:rPr>
          <w:rFonts w:ascii="Times New Roman" w:eastAsia="Calibri" w:hAnsi="Times New Roman" w:cs="Times New Roman"/>
          <w:bCs/>
          <w:iCs/>
          <w:color w:val="000000"/>
          <w:sz w:val="24"/>
          <w:szCs w:val="24"/>
        </w:rPr>
        <w:t xml:space="preserve"> na úrovni všetkých zrušených konkurzov</w:t>
      </w:r>
      <w:r w:rsidR="00D56084">
        <w:rPr>
          <w:rFonts w:ascii="Times New Roman" w:eastAsia="Calibri" w:hAnsi="Times New Roman" w:cs="Times New Roman"/>
          <w:bCs/>
          <w:iCs/>
          <w:color w:val="000000"/>
          <w:sz w:val="24"/>
          <w:szCs w:val="24"/>
        </w:rPr>
        <w:t xml:space="preserve"> </w:t>
      </w:r>
      <w:r w:rsidR="008E788D">
        <w:rPr>
          <w:rFonts w:ascii="Times New Roman" w:eastAsia="Calibri" w:hAnsi="Times New Roman" w:cs="Times New Roman"/>
          <w:bCs/>
          <w:iCs/>
          <w:color w:val="000000"/>
          <w:sz w:val="24"/>
          <w:szCs w:val="24"/>
        </w:rPr>
        <w:t>bol</w:t>
      </w:r>
      <w:r w:rsidR="00542D47">
        <w:rPr>
          <w:rFonts w:ascii="Times New Roman" w:eastAsia="Calibri" w:hAnsi="Times New Roman" w:cs="Times New Roman"/>
          <w:bCs/>
          <w:iCs/>
          <w:color w:val="000000"/>
          <w:sz w:val="24"/>
          <w:szCs w:val="24"/>
        </w:rPr>
        <w:t xml:space="preserve"> z</w:t>
      </w:r>
      <w:r w:rsidR="008E788D">
        <w:rPr>
          <w:rFonts w:ascii="Times New Roman" w:eastAsia="Calibri" w:hAnsi="Times New Roman" w:cs="Times New Roman"/>
          <w:bCs/>
          <w:iCs/>
          <w:color w:val="000000"/>
          <w:sz w:val="24"/>
          <w:szCs w:val="24"/>
        </w:rPr>
        <w:t> dát rezortnej štatistiky určený</w:t>
      </w:r>
      <w:r w:rsidR="00542D47">
        <w:rPr>
          <w:rFonts w:ascii="Times New Roman" w:eastAsia="Calibri" w:hAnsi="Times New Roman" w:cs="Times New Roman"/>
          <w:bCs/>
          <w:iCs/>
          <w:color w:val="000000"/>
          <w:sz w:val="24"/>
          <w:szCs w:val="24"/>
        </w:rPr>
        <w:t xml:space="preserve"> priemerný podiel zrušených konkurzov po splnení konečného rozvrhu</w:t>
      </w:r>
      <w:r w:rsidR="008E788D">
        <w:rPr>
          <w:rFonts w:ascii="Times New Roman" w:eastAsia="Calibri" w:hAnsi="Times New Roman" w:cs="Times New Roman"/>
          <w:bCs/>
          <w:iCs/>
          <w:color w:val="000000"/>
          <w:sz w:val="24"/>
          <w:szCs w:val="24"/>
        </w:rPr>
        <w:t xml:space="preserve"> výťažku</w:t>
      </w:r>
      <w:r w:rsidR="00542D47">
        <w:rPr>
          <w:rFonts w:ascii="Times New Roman" w:eastAsia="Calibri" w:hAnsi="Times New Roman" w:cs="Times New Roman"/>
          <w:bCs/>
          <w:iCs/>
          <w:color w:val="000000"/>
          <w:sz w:val="24"/>
          <w:szCs w:val="24"/>
        </w:rPr>
        <w:t xml:space="preserve"> na všetkých zrušenýc</w:t>
      </w:r>
      <w:r w:rsidR="00DC2D58">
        <w:rPr>
          <w:rFonts w:ascii="Times New Roman" w:eastAsia="Calibri" w:hAnsi="Times New Roman" w:cs="Times New Roman"/>
          <w:bCs/>
          <w:iCs/>
          <w:color w:val="000000"/>
          <w:sz w:val="24"/>
          <w:szCs w:val="24"/>
        </w:rPr>
        <w:t>h konkurzoch za roky 2018</w:t>
      </w:r>
      <w:r w:rsidR="00D56084">
        <w:rPr>
          <w:rFonts w:ascii="Times New Roman" w:eastAsia="Calibri" w:hAnsi="Times New Roman" w:cs="Times New Roman"/>
          <w:bCs/>
          <w:iCs/>
          <w:color w:val="000000"/>
          <w:sz w:val="24"/>
          <w:szCs w:val="24"/>
        </w:rPr>
        <w:t xml:space="preserve"> </w:t>
      </w:r>
      <w:r w:rsidR="00DC2D58">
        <w:rPr>
          <w:rFonts w:ascii="Times New Roman" w:eastAsia="Calibri" w:hAnsi="Times New Roman" w:cs="Times New Roman"/>
          <w:bCs/>
          <w:iCs/>
          <w:color w:val="000000"/>
          <w:sz w:val="24"/>
          <w:szCs w:val="24"/>
        </w:rPr>
        <w:t>-</w:t>
      </w:r>
      <w:r w:rsidR="00D56084">
        <w:rPr>
          <w:rFonts w:ascii="Times New Roman" w:eastAsia="Calibri" w:hAnsi="Times New Roman" w:cs="Times New Roman"/>
          <w:bCs/>
          <w:iCs/>
          <w:color w:val="000000"/>
          <w:sz w:val="24"/>
          <w:szCs w:val="24"/>
        </w:rPr>
        <w:t xml:space="preserve"> </w:t>
      </w:r>
      <w:r w:rsidR="00DC2D58">
        <w:rPr>
          <w:rFonts w:ascii="Times New Roman" w:eastAsia="Calibri" w:hAnsi="Times New Roman" w:cs="Times New Roman"/>
          <w:bCs/>
          <w:iCs/>
          <w:color w:val="000000"/>
          <w:sz w:val="24"/>
          <w:szCs w:val="24"/>
        </w:rPr>
        <w:t>2020. Vypočítaným podielom (69</w:t>
      </w:r>
      <w:r w:rsidR="009241FE">
        <w:rPr>
          <w:rFonts w:ascii="Times New Roman" w:eastAsia="Calibri" w:hAnsi="Times New Roman" w:cs="Times New Roman"/>
          <w:bCs/>
          <w:iCs/>
          <w:color w:val="000000"/>
          <w:sz w:val="24"/>
          <w:szCs w:val="24"/>
        </w:rPr>
        <w:t xml:space="preserve"> </w:t>
      </w:r>
      <w:r w:rsidR="00DC2D58">
        <w:rPr>
          <w:rFonts w:ascii="Times New Roman" w:eastAsia="Calibri" w:hAnsi="Times New Roman" w:cs="Times New Roman"/>
          <w:bCs/>
          <w:iCs/>
          <w:color w:val="000000"/>
          <w:sz w:val="24"/>
          <w:szCs w:val="24"/>
        </w:rPr>
        <w:t xml:space="preserve">%) </w:t>
      </w:r>
      <w:r w:rsidR="00542D47">
        <w:rPr>
          <w:rFonts w:ascii="Times New Roman" w:eastAsia="Calibri" w:hAnsi="Times New Roman" w:cs="Times New Roman"/>
          <w:bCs/>
          <w:iCs/>
          <w:color w:val="000000"/>
          <w:sz w:val="24"/>
          <w:szCs w:val="24"/>
        </w:rPr>
        <w:t xml:space="preserve">boli </w:t>
      </w:r>
      <w:r w:rsidR="00DC2D58">
        <w:rPr>
          <w:rFonts w:ascii="Times New Roman" w:eastAsia="Calibri" w:hAnsi="Times New Roman" w:cs="Times New Roman"/>
          <w:bCs/>
          <w:iCs/>
          <w:color w:val="000000"/>
          <w:sz w:val="24"/>
          <w:szCs w:val="24"/>
        </w:rPr>
        <w:t xml:space="preserve">následne </w:t>
      </w:r>
      <w:r w:rsidR="00542D47">
        <w:rPr>
          <w:rFonts w:ascii="Times New Roman" w:eastAsia="Calibri" w:hAnsi="Times New Roman" w:cs="Times New Roman"/>
          <w:bCs/>
          <w:iCs/>
          <w:color w:val="000000"/>
          <w:sz w:val="24"/>
          <w:szCs w:val="24"/>
        </w:rPr>
        <w:t>prenásobené hodnoty zrušených konkurzov MSP za jednotlivé rok</w:t>
      </w:r>
      <w:r w:rsidR="00D177D0">
        <w:rPr>
          <w:rFonts w:ascii="Times New Roman" w:eastAsia="Calibri" w:hAnsi="Times New Roman" w:cs="Times New Roman"/>
          <w:bCs/>
          <w:iCs/>
          <w:color w:val="000000"/>
          <w:sz w:val="24"/>
          <w:szCs w:val="24"/>
        </w:rPr>
        <w:t>y. Týmto spôsobom bol</w:t>
      </w:r>
      <w:r w:rsidR="00615CC0">
        <w:rPr>
          <w:rFonts w:ascii="Times New Roman" w:eastAsia="Calibri" w:hAnsi="Times New Roman" w:cs="Times New Roman"/>
          <w:bCs/>
          <w:iCs/>
          <w:color w:val="000000"/>
          <w:sz w:val="24"/>
          <w:szCs w:val="24"/>
        </w:rPr>
        <w:t xml:space="preserve"> </w:t>
      </w:r>
      <w:r w:rsidR="00D177D0">
        <w:rPr>
          <w:rFonts w:ascii="Times New Roman" w:eastAsia="Calibri" w:hAnsi="Times New Roman" w:cs="Times New Roman"/>
          <w:bCs/>
          <w:iCs/>
          <w:color w:val="000000"/>
          <w:sz w:val="24"/>
          <w:szCs w:val="24"/>
        </w:rPr>
        <w:t>určený</w:t>
      </w:r>
      <w:r w:rsidR="00615CC0">
        <w:rPr>
          <w:rFonts w:ascii="Times New Roman" w:eastAsia="Calibri" w:hAnsi="Times New Roman" w:cs="Times New Roman"/>
          <w:bCs/>
          <w:iCs/>
          <w:color w:val="000000"/>
          <w:sz w:val="24"/>
          <w:szCs w:val="24"/>
        </w:rPr>
        <w:t xml:space="preserve"> približný</w:t>
      </w:r>
      <w:r w:rsidR="00542D47">
        <w:rPr>
          <w:rFonts w:ascii="Times New Roman" w:eastAsia="Calibri" w:hAnsi="Times New Roman" w:cs="Times New Roman"/>
          <w:bCs/>
          <w:iCs/>
          <w:color w:val="000000"/>
          <w:sz w:val="24"/>
          <w:szCs w:val="24"/>
        </w:rPr>
        <w:t xml:space="preserve"> počet subjektov MSP, pri ktorých bol zrušený konkurz po splnení konečného rozvrhu výťažku </w:t>
      </w:r>
      <w:r w:rsidR="00530E95">
        <w:rPr>
          <w:rFonts w:ascii="Times New Roman" w:eastAsia="Calibri" w:hAnsi="Times New Roman" w:cs="Times New Roman"/>
          <w:bCs/>
          <w:iCs/>
          <w:color w:val="000000"/>
          <w:sz w:val="24"/>
          <w:szCs w:val="24"/>
        </w:rPr>
        <w:t xml:space="preserve">a ich spriemerovaním </w:t>
      </w:r>
      <w:r w:rsidR="00D177D0">
        <w:rPr>
          <w:rFonts w:ascii="Times New Roman" w:eastAsia="Calibri" w:hAnsi="Times New Roman" w:cs="Times New Roman"/>
          <w:bCs/>
          <w:iCs/>
          <w:color w:val="000000"/>
          <w:sz w:val="24"/>
          <w:szCs w:val="24"/>
        </w:rPr>
        <w:t>sa dospelo</w:t>
      </w:r>
      <w:r w:rsidR="00530E95">
        <w:rPr>
          <w:rFonts w:ascii="Times New Roman" w:eastAsia="Calibri" w:hAnsi="Times New Roman" w:cs="Times New Roman"/>
          <w:bCs/>
          <w:iCs/>
          <w:color w:val="000000"/>
          <w:sz w:val="24"/>
          <w:szCs w:val="24"/>
        </w:rPr>
        <w:t xml:space="preserve"> ku konečnej hodnote.</w:t>
      </w:r>
    </w:p>
    <w:p w14:paraId="378CE38F" w14:textId="3990C6BC" w:rsidR="002572CF" w:rsidRDefault="00622D7A"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Z dôvodu nedostupnosti dát pre výpočet priemerného výťažku speňaženého majetku bol pre výpočet nákladov použitý modelový príklad, pri ktorom sa predpokladá výťažok v hodnote 10 000 €. Keďže sa poplatok počíta rozdielne pre všeobecnú</w:t>
      </w:r>
      <w:r w:rsidR="00D83781">
        <w:rPr>
          <w:rFonts w:ascii="Times New Roman" w:eastAsia="Calibri" w:hAnsi="Times New Roman" w:cs="Times New Roman"/>
          <w:bCs/>
          <w:iCs/>
          <w:color w:val="000000"/>
          <w:sz w:val="24"/>
          <w:szCs w:val="24"/>
        </w:rPr>
        <w:t xml:space="preserve"> podstatu</w:t>
      </w:r>
      <w:r>
        <w:rPr>
          <w:rFonts w:ascii="Times New Roman" w:eastAsia="Calibri" w:hAnsi="Times New Roman" w:cs="Times New Roman"/>
          <w:bCs/>
          <w:iCs/>
          <w:color w:val="000000"/>
          <w:sz w:val="24"/>
          <w:szCs w:val="24"/>
        </w:rPr>
        <w:t xml:space="preserve"> a oddelenú podstatu, tak aj regulácia je </w:t>
      </w:r>
      <w:r w:rsidR="000E5457">
        <w:rPr>
          <w:rFonts w:ascii="Times New Roman" w:eastAsia="Calibri" w:hAnsi="Times New Roman" w:cs="Times New Roman"/>
          <w:bCs/>
          <w:iCs/>
          <w:color w:val="000000"/>
          <w:sz w:val="24"/>
          <w:szCs w:val="24"/>
        </w:rPr>
        <w:t xml:space="preserve">v Tabuľke č. 2 </w:t>
      </w:r>
      <w:r>
        <w:rPr>
          <w:rFonts w:ascii="Times New Roman" w:eastAsia="Calibri" w:hAnsi="Times New Roman" w:cs="Times New Roman"/>
          <w:bCs/>
          <w:iCs/>
          <w:color w:val="000000"/>
          <w:sz w:val="24"/>
          <w:szCs w:val="24"/>
        </w:rPr>
        <w:t xml:space="preserve">rozdelená </w:t>
      </w:r>
      <w:r w:rsidR="000E5457">
        <w:rPr>
          <w:rFonts w:ascii="Times New Roman" w:eastAsia="Calibri" w:hAnsi="Times New Roman" w:cs="Times New Roman"/>
          <w:bCs/>
          <w:iCs/>
          <w:color w:val="000000"/>
          <w:sz w:val="24"/>
          <w:szCs w:val="24"/>
        </w:rPr>
        <w:t>na tieto dve časti</w:t>
      </w:r>
      <w:r>
        <w:rPr>
          <w:rFonts w:ascii="Times New Roman" w:eastAsia="Calibri" w:hAnsi="Times New Roman" w:cs="Times New Roman"/>
          <w:bCs/>
          <w:iCs/>
          <w:color w:val="000000"/>
          <w:sz w:val="24"/>
          <w:szCs w:val="24"/>
        </w:rPr>
        <w:t xml:space="preserve">. Pri všeobecnej podstate je </w:t>
      </w:r>
      <w:r w:rsidR="000E5457">
        <w:rPr>
          <w:rFonts w:ascii="Times New Roman" w:eastAsia="Calibri" w:hAnsi="Times New Roman" w:cs="Times New Roman"/>
          <w:bCs/>
          <w:iCs/>
          <w:color w:val="000000"/>
          <w:sz w:val="24"/>
          <w:szCs w:val="24"/>
        </w:rPr>
        <w:t>podľa</w:t>
      </w:r>
      <w:r>
        <w:rPr>
          <w:rFonts w:ascii="Times New Roman" w:eastAsia="Calibri" w:hAnsi="Times New Roman" w:cs="Times New Roman"/>
          <w:bCs/>
          <w:iCs/>
          <w:color w:val="000000"/>
          <w:sz w:val="24"/>
          <w:szCs w:val="24"/>
        </w:rPr>
        <w:t xml:space="preserve"> aktuálne platnej právnej úpravy súdny poplatok za konkurzné konanie počítaný ako 0,2 % z</w:t>
      </w:r>
      <w:r w:rsidR="000E5457">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výťažku</w:t>
      </w:r>
      <w:r w:rsidR="000E5457">
        <w:rPr>
          <w:rFonts w:ascii="Times New Roman" w:eastAsia="Calibri" w:hAnsi="Times New Roman" w:cs="Times New Roman"/>
          <w:bCs/>
          <w:iCs/>
          <w:color w:val="000000"/>
          <w:sz w:val="24"/>
          <w:szCs w:val="24"/>
        </w:rPr>
        <w:t xml:space="preserve"> speňaženého majetku</w:t>
      </w:r>
      <w:r w:rsidR="00963185">
        <w:rPr>
          <w:rFonts w:ascii="Times New Roman" w:eastAsia="Calibri" w:hAnsi="Times New Roman" w:cs="Times New Roman"/>
          <w:bCs/>
          <w:iCs/>
          <w:color w:val="000000"/>
          <w:sz w:val="24"/>
          <w:szCs w:val="24"/>
        </w:rPr>
        <w:t xml:space="preserve"> všeobecnej podstaty</w:t>
      </w:r>
      <w:r>
        <w:rPr>
          <w:rFonts w:ascii="Times New Roman" w:eastAsia="Calibri" w:hAnsi="Times New Roman" w:cs="Times New Roman"/>
          <w:bCs/>
          <w:iCs/>
          <w:color w:val="000000"/>
          <w:sz w:val="24"/>
          <w:szCs w:val="24"/>
        </w:rPr>
        <w:t xml:space="preserve">. Podľa navrhovaného zákona sa percentuálna sadzba zvýši na 1%. </w:t>
      </w:r>
      <w:r w:rsidR="00E64D7C">
        <w:rPr>
          <w:rFonts w:ascii="Times New Roman" w:eastAsia="Calibri" w:hAnsi="Times New Roman" w:cs="Times New Roman"/>
          <w:bCs/>
          <w:iCs/>
          <w:color w:val="000000"/>
          <w:sz w:val="24"/>
          <w:szCs w:val="24"/>
        </w:rPr>
        <w:t xml:space="preserve">Na základe aktuálne platnej právnej úpravy by dotknutý </w:t>
      </w:r>
      <w:r w:rsidR="00D83781">
        <w:rPr>
          <w:rFonts w:ascii="Times New Roman" w:eastAsia="Calibri" w:hAnsi="Times New Roman" w:cs="Times New Roman"/>
          <w:bCs/>
          <w:iCs/>
          <w:color w:val="000000"/>
          <w:sz w:val="24"/>
          <w:szCs w:val="24"/>
        </w:rPr>
        <w:t>subjekt pri výťažku 10 000 €</w:t>
      </w:r>
      <w:r w:rsidR="00E64D7C">
        <w:rPr>
          <w:rFonts w:ascii="Times New Roman" w:eastAsia="Calibri" w:hAnsi="Times New Roman" w:cs="Times New Roman"/>
          <w:bCs/>
          <w:iCs/>
          <w:color w:val="000000"/>
          <w:sz w:val="24"/>
          <w:szCs w:val="24"/>
        </w:rPr>
        <w:t xml:space="preserve"> </w:t>
      </w:r>
      <w:r w:rsidR="00D83781">
        <w:rPr>
          <w:rFonts w:ascii="Times New Roman" w:eastAsia="Calibri" w:hAnsi="Times New Roman" w:cs="Times New Roman"/>
          <w:bCs/>
          <w:iCs/>
          <w:color w:val="000000"/>
          <w:sz w:val="24"/>
          <w:szCs w:val="24"/>
        </w:rPr>
        <w:t xml:space="preserve">zo </w:t>
      </w:r>
      <w:r w:rsidR="00E64D7C">
        <w:rPr>
          <w:rFonts w:ascii="Times New Roman" w:eastAsia="Calibri" w:hAnsi="Times New Roman" w:cs="Times New Roman"/>
          <w:bCs/>
          <w:iCs/>
          <w:color w:val="000000"/>
          <w:sz w:val="24"/>
          <w:szCs w:val="24"/>
        </w:rPr>
        <w:t>všeobecnej podstat</w:t>
      </w:r>
      <w:r w:rsidR="00D83781">
        <w:rPr>
          <w:rFonts w:ascii="Times New Roman" w:eastAsia="Calibri" w:hAnsi="Times New Roman" w:cs="Times New Roman"/>
          <w:bCs/>
          <w:iCs/>
          <w:color w:val="000000"/>
          <w:sz w:val="24"/>
          <w:szCs w:val="24"/>
        </w:rPr>
        <w:t>y</w:t>
      </w:r>
      <w:r w:rsidR="00E64D7C">
        <w:rPr>
          <w:rFonts w:ascii="Times New Roman" w:eastAsia="Calibri" w:hAnsi="Times New Roman" w:cs="Times New Roman"/>
          <w:bCs/>
          <w:iCs/>
          <w:color w:val="000000"/>
          <w:sz w:val="24"/>
          <w:szCs w:val="24"/>
        </w:rPr>
        <w:t xml:space="preserve"> platil súdny poplatok vo výške 20 €. Navrhovaná právna úprava zvyšuje tento poplatok pri rovnakom výťažku na 100 €. Rozdiel medzi predmetnými </w:t>
      </w:r>
      <w:r w:rsidR="00D83781">
        <w:rPr>
          <w:rFonts w:ascii="Times New Roman" w:eastAsia="Calibri" w:hAnsi="Times New Roman" w:cs="Times New Roman"/>
          <w:bCs/>
          <w:iCs/>
          <w:color w:val="000000"/>
          <w:sz w:val="24"/>
          <w:szCs w:val="24"/>
        </w:rPr>
        <w:t xml:space="preserve">súdnymi </w:t>
      </w:r>
      <w:r w:rsidR="00E64D7C">
        <w:rPr>
          <w:rFonts w:ascii="Times New Roman" w:eastAsia="Calibri" w:hAnsi="Times New Roman" w:cs="Times New Roman"/>
          <w:bCs/>
          <w:iCs/>
          <w:color w:val="000000"/>
          <w:sz w:val="24"/>
          <w:szCs w:val="24"/>
        </w:rPr>
        <w:t xml:space="preserve">poplatkami je 80 €, čo predstavuje zvýšený náklad pre </w:t>
      </w:r>
      <w:r w:rsidR="000E5457">
        <w:rPr>
          <w:rFonts w:ascii="Times New Roman" w:eastAsia="Calibri" w:hAnsi="Times New Roman" w:cs="Times New Roman"/>
          <w:bCs/>
          <w:iCs/>
          <w:color w:val="000000"/>
          <w:sz w:val="24"/>
          <w:szCs w:val="24"/>
        </w:rPr>
        <w:t xml:space="preserve">jeden </w:t>
      </w:r>
      <w:r w:rsidR="00E64D7C">
        <w:rPr>
          <w:rFonts w:ascii="Times New Roman" w:eastAsia="Calibri" w:hAnsi="Times New Roman" w:cs="Times New Roman"/>
          <w:bCs/>
          <w:iCs/>
          <w:color w:val="000000"/>
          <w:sz w:val="24"/>
          <w:szCs w:val="24"/>
        </w:rPr>
        <w:t xml:space="preserve">dotknutý subjekt. Táto suma </w:t>
      </w:r>
      <w:r w:rsidR="000E5457">
        <w:rPr>
          <w:rFonts w:ascii="Times New Roman" w:eastAsia="Calibri" w:hAnsi="Times New Roman" w:cs="Times New Roman"/>
          <w:bCs/>
          <w:iCs/>
          <w:color w:val="000000"/>
          <w:sz w:val="24"/>
          <w:szCs w:val="24"/>
        </w:rPr>
        <w:t>bola</w:t>
      </w:r>
      <w:r w:rsidR="00E64D7C">
        <w:rPr>
          <w:rFonts w:ascii="Times New Roman" w:eastAsia="Calibri" w:hAnsi="Times New Roman" w:cs="Times New Roman"/>
          <w:bCs/>
          <w:iCs/>
          <w:color w:val="000000"/>
          <w:sz w:val="24"/>
          <w:szCs w:val="24"/>
        </w:rPr>
        <w:t xml:space="preserve"> následne vynásobená počtom dotknutých subjektov kvantifikovaných na základe vyššie popísaného postupu</w:t>
      </w:r>
      <w:r w:rsidR="000E5457">
        <w:rPr>
          <w:rFonts w:ascii="Times New Roman" w:eastAsia="Calibri" w:hAnsi="Times New Roman" w:cs="Times New Roman"/>
          <w:bCs/>
          <w:iCs/>
          <w:color w:val="000000"/>
          <w:sz w:val="24"/>
          <w:szCs w:val="24"/>
        </w:rPr>
        <w:t xml:space="preserve"> a výsledná suma bola zaznamenaná v priloženej tabuľke</w:t>
      </w:r>
      <w:r w:rsidR="00E64D7C">
        <w:rPr>
          <w:rFonts w:ascii="Times New Roman" w:eastAsia="Calibri" w:hAnsi="Times New Roman" w:cs="Times New Roman"/>
          <w:bCs/>
          <w:iCs/>
          <w:color w:val="000000"/>
          <w:sz w:val="24"/>
          <w:szCs w:val="24"/>
        </w:rPr>
        <w:t xml:space="preserve">. </w:t>
      </w:r>
      <w:r w:rsidR="000E5457">
        <w:rPr>
          <w:rFonts w:ascii="Times New Roman" w:eastAsia="Calibri" w:hAnsi="Times New Roman" w:cs="Times New Roman"/>
          <w:bCs/>
          <w:iCs/>
          <w:color w:val="000000"/>
          <w:sz w:val="24"/>
          <w:szCs w:val="24"/>
        </w:rPr>
        <w:t xml:space="preserve">Pri oddelenej podstate sa súdny poplatok zvyšuje z 0,2 % z výťažku speňaženého majetku podľa aktuálnej právnej úpravy na 0,5 % podľa navrhovanej právnej úpravy. Pri modelovom príklade s výťažkom 10 000 € by to znamenalo zvýšenie poplatku z 20 € na 50 €. Rozdiel 30 € predstavuje zvýšené náklady pre jeden dotknutý subjekt a preto bol vynásobený počtom dotknutých subjektov, čo je konečná hodnota v priloženej tabuľke. </w:t>
      </w:r>
    </w:p>
    <w:p w14:paraId="2722163E" w14:textId="16B8D4E7" w:rsidR="00D177D0" w:rsidRDefault="00CD4E01" w:rsidP="0098387D">
      <w:pPr>
        <w:pStyle w:val="Odsekzoznamu"/>
        <w:numPr>
          <w:ilvl w:val="0"/>
          <w:numId w:val="11"/>
        </w:numPr>
        <w:ind w:left="426"/>
        <w:jc w:val="both"/>
        <w:rPr>
          <w:rFonts w:ascii="Times New Roman" w:eastAsia="Calibri" w:hAnsi="Times New Roman" w:cs="Times New Roman"/>
          <w:bCs/>
          <w:iCs/>
          <w:color w:val="000000"/>
          <w:sz w:val="24"/>
          <w:szCs w:val="24"/>
        </w:rPr>
      </w:pPr>
      <w:r>
        <w:rPr>
          <w:rFonts w:ascii="Times New Roman" w:eastAsia="Calibri" w:hAnsi="Times New Roman" w:cs="Times New Roman"/>
          <w:i/>
          <w:sz w:val="24"/>
          <w:szCs w:val="24"/>
        </w:rPr>
        <w:lastRenderedPageBreak/>
        <w:t xml:space="preserve">a 34. </w:t>
      </w:r>
      <w:r w:rsidR="00D177D0" w:rsidRPr="0098387D">
        <w:rPr>
          <w:rFonts w:ascii="Times New Roman" w:eastAsia="Calibri" w:hAnsi="Times New Roman" w:cs="Times New Roman"/>
          <w:i/>
          <w:sz w:val="24"/>
          <w:szCs w:val="24"/>
        </w:rPr>
        <w:t>Zvýšenie</w:t>
      </w:r>
      <w:r w:rsidR="00D177D0" w:rsidRPr="00DC2D58">
        <w:rPr>
          <w:rFonts w:ascii="Times New Roman" w:eastAsia="Calibri" w:hAnsi="Times New Roman" w:cs="Times New Roman"/>
          <w:bCs/>
          <w:i/>
          <w:iCs/>
          <w:color w:val="000000"/>
          <w:sz w:val="24"/>
          <w:szCs w:val="24"/>
        </w:rPr>
        <w:t xml:space="preserve"> súd</w:t>
      </w:r>
      <w:r w:rsidR="00D177D0">
        <w:rPr>
          <w:rFonts w:ascii="Times New Roman" w:eastAsia="Calibri" w:hAnsi="Times New Roman" w:cs="Times New Roman"/>
          <w:bCs/>
          <w:i/>
          <w:iCs/>
          <w:color w:val="000000"/>
          <w:sz w:val="24"/>
          <w:szCs w:val="24"/>
        </w:rPr>
        <w:t>neho poplatku</w:t>
      </w:r>
      <w:r w:rsidR="00D177D0" w:rsidRPr="00DC2D58">
        <w:rPr>
          <w:rFonts w:ascii="Times New Roman" w:eastAsia="Calibri" w:hAnsi="Times New Roman" w:cs="Times New Roman"/>
          <w:bCs/>
          <w:i/>
          <w:iCs/>
          <w:color w:val="000000"/>
          <w:sz w:val="24"/>
          <w:szCs w:val="24"/>
        </w:rPr>
        <w:t xml:space="preserve"> za podanie námietky zaujatosti</w:t>
      </w:r>
    </w:p>
    <w:p w14:paraId="2C984C51" w14:textId="306C7A8F" w:rsidR="00965AE9" w:rsidRDefault="00965AE9"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Pri </w:t>
      </w:r>
      <w:r w:rsidR="00D177D0">
        <w:rPr>
          <w:rFonts w:ascii="Times New Roman" w:eastAsia="Calibri" w:hAnsi="Times New Roman" w:cs="Times New Roman"/>
          <w:bCs/>
          <w:iCs/>
          <w:color w:val="000000"/>
          <w:sz w:val="24"/>
          <w:szCs w:val="24"/>
        </w:rPr>
        <w:t xml:space="preserve">tejto regulácii dáta, </w:t>
      </w:r>
      <w:r w:rsidR="00853691">
        <w:rPr>
          <w:rFonts w:ascii="Times New Roman" w:eastAsia="Calibri" w:hAnsi="Times New Roman" w:cs="Times New Roman"/>
          <w:bCs/>
          <w:iCs/>
          <w:color w:val="000000"/>
          <w:sz w:val="24"/>
          <w:szCs w:val="24"/>
        </w:rPr>
        <w:t>na základe ktorých by bolo možné</w:t>
      </w:r>
      <w:r w:rsidR="00D177D0">
        <w:rPr>
          <w:rFonts w:ascii="Times New Roman" w:eastAsia="Calibri" w:hAnsi="Times New Roman" w:cs="Times New Roman"/>
          <w:bCs/>
          <w:iCs/>
          <w:color w:val="000000"/>
          <w:sz w:val="24"/>
          <w:szCs w:val="24"/>
        </w:rPr>
        <w:t xml:space="preserve"> u</w:t>
      </w:r>
      <w:r w:rsidR="00853691">
        <w:rPr>
          <w:rFonts w:ascii="Times New Roman" w:eastAsia="Calibri" w:hAnsi="Times New Roman" w:cs="Times New Roman"/>
          <w:bCs/>
          <w:iCs/>
          <w:color w:val="000000"/>
          <w:sz w:val="24"/>
          <w:szCs w:val="24"/>
        </w:rPr>
        <w:t>rčiť, koľko takýchto námietok</w:t>
      </w:r>
      <w:r w:rsidR="00D177D0">
        <w:rPr>
          <w:rFonts w:ascii="Times New Roman" w:eastAsia="Calibri" w:hAnsi="Times New Roman" w:cs="Times New Roman"/>
          <w:bCs/>
          <w:iCs/>
          <w:color w:val="000000"/>
          <w:sz w:val="24"/>
          <w:szCs w:val="24"/>
        </w:rPr>
        <w:t xml:space="preserve"> </w:t>
      </w:r>
      <w:r w:rsidR="00853691">
        <w:rPr>
          <w:rFonts w:ascii="Times New Roman" w:eastAsia="Calibri" w:hAnsi="Times New Roman" w:cs="Times New Roman"/>
          <w:bCs/>
          <w:iCs/>
          <w:color w:val="000000"/>
          <w:sz w:val="24"/>
          <w:szCs w:val="24"/>
        </w:rPr>
        <w:t xml:space="preserve">v </w:t>
      </w:r>
      <w:r w:rsidR="00D177D0">
        <w:rPr>
          <w:rFonts w:ascii="Times New Roman" w:eastAsia="Calibri" w:hAnsi="Times New Roman" w:cs="Times New Roman"/>
          <w:bCs/>
          <w:iCs/>
          <w:color w:val="000000"/>
          <w:sz w:val="24"/>
          <w:szCs w:val="24"/>
        </w:rPr>
        <w:t>jednotlivých konaniach je</w:t>
      </w:r>
      <w:r w:rsidR="00853691">
        <w:rPr>
          <w:rFonts w:ascii="Times New Roman" w:eastAsia="Calibri" w:hAnsi="Times New Roman" w:cs="Times New Roman"/>
          <w:bCs/>
          <w:iCs/>
          <w:color w:val="000000"/>
          <w:sz w:val="24"/>
          <w:szCs w:val="24"/>
        </w:rPr>
        <w:t>,</w:t>
      </w:r>
      <w:r w:rsidR="00D177D0">
        <w:rPr>
          <w:rFonts w:ascii="Times New Roman" w:eastAsia="Calibri" w:hAnsi="Times New Roman" w:cs="Times New Roman"/>
          <w:bCs/>
          <w:iCs/>
          <w:color w:val="000000"/>
          <w:sz w:val="24"/>
          <w:szCs w:val="24"/>
        </w:rPr>
        <w:t xml:space="preserve"> a či ide o veriteľské alebo dlžnícke podania,</w:t>
      </w:r>
      <w:r>
        <w:rPr>
          <w:rFonts w:ascii="Times New Roman" w:eastAsia="Calibri" w:hAnsi="Times New Roman" w:cs="Times New Roman"/>
          <w:bCs/>
          <w:iCs/>
          <w:color w:val="000000"/>
          <w:sz w:val="24"/>
          <w:szCs w:val="24"/>
        </w:rPr>
        <w:t xml:space="preserve"> v rezortnej štatistike ani v Registri úpadcov </w:t>
      </w:r>
      <w:r w:rsidR="00D177D0">
        <w:rPr>
          <w:rFonts w:ascii="Times New Roman" w:eastAsia="Calibri" w:hAnsi="Times New Roman" w:cs="Times New Roman"/>
          <w:bCs/>
          <w:iCs/>
          <w:color w:val="000000"/>
          <w:sz w:val="24"/>
          <w:szCs w:val="24"/>
        </w:rPr>
        <w:t>dostupné nie sú</w:t>
      </w:r>
      <w:r>
        <w:rPr>
          <w:rFonts w:ascii="Times New Roman" w:eastAsia="Calibri" w:hAnsi="Times New Roman" w:cs="Times New Roman"/>
          <w:bCs/>
          <w:iCs/>
          <w:color w:val="000000"/>
          <w:sz w:val="24"/>
          <w:szCs w:val="24"/>
        </w:rPr>
        <w:t>.</w:t>
      </w:r>
      <w:r w:rsidR="001005EF">
        <w:rPr>
          <w:rFonts w:ascii="Times New Roman" w:eastAsia="Calibri" w:hAnsi="Times New Roman" w:cs="Times New Roman"/>
          <w:bCs/>
          <w:iCs/>
          <w:color w:val="000000"/>
          <w:sz w:val="24"/>
          <w:szCs w:val="24"/>
        </w:rPr>
        <w:t xml:space="preserve"> </w:t>
      </w:r>
      <w:r w:rsidR="00195011">
        <w:rPr>
          <w:rFonts w:ascii="Times New Roman" w:eastAsia="Calibri" w:hAnsi="Times New Roman" w:cs="Times New Roman"/>
          <w:bCs/>
          <w:iCs/>
          <w:color w:val="000000"/>
          <w:sz w:val="24"/>
          <w:szCs w:val="24"/>
        </w:rPr>
        <w:t xml:space="preserve">Z tohto dôvodu je pre kvantifikáciu nákladov na podnikateľské prostredie použitý modelový príklad na 1 podnikateľský subjekt. </w:t>
      </w:r>
      <w:r w:rsidR="00BF1756">
        <w:rPr>
          <w:rFonts w:ascii="Times New Roman" w:eastAsia="Calibri" w:hAnsi="Times New Roman" w:cs="Times New Roman"/>
          <w:bCs/>
          <w:iCs/>
          <w:color w:val="000000"/>
          <w:sz w:val="24"/>
          <w:szCs w:val="24"/>
        </w:rPr>
        <w:t xml:space="preserve">Poplatok za námietku zaujatosti podľa aktuálnej </w:t>
      </w:r>
      <w:r w:rsidR="00BF1756" w:rsidRPr="000E5457">
        <w:rPr>
          <w:rFonts w:ascii="Times New Roman" w:eastAsia="Calibri" w:hAnsi="Times New Roman" w:cs="Times New Roman"/>
          <w:bCs/>
          <w:iCs/>
          <w:color w:val="000000"/>
          <w:sz w:val="24"/>
          <w:szCs w:val="24"/>
        </w:rPr>
        <w:t xml:space="preserve">právnej úpravy je vo výške 331,50 €, ak bola námietka zaujatosti podaná v lehote prihlasovania pohľadávok. Ak námietka zaujatosti nebola podaná v tejto lehote, tak poplatok za </w:t>
      </w:r>
      <w:r w:rsidR="000E5457">
        <w:rPr>
          <w:rFonts w:ascii="Times New Roman" w:eastAsia="Calibri" w:hAnsi="Times New Roman" w:cs="Times New Roman"/>
          <w:bCs/>
          <w:iCs/>
          <w:color w:val="000000"/>
          <w:sz w:val="24"/>
          <w:szCs w:val="24"/>
        </w:rPr>
        <w:t>jej podanie je</w:t>
      </w:r>
      <w:r w:rsidR="00BF1756" w:rsidRPr="000E5457">
        <w:rPr>
          <w:rFonts w:ascii="Times New Roman" w:eastAsia="Calibri" w:hAnsi="Times New Roman" w:cs="Times New Roman"/>
          <w:bCs/>
          <w:iCs/>
          <w:color w:val="000000"/>
          <w:sz w:val="24"/>
          <w:szCs w:val="24"/>
        </w:rPr>
        <w:t xml:space="preserve"> vo výške 1</w:t>
      </w:r>
      <w:r w:rsidR="00BF1756" w:rsidRPr="00ED3755">
        <w:rPr>
          <w:rFonts w:ascii="Times New Roman" w:eastAsia="Calibri" w:hAnsi="Times New Roman" w:cs="Times New Roman"/>
          <w:bCs/>
          <w:iCs/>
          <w:color w:val="000000"/>
          <w:sz w:val="24"/>
          <w:szCs w:val="24"/>
        </w:rPr>
        <w:t xml:space="preserve">% </w:t>
      </w:r>
      <w:r w:rsidR="00BF1756" w:rsidRPr="000E5457">
        <w:rPr>
          <w:rFonts w:ascii="Times New Roman" w:eastAsia="Calibri" w:hAnsi="Times New Roman" w:cs="Times New Roman"/>
          <w:bCs/>
          <w:iCs/>
          <w:color w:val="000000"/>
          <w:sz w:val="24"/>
          <w:szCs w:val="24"/>
        </w:rPr>
        <w:t>zo sumy prihlásenej</w:t>
      </w:r>
      <w:r w:rsidR="00BF1756" w:rsidRPr="00ED3755">
        <w:rPr>
          <w:rFonts w:ascii="Times New Roman" w:eastAsia="Calibri" w:hAnsi="Times New Roman" w:cs="Times New Roman"/>
          <w:bCs/>
          <w:iCs/>
          <w:color w:val="000000"/>
          <w:sz w:val="24"/>
          <w:szCs w:val="24"/>
        </w:rPr>
        <w:t xml:space="preserve"> pohľadávky. Keďže d</w:t>
      </w:r>
      <w:r w:rsidR="00BF1756" w:rsidRPr="000E5457">
        <w:rPr>
          <w:rFonts w:ascii="Times New Roman" w:eastAsia="Calibri" w:hAnsi="Times New Roman" w:cs="Times New Roman"/>
          <w:bCs/>
          <w:iCs/>
          <w:color w:val="000000"/>
          <w:sz w:val="24"/>
          <w:szCs w:val="24"/>
        </w:rPr>
        <w:t>áta</w:t>
      </w:r>
      <w:r w:rsidR="00BF1756" w:rsidRPr="00ED3755">
        <w:rPr>
          <w:rFonts w:ascii="Times New Roman" w:eastAsia="Calibri" w:hAnsi="Times New Roman" w:cs="Times New Roman"/>
          <w:bCs/>
          <w:iCs/>
          <w:color w:val="000000"/>
          <w:sz w:val="24"/>
          <w:szCs w:val="24"/>
        </w:rPr>
        <w:t xml:space="preserve"> ohľadne počtu námietok zaujatosti a ich podávania nie sú k dispozícii, tak je pre kvantifikáciu nákladov na základe modelového príkladu použitá len suma, ktorá je špecifikovaná pre námietky zaujatosti podané v lehote prihlasovania pohľadávok.</w:t>
      </w:r>
      <w:r w:rsidR="00BF1756">
        <w:rPr>
          <w:rFonts w:ascii="Times New Roman" w:eastAsia="Calibri" w:hAnsi="Times New Roman" w:cs="Times New Roman"/>
          <w:bCs/>
          <w:iCs/>
          <w:color w:val="000000"/>
          <w:sz w:val="24"/>
          <w:szCs w:val="24"/>
          <w:lang w:val="en-US"/>
        </w:rPr>
        <w:t xml:space="preserve"> </w:t>
      </w:r>
      <w:r w:rsidR="00BF1756">
        <w:rPr>
          <w:rFonts w:ascii="Times New Roman" w:eastAsia="Calibri" w:hAnsi="Times New Roman" w:cs="Times New Roman"/>
          <w:bCs/>
          <w:iCs/>
          <w:color w:val="000000"/>
          <w:sz w:val="24"/>
          <w:szCs w:val="24"/>
        </w:rPr>
        <w:t xml:space="preserve">Podľa navrhovanej právnej úpravy má byť </w:t>
      </w:r>
      <w:r w:rsidR="000E5457">
        <w:rPr>
          <w:rFonts w:ascii="Times New Roman" w:eastAsia="Calibri" w:hAnsi="Times New Roman" w:cs="Times New Roman"/>
          <w:bCs/>
          <w:iCs/>
          <w:color w:val="000000"/>
          <w:sz w:val="24"/>
          <w:szCs w:val="24"/>
        </w:rPr>
        <w:t xml:space="preserve">už </w:t>
      </w:r>
      <w:r w:rsidR="00BF1756">
        <w:rPr>
          <w:rFonts w:ascii="Times New Roman" w:eastAsia="Calibri" w:hAnsi="Times New Roman" w:cs="Times New Roman"/>
          <w:bCs/>
          <w:iCs/>
          <w:color w:val="000000"/>
          <w:sz w:val="24"/>
          <w:szCs w:val="24"/>
        </w:rPr>
        <w:t xml:space="preserve">tento poplatok jednotný a jeho výška </w:t>
      </w:r>
      <w:r w:rsidR="000E5457">
        <w:rPr>
          <w:rFonts w:ascii="Times New Roman" w:eastAsia="Calibri" w:hAnsi="Times New Roman" w:cs="Times New Roman"/>
          <w:bCs/>
          <w:iCs/>
          <w:color w:val="000000"/>
          <w:sz w:val="24"/>
          <w:szCs w:val="24"/>
        </w:rPr>
        <w:t>bude</w:t>
      </w:r>
      <w:r w:rsidR="00BF1756">
        <w:rPr>
          <w:rFonts w:ascii="Times New Roman" w:eastAsia="Calibri" w:hAnsi="Times New Roman" w:cs="Times New Roman"/>
          <w:bCs/>
          <w:iCs/>
          <w:color w:val="000000"/>
          <w:sz w:val="24"/>
          <w:szCs w:val="24"/>
        </w:rPr>
        <w:t xml:space="preserve"> 500 €</w:t>
      </w:r>
      <w:r w:rsidR="00963185">
        <w:rPr>
          <w:rFonts w:ascii="Times New Roman" w:eastAsia="Calibri" w:hAnsi="Times New Roman" w:cs="Times New Roman"/>
          <w:bCs/>
          <w:iCs/>
          <w:color w:val="000000"/>
          <w:sz w:val="24"/>
          <w:szCs w:val="24"/>
        </w:rPr>
        <w:t>, bez ohľadu na moment podania námietky. Rozdiel navrhovanej sadzby</w:t>
      </w:r>
      <w:r w:rsidR="00BF1756">
        <w:rPr>
          <w:rFonts w:ascii="Times New Roman" w:eastAsia="Calibri" w:hAnsi="Times New Roman" w:cs="Times New Roman"/>
          <w:bCs/>
          <w:iCs/>
          <w:color w:val="000000"/>
          <w:sz w:val="24"/>
          <w:szCs w:val="24"/>
        </w:rPr>
        <w:t xml:space="preserve"> </w:t>
      </w:r>
      <w:r w:rsidR="00963185">
        <w:rPr>
          <w:rFonts w:ascii="Times New Roman" w:eastAsia="Calibri" w:hAnsi="Times New Roman" w:cs="Times New Roman"/>
          <w:bCs/>
          <w:iCs/>
          <w:color w:val="000000"/>
          <w:sz w:val="24"/>
          <w:szCs w:val="24"/>
        </w:rPr>
        <w:t>(500 €) a sadzby</w:t>
      </w:r>
      <w:r w:rsidR="00BF1756">
        <w:rPr>
          <w:rFonts w:ascii="Times New Roman" w:eastAsia="Calibri" w:hAnsi="Times New Roman" w:cs="Times New Roman"/>
          <w:bCs/>
          <w:iCs/>
          <w:color w:val="000000"/>
          <w:sz w:val="24"/>
          <w:szCs w:val="24"/>
        </w:rPr>
        <w:t xml:space="preserve"> </w:t>
      </w:r>
      <w:r w:rsidR="00963185">
        <w:rPr>
          <w:rFonts w:ascii="Times New Roman" w:eastAsia="Calibri" w:hAnsi="Times New Roman" w:cs="Times New Roman"/>
          <w:bCs/>
          <w:iCs/>
          <w:color w:val="000000"/>
          <w:sz w:val="24"/>
          <w:szCs w:val="24"/>
        </w:rPr>
        <w:t>podľa</w:t>
      </w:r>
      <w:r w:rsidR="00BF1756">
        <w:rPr>
          <w:rFonts w:ascii="Times New Roman" w:eastAsia="Calibri" w:hAnsi="Times New Roman" w:cs="Times New Roman"/>
          <w:bCs/>
          <w:iCs/>
          <w:color w:val="000000"/>
          <w:sz w:val="24"/>
          <w:szCs w:val="24"/>
        </w:rPr>
        <w:t xml:space="preserve"> aktuálne platnej právnej úpravy (331,50 €) predstavuje sumu zvýšenia nákladov pre </w:t>
      </w:r>
      <w:r w:rsidR="00B5243A">
        <w:rPr>
          <w:rFonts w:ascii="Times New Roman" w:eastAsia="Calibri" w:hAnsi="Times New Roman" w:cs="Times New Roman"/>
          <w:bCs/>
          <w:iCs/>
          <w:color w:val="000000"/>
          <w:sz w:val="24"/>
          <w:szCs w:val="24"/>
        </w:rPr>
        <w:t>1 dotknutý podnikateľský subjekt</w:t>
      </w:r>
      <w:r w:rsidR="00BF1756">
        <w:rPr>
          <w:rFonts w:ascii="Times New Roman" w:eastAsia="Calibri" w:hAnsi="Times New Roman" w:cs="Times New Roman"/>
          <w:bCs/>
          <w:iCs/>
          <w:color w:val="000000"/>
          <w:sz w:val="24"/>
          <w:szCs w:val="24"/>
        </w:rPr>
        <w:t>, ktorá je vo výške 168,50 €</w:t>
      </w:r>
      <w:r w:rsidR="000E5457">
        <w:rPr>
          <w:rFonts w:ascii="Times New Roman" w:eastAsia="Calibri" w:hAnsi="Times New Roman" w:cs="Times New Roman"/>
          <w:bCs/>
          <w:iCs/>
          <w:color w:val="000000"/>
          <w:sz w:val="24"/>
          <w:szCs w:val="24"/>
        </w:rPr>
        <w:t>.</w:t>
      </w:r>
    </w:p>
    <w:p w14:paraId="6B412F00" w14:textId="59BCFEEE" w:rsidR="00CD4E01" w:rsidRPr="00CD4E01" w:rsidRDefault="00CD4E01" w:rsidP="00032AB8">
      <w:pPr>
        <w:pStyle w:val="Odsekzoznamu"/>
        <w:numPr>
          <w:ilvl w:val="0"/>
          <w:numId w:val="12"/>
        </w:numPr>
        <w:ind w:left="426"/>
        <w:jc w:val="both"/>
        <w:rPr>
          <w:rFonts w:ascii="Times New Roman" w:eastAsia="Calibri" w:hAnsi="Times New Roman" w:cs="Times New Roman"/>
          <w:i/>
          <w:sz w:val="24"/>
          <w:szCs w:val="24"/>
        </w:rPr>
      </w:pPr>
      <w:r>
        <w:rPr>
          <w:rFonts w:ascii="Times New Roman" w:eastAsia="Calibri" w:hAnsi="Times New Roman" w:cs="Times New Roman"/>
          <w:i/>
          <w:sz w:val="24"/>
          <w:szCs w:val="24"/>
        </w:rPr>
        <w:t>a 3</w:t>
      </w:r>
      <w:r w:rsidR="00B84170">
        <w:rPr>
          <w:rFonts w:ascii="Times New Roman" w:eastAsia="Calibri" w:hAnsi="Times New Roman" w:cs="Times New Roman"/>
          <w:i/>
          <w:sz w:val="24"/>
          <w:szCs w:val="24"/>
        </w:rPr>
        <w:t>6</w:t>
      </w:r>
      <w:r>
        <w:rPr>
          <w:rFonts w:ascii="Times New Roman" w:eastAsia="Calibri" w:hAnsi="Times New Roman" w:cs="Times New Roman"/>
          <w:i/>
          <w:sz w:val="24"/>
          <w:szCs w:val="24"/>
        </w:rPr>
        <w:t xml:space="preserve">. </w:t>
      </w:r>
      <w:r w:rsidRPr="00CD4E01">
        <w:rPr>
          <w:rFonts w:ascii="Times New Roman" w:eastAsia="Calibri" w:hAnsi="Times New Roman" w:cs="Times New Roman"/>
          <w:i/>
          <w:sz w:val="24"/>
          <w:szCs w:val="24"/>
        </w:rPr>
        <w:t>Zmeny sadzieb ročného poplatku správcu za trvanie zápisu v zozname správcov</w:t>
      </w:r>
    </w:p>
    <w:p w14:paraId="3EB4F9CD" w14:textId="77777777" w:rsidR="00CD4E01" w:rsidRPr="00403907" w:rsidRDefault="00CD4E01" w:rsidP="00CD4E0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Týkajú sa správcov ako dotknutých subjektov. Správcom môže byť fyzická osoba (FO) alebo právnická osoba. Predkladaný návrh zákona upravuje dva rôzne poplatky pre obe skupiny. Dáta ohľadne počtov týchto subjektov pochádzajú z registra správcov.</w:t>
      </w:r>
    </w:p>
    <w:p w14:paraId="6C8506E0" w14:textId="0FA3688B" w:rsidR="00CD4E01" w:rsidRDefault="00CD4E01" w:rsidP="00CD4E0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Vplyv zmeny sadzby ročného poplatku správcu za trvanie zápisu v zozname správcov bol určený dvojakým spôsobom, ktorý závisí od toho, či ide o správcu FO alebo PO, keďže zákon predpokladá iné sadzby a spôsob vyrubenia poplatku pre tieto skupiny. Pri správcoch FO bol dopad regulácie určený ako rozdiel aktuálnej sadzby poplatku (165,50 €) a navrhovanej sadzby poplatku (200 €), vynásobený počtom dotknutých subjektov (740). Pri správcoch FO je zreteľné, že sa touto reguláciou ich náklady zvyšujú. Na druhej strane pri správcoch PO je to naopak. Podľa v súčasnosti platnej legislatívy správcovia PO platia za každého spoločníka ročný poplatok vo výške 165,50 €. Z dát obchodného registra bol zistený počet spoločníkov jednotlivých správcov PO a vynásobený aktuálnou ročnou sadzbou. Z týchto údajov bol následne určený súčasný priemerný ročný poplatok správcov PO za trvanie zápisu v zozname správcov (482,71 €). Sadzba v predkladanom návrhu je stanovená fixne na 400 € pre správcu PO bez ohľadu na počet spoločníkov. Z tohto dôvodu ide pri tejto regulácii o znižovanie nákladov zistené ako rozdiel súčasnej priemernej sadzby s navrhovanou sadzbou a vynásobený počtom dotknutých subjektov. </w:t>
      </w:r>
    </w:p>
    <w:p w14:paraId="0AEE48EF" w14:textId="2F8305B4" w:rsidR="00D11CA4" w:rsidRPr="00B84170" w:rsidRDefault="00D11CA4" w:rsidP="00032AB8">
      <w:pPr>
        <w:pStyle w:val="Odsekzoznamu"/>
        <w:numPr>
          <w:ilvl w:val="0"/>
          <w:numId w:val="13"/>
        </w:numPr>
        <w:ind w:left="426"/>
        <w:jc w:val="both"/>
        <w:rPr>
          <w:rFonts w:ascii="Times New Roman" w:eastAsia="Calibri" w:hAnsi="Times New Roman" w:cs="Times New Roman"/>
          <w:bCs/>
          <w:i/>
          <w:iCs/>
          <w:color w:val="000000"/>
          <w:sz w:val="24"/>
          <w:szCs w:val="24"/>
        </w:rPr>
      </w:pPr>
      <w:r w:rsidRPr="00B84170">
        <w:rPr>
          <w:rFonts w:ascii="Times New Roman" w:eastAsia="Calibri" w:hAnsi="Times New Roman" w:cs="Times New Roman"/>
          <w:bCs/>
          <w:i/>
          <w:iCs/>
          <w:color w:val="000000"/>
          <w:sz w:val="24"/>
          <w:szCs w:val="24"/>
        </w:rPr>
        <w:t>Zavedenie správneho poplatku za vykonanie špeciálnej správcovskej skúšky</w:t>
      </w:r>
    </w:p>
    <w:p w14:paraId="29069463" w14:textId="38ED42FC" w:rsidR="00D11CA4" w:rsidRDefault="00B84170" w:rsidP="00CD4E0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Navrhovaný zákon zavádza reguláciu v podobe správneho poplatku za vykonanie špeciálnej správcovskej skúšky. Ide o zvýšenie nákladov správcov (dotknutých subjektov), ktorí sa takejto skúšky zúčastnia. Náklady regulácie boli určené ako priame. Keďže ide o novú povinnosť týkajúcu sa len tých správcov, ktorí budú chcieť byť</w:t>
      </w:r>
      <w:r w:rsidR="0001046A">
        <w:rPr>
          <w:rFonts w:ascii="Times New Roman" w:eastAsia="Calibri" w:hAnsi="Times New Roman" w:cs="Times New Roman"/>
          <w:bCs/>
          <w:iCs/>
          <w:color w:val="000000"/>
          <w:sz w:val="24"/>
          <w:szCs w:val="24"/>
        </w:rPr>
        <w:t xml:space="preserve"> zapísaní do oddielu špeciálnych správcov v zozname správcov,</w:t>
      </w:r>
      <w:r>
        <w:rPr>
          <w:rFonts w:ascii="Times New Roman" w:eastAsia="Calibri" w:hAnsi="Times New Roman" w:cs="Times New Roman"/>
          <w:bCs/>
          <w:iCs/>
          <w:color w:val="000000"/>
          <w:sz w:val="24"/>
          <w:szCs w:val="24"/>
        </w:rPr>
        <w:t xml:space="preserve"> tak počet dotknutých subjektov nie je možné určiť na základe existujúcich dát z registrov alebo rezortnej štatistiky. Náklady sú preto počítané prostredníctvom modelo</w:t>
      </w:r>
      <w:r w:rsidR="0001046A">
        <w:rPr>
          <w:rFonts w:ascii="Times New Roman" w:eastAsia="Calibri" w:hAnsi="Times New Roman" w:cs="Times New Roman"/>
          <w:bCs/>
          <w:iCs/>
          <w:color w:val="000000"/>
          <w:sz w:val="24"/>
          <w:szCs w:val="24"/>
        </w:rPr>
        <w:t>vého príkladu na 1 dotknutý</w:t>
      </w:r>
      <w:r>
        <w:rPr>
          <w:rFonts w:ascii="Times New Roman" w:eastAsia="Calibri" w:hAnsi="Times New Roman" w:cs="Times New Roman"/>
          <w:bCs/>
          <w:iCs/>
          <w:color w:val="000000"/>
          <w:sz w:val="24"/>
          <w:szCs w:val="24"/>
        </w:rPr>
        <w:t xml:space="preserve"> subjekt. Správny poplatok je navrhovaný vo výške 5000 </w:t>
      </w:r>
      <w:r w:rsidR="002C2FA6">
        <w:rPr>
          <w:rFonts w:ascii="Times New Roman" w:eastAsia="Calibri" w:hAnsi="Times New Roman" w:cs="Times New Roman"/>
          <w:bCs/>
          <w:iCs/>
          <w:color w:val="000000"/>
          <w:sz w:val="24"/>
          <w:szCs w:val="24"/>
        </w:rPr>
        <w:t>€, čo je aj v</w:t>
      </w:r>
      <w:r w:rsidR="0001046A">
        <w:rPr>
          <w:rFonts w:ascii="Times New Roman" w:eastAsia="Calibri" w:hAnsi="Times New Roman" w:cs="Times New Roman"/>
          <w:bCs/>
          <w:iCs/>
          <w:color w:val="000000"/>
          <w:sz w:val="24"/>
          <w:szCs w:val="24"/>
        </w:rPr>
        <w:t>ýška nákladov na 1 dotknutý</w:t>
      </w:r>
      <w:r w:rsidR="002C2FA6">
        <w:rPr>
          <w:rFonts w:ascii="Times New Roman" w:eastAsia="Calibri" w:hAnsi="Times New Roman" w:cs="Times New Roman"/>
          <w:bCs/>
          <w:iCs/>
          <w:color w:val="000000"/>
          <w:sz w:val="24"/>
          <w:szCs w:val="24"/>
        </w:rPr>
        <w:t xml:space="preserve"> subjekt</w:t>
      </w:r>
      <w:r>
        <w:rPr>
          <w:rFonts w:ascii="Times New Roman" w:eastAsia="Calibri" w:hAnsi="Times New Roman" w:cs="Times New Roman"/>
          <w:bCs/>
          <w:iCs/>
          <w:color w:val="000000"/>
          <w:sz w:val="24"/>
          <w:szCs w:val="24"/>
        </w:rPr>
        <w:t>.</w:t>
      </w:r>
    </w:p>
    <w:p w14:paraId="31130A02" w14:textId="4DA4A181" w:rsidR="00B84170" w:rsidRDefault="00B84170" w:rsidP="00032AB8">
      <w:pPr>
        <w:pStyle w:val="Odsekzoznamu"/>
        <w:numPr>
          <w:ilvl w:val="0"/>
          <w:numId w:val="13"/>
        </w:numPr>
        <w:ind w:left="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lastRenderedPageBreak/>
        <w:t>P</w:t>
      </w:r>
      <w:r w:rsidRPr="00B84170">
        <w:rPr>
          <w:rFonts w:ascii="Times New Roman" w:eastAsia="Calibri" w:hAnsi="Times New Roman" w:cs="Times New Roman"/>
          <w:bCs/>
          <w:i/>
          <w:iCs/>
          <w:color w:val="000000"/>
          <w:sz w:val="24"/>
          <w:szCs w:val="24"/>
        </w:rPr>
        <w:t>ovinnosť sledovať vlastnú finančnú situáciu, stav majetku a záväzkov v súvislosti s hroziacim úpadkom</w:t>
      </w:r>
    </w:p>
    <w:p w14:paraId="3FD4AFAD" w14:textId="0A2CF59E" w:rsidR="00017E4A" w:rsidRPr="00D137F0" w:rsidRDefault="00D137F0" w:rsidP="00D137F0">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Ide o novú povinnosť v súvislosti s</w:t>
      </w:r>
      <w:r w:rsidR="0001046A">
        <w:rPr>
          <w:rFonts w:ascii="Times New Roman" w:eastAsia="Calibri" w:hAnsi="Times New Roman" w:cs="Times New Roman"/>
          <w:bCs/>
          <w:iCs/>
          <w:color w:val="000000"/>
          <w:sz w:val="24"/>
          <w:szCs w:val="24"/>
        </w:rPr>
        <w:t> včasným zistením hroziaceho úpadku</w:t>
      </w:r>
      <w:r>
        <w:rPr>
          <w:rFonts w:ascii="Times New Roman" w:eastAsia="Calibri" w:hAnsi="Times New Roman" w:cs="Times New Roman"/>
          <w:bCs/>
          <w:iCs/>
          <w:color w:val="000000"/>
          <w:sz w:val="24"/>
          <w:szCs w:val="24"/>
        </w:rPr>
        <w:t xml:space="preserve">, ktorá dotknutým subjektom zvyšuje náklady. </w:t>
      </w:r>
      <w:r w:rsidRPr="000C53A1">
        <w:rPr>
          <w:rFonts w:ascii="Times New Roman" w:eastAsia="Calibri" w:hAnsi="Times New Roman" w:cs="Times New Roman"/>
          <w:sz w:val="24"/>
          <w:szCs w:val="24"/>
        </w:rPr>
        <w:t xml:space="preserve">Počet </w:t>
      </w:r>
      <w:r>
        <w:rPr>
          <w:rFonts w:ascii="Times New Roman" w:eastAsia="Calibri" w:hAnsi="Times New Roman" w:cs="Times New Roman"/>
          <w:bCs/>
          <w:iCs/>
          <w:color w:val="000000"/>
          <w:sz w:val="24"/>
          <w:szCs w:val="24"/>
        </w:rPr>
        <w:t xml:space="preserve">dotknutých subjektov </w:t>
      </w:r>
      <w:r w:rsidRPr="000C53A1">
        <w:rPr>
          <w:rFonts w:ascii="Times New Roman" w:eastAsia="Calibri" w:hAnsi="Times New Roman" w:cs="Times New Roman"/>
          <w:bCs/>
          <w:iCs/>
          <w:color w:val="000000"/>
          <w:sz w:val="24"/>
          <w:szCs w:val="24"/>
        </w:rPr>
        <w:t xml:space="preserve">nie je možné vyčísliť na základe existujúcich dát z registrov alebo rezortnej štatistiky. Preto bol zvolený spôsob výpočtu prostredníctvom modelového príkladu na 1 podnikateľský subjekt. Pri kvantifikácii bol zvolený postup na základe alternatívy č. 2 pre administratívne náklady, kedy bola zvolená hodnota z preddefinovaného číselníka. </w:t>
      </w:r>
      <w:r w:rsidRPr="000C53A1">
        <w:rPr>
          <w:rFonts w:ascii="Times New Roman" w:eastAsia="Calibri" w:hAnsi="Times New Roman" w:cs="Times New Roman"/>
          <w:sz w:val="24"/>
          <w:szCs w:val="24"/>
        </w:rPr>
        <w:t xml:space="preserve">Typ administratívnych nákladov bol určený ako </w:t>
      </w:r>
      <w:r>
        <w:rPr>
          <w:rFonts w:ascii="Times New Roman" w:eastAsia="Calibri" w:hAnsi="Times New Roman" w:cs="Times New Roman"/>
          <w:sz w:val="24"/>
          <w:szCs w:val="24"/>
        </w:rPr>
        <w:t>evidencia/vedenie dokumentácie pri</w:t>
      </w:r>
      <w:r w:rsidRPr="000C53A1">
        <w:rPr>
          <w:rFonts w:ascii="Times New Roman" w:eastAsia="Calibri" w:hAnsi="Times New Roman" w:cs="Times New Roman"/>
          <w:sz w:val="24"/>
          <w:szCs w:val="24"/>
        </w:rPr>
        <w:t xml:space="preserve"> </w:t>
      </w:r>
      <w:r>
        <w:rPr>
          <w:rFonts w:ascii="Times New Roman" w:eastAsia="Calibri" w:hAnsi="Times New Roman" w:cs="Times New Roman"/>
          <w:sz w:val="24"/>
          <w:szCs w:val="24"/>
        </w:rPr>
        <w:t>mesačnej</w:t>
      </w:r>
      <w:r w:rsidRPr="000C53A1">
        <w:rPr>
          <w:rFonts w:ascii="Times New Roman" w:eastAsia="Calibri" w:hAnsi="Times New Roman" w:cs="Times New Roman"/>
          <w:sz w:val="24"/>
          <w:szCs w:val="24"/>
        </w:rPr>
        <w:t xml:space="preserve"> frekvencii (</w:t>
      </w:r>
      <w:r>
        <w:rPr>
          <w:rFonts w:ascii="Times New Roman" w:eastAsia="Calibri" w:hAnsi="Times New Roman" w:cs="Times New Roman"/>
          <w:bCs/>
          <w:iCs/>
          <w:color w:val="000000"/>
          <w:sz w:val="24"/>
          <w:szCs w:val="24"/>
        </w:rPr>
        <w:t>dotknuté subjekty budú musieť sledovať vlastnú finančnú situáciu pravidelne</w:t>
      </w:r>
      <w:r w:rsidRPr="000C53A1">
        <w:rPr>
          <w:rFonts w:ascii="Times New Roman" w:eastAsia="Calibri" w:hAnsi="Times New Roman" w:cs="Times New Roman"/>
          <w:bCs/>
          <w:iCs/>
          <w:color w:val="000000"/>
          <w:sz w:val="24"/>
          <w:szCs w:val="24"/>
        </w:rPr>
        <w:t>)</w:t>
      </w:r>
      <w:r>
        <w:rPr>
          <w:rFonts w:ascii="Times New Roman" w:eastAsia="Calibri" w:hAnsi="Times New Roman" w:cs="Times New Roman"/>
          <w:sz w:val="24"/>
          <w:szCs w:val="24"/>
        </w:rPr>
        <w:t>.</w:t>
      </w:r>
    </w:p>
    <w:p w14:paraId="25D2AC1B" w14:textId="0F439363" w:rsidR="00032AB8" w:rsidRDefault="00032AB8" w:rsidP="00032AB8">
      <w:pPr>
        <w:pStyle w:val="Odsekzoznamu"/>
        <w:numPr>
          <w:ilvl w:val="0"/>
          <w:numId w:val="13"/>
        </w:numPr>
        <w:ind w:left="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P</w:t>
      </w:r>
      <w:r w:rsidRPr="00032AB8">
        <w:rPr>
          <w:rFonts w:ascii="Times New Roman" w:eastAsia="Calibri" w:hAnsi="Times New Roman" w:cs="Times New Roman"/>
          <w:bCs/>
          <w:i/>
          <w:iCs/>
          <w:color w:val="000000"/>
          <w:sz w:val="24"/>
          <w:szCs w:val="24"/>
        </w:rPr>
        <w:t>ovinnosť podať návrh na vyhlásenie konkurzu v prípade platobnej neschopnosti</w:t>
      </w:r>
    </w:p>
    <w:p w14:paraId="2E79FED4" w14:textId="24C261FE" w:rsidR="00017E4A" w:rsidRPr="00017E4A" w:rsidRDefault="002C2FA6" w:rsidP="00017E4A">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Regulácia zavádza novú povinnosť, ktorá zvyšuje administratívne náklady dotknutých subjektov. Dotknutými subjektami sú dlžníci PO, pričom ich počet </w:t>
      </w:r>
      <w:r w:rsidRPr="000C53A1">
        <w:rPr>
          <w:rFonts w:ascii="Times New Roman" w:eastAsia="Calibri" w:hAnsi="Times New Roman" w:cs="Times New Roman"/>
          <w:bCs/>
          <w:iCs/>
          <w:color w:val="000000"/>
          <w:sz w:val="24"/>
          <w:szCs w:val="24"/>
        </w:rPr>
        <w:t>nie je možné vyčísliť na základe existujúcich dát z registrov alebo rezortnej štatistiky</w:t>
      </w:r>
      <w:r>
        <w:rPr>
          <w:rFonts w:ascii="Times New Roman" w:eastAsia="Calibri" w:hAnsi="Times New Roman" w:cs="Times New Roman"/>
          <w:bCs/>
          <w:iCs/>
          <w:color w:val="000000"/>
          <w:sz w:val="24"/>
          <w:szCs w:val="24"/>
        </w:rPr>
        <w:t xml:space="preserve"> z dôvodu nedostupnosti dát ohľadne počtu návrhov na vyhlásenie konkurzu z dôvodu platobnej neschopnosti</w:t>
      </w:r>
      <w:r w:rsidRPr="000C53A1">
        <w:rPr>
          <w:rFonts w:ascii="Times New Roman" w:eastAsia="Calibri" w:hAnsi="Times New Roman" w:cs="Times New Roman"/>
          <w:bCs/>
          <w:iCs/>
          <w:color w:val="000000"/>
          <w:sz w:val="24"/>
          <w:szCs w:val="24"/>
        </w:rPr>
        <w:t>. Preto bol zvolený spôsob výpočtu prostredníctvom modelového príkladu na 1 podnikateľský subjekt. Regulácia z</w:t>
      </w:r>
      <w:r>
        <w:rPr>
          <w:rFonts w:ascii="Times New Roman" w:eastAsia="Calibri" w:hAnsi="Times New Roman" w:cs="Times New Roman"/>
          <w:bCs/>
          <w:iCs/>
          <w:color w:val="000000"/>
          <w:sz w:val="24"/>
          <w:szCs w:val="24"/>
        </w:rPr>
        <w:t>vyšuje</w:t>
      </w:r>
      <w:r w:rsidRPr="000C53A1">
        <w:rPr>
          <w:rFonts w:ascii="Times New Roman" w:eastAsia="Calibri" w:hAnsi="Times New Roman" w:cs="Times New Roman"/>
          <w:bCs/>
          <w:iCs/>
          <w:color w:val="000000"/>
          <w:sz w:val="24"/>
          <w:szCs w:val="24"/>
        </w:rPr>
        <w:t xml:space="preserve"> administratívne náklady. Pri kvantifikácii bol zvolený postup na základe alternatívy č. 2 pre administratívne náklady, kedy bola zvolená hodnota z preddefinovaného číselníka. </w:t>
      </w:r>
      <w:r w:rsidRPr="000C53A1">
        <w:rPr>
          <w:rFonts w:ascii="Times New Roman" w:eastAsia="Calibri" w:hAnsi="Times New Roman" w:cs="Times New Roman"/>
          <w:sz w:val="24"/>
          <w:szCs w:val="24"/>
        </w:rPr>
        <w:t xml:space="preserve">Typ administratívnych nákladov bol určený ako </w:t>
      </w:r>
      <w:r>
        <w:rPr>
          <w:rFonts w:ascii="Times New Roman" w:eastAsia="Calibri" w:hAnsi="Times New Roman" w:cs="Times New Roman"/>
          <w:sz w:val="24"/>
          <w:szCs w:val="24"/>
        </w:rPr>
        <w:t xml:space="preserve">žiadosť/návrh </w:t>
      </w:r>
      <w:r w:rsidRPr="000C53A1">
        <w:rPr>
          <w:rFonts w:ascii="Times New Roman" w:eastAsia="Calibri" w:hAnsi="Times New Roman" w:cs="Times New Roman"/>
          <w:sz w:val="24"/>
          <w:szCs w:val="24"/>
        </w:rPr>
        <w:t>pri jednorazovej/nepravidelnej frekvencii (</w:t>
      </w:r>
      <w:r w:rsidRPr="00F237BF">
        <w:rPr>
          <w:rFonts w:ascii="Times New Roman" w:eastAsia="Calibri" w:hAnsi="Times New Roman" w:cs="Times New Roman"/>
          <w:bCs/>
          <w:iCs/>
          <w:color w:val="000000"/>
          <w:sz w:val="24"/>
          <w:szCs w:val="24"/>
        </w:rPr>
        <w:t>dotknuté subjekty podávajú návrh len raz</w:t>
      </w:r>
      <w:r w:rsidRPr="000C53A1">
        <w:rPr>
          <w:rFonts w:ascii="Times New Roman" w:eastAsia="Calibri" w:hAnsi="Times New Roman" w:cs="Times New Roman"/>
          <w:bCs/>
          <w:iCs/>
          <w:color w:val="000000"/>
          <w:sz w:val="24"/>
          <w:szCs w:val="24"/>
        </w:rPr>
        <w:t>)</w:t>
      </w:r>
      <w:r w:rsidRPr="000C53A1">
        <w:rPr>
          <w:rFonts w:ascii="Times New Roman" w:eastAsia="Calibri" w:hAnsi="Times New Roman" w:cs="Times New Roman"/>
          <w:sz w:val="24"/>
          <w:szCs w:val="24"/>
        </w:rPr>
        <w:t>.</w:t>
      </w:r>
    </w:p>
    <w:p w14:paraId="2B06E311" w14:textId="17E71279" w:rsidR="00032AB8" w:rsidRDefault="00032AB8" w:rsidP="00032AB8">
      <w:pPr>
        <w:pStyle w:val="Odsekzoznamu"/>
        <w:numPr>
          <w:ilvl w:val="0"/>
          <w:numId w:val="13"/>
        </w:numPr>
        <w:ind w:left="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a 41. V</w:t>
      </w:r>
      <w:r w:rsidRPr="00032AB8">
        <w:rPr>
          <w:rFonts w:ascii="Times New Roman" w:eastAsia="Calibri" w:hAnsi="Times New Roman" w:cs="Times New Roman"/>
          <w:bCs/>
          <w:i/>
          <w:iCs/>
          <w:color w:val="000000"/>
          <w:sz w:val="24"/>
          <w:szCs w:val="24"/>
        </w:rPr>
        <w:t>ýlučne elektronické podávanie návrhu na vyhlásenie konkurzu (zrušenie podávania návrhov papierovo a dvojmo)</w:t>
      </w:r>
    </w:p>
    <w:p w14:paraId="7E018ADD" w14:textId="6915E252" w:rsidR="00E90DF6" w:rsidRDefault="00F77D3F" w:rsidP="00017E4A">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Regulácia sa týka dlžníckych návrhov ako aj veriteľských. Ide o dve rozdielne kategórie subjektov, preto je rozdelená do dvoch samostatných riadkov v</w:t>
      </w:r>
      <w:r w:rsidR="00E90DF6">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tabuľke</w:t>
      </w:r>
      <w:r w:rsidR="00E90DF6">
        <w:rPr>
          <w:rFonts w:ascii="Times New Roman" w:eastAsia="Calibri" w:hAnsi="Times New Roman" w:cs="Times New Roman"/>
          <w:bCs/>
          <w:iCs/>
          <w:color w:val="000000"/>
          <w:sz w:val="24"/>
          <w:szCs w:val="24"/>
        </w:rPr>
        <w:t>. V oboch prípadoch ide o znižovanie nákladov dotknutých subjektov.</w:t>
      </w:r>
    </w:p>
    <w:p w14:paraId="39563517" w14:textId="09275128" w:rsidR="00F237BF" w:rsidRDefault="00E90DF6" w:rsidP="00F237BF">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 xml:space="preserve">Počet dlžníkov PO, ktorých sa týka znižovanie nákladov bol určený na základe priemerného počtu dlžníckych návrhov na vyhlásenie konkurzu za obdobie 2018-2020. Tieto údaje sú pritom súčasťou rezortnej štatistiky. </w:t>
      </w:r>
      <w:r w:rsidR="00F237BF">
        <w:rPr>
          <w:rFonts w:ascii="Times New Roman" w:eastAsia="Calibri" w:hAnsi="Times New Roman" w:cs="Times New Roman"/>
          <w:bCs/>
          <w:iCs/>
          <w:color w:val="000000"/>
          <w:sz w:val="24"/>
          <w:szCs w:val="24"/>
        </w:rPr>
        <w:t>Počet</w:t>
      </w:r>
      <w:r>
        <w:rPr>
          <w:rFonts w:ascii="Times New Roman" w:eastAsia="Calibri" w:hAnsi="Times New Roman" w:cs="Times New Roman"/>
          <w:bCs/>
          <w:iCs/>
          <w:color w:val="000000"/>
          <w:sz w:val="24"/>
          <w:szCs w:val="24"/>
        </w:rPr>
        <w:t xml:space="preserve"> dotknutých subjektov tak bol určený na </w:t>
      </w:r>
      <w:r w:rsidR="00F237BF">
        <w:rPr>
          <w:rFonts w:ascii="Times New Roman" w:eastAsia="Calibri" w:hAnsi="Times New Roman" w:cs="Times New Roman"/>
          <w:bCs/>
          <w:iCs/>
          <w:color w:val="000000"/>
          <w:sz w:val="24"/>
          <w:szCs w:val="24"/>
        </w:rPr>
        <w:t xml:space="preserve">316. Regulácia znižuje administratívne náklady. </w:t>
      </w:r>
      <w:r w:rsidR="00F237BF" w:rsidRPr="00967284">
        <w:rPr>
          <w:rFonts w:ascii="Times New Roman" w:eastAsia="Calibri" w:hAnsi="Times New Roman" w:cs="Times New Roman"/>
          <w:bCs/>
          <w:iCs/>
          <w:color w:val="000000"/>
          <w:sz w:val="24"/>
          <w:szCs w:val="24"/>
        </w:rPr>
        <w:t>Pri kvantifikácii bol zvolený postup na základe alternatívy č. 2 pre administratívne náklady, kedy bola zvolená hodnota z preddefinovaného číselníka.</w:t>
      </w:r>
      <w:r w:rsidR="00F237BF">
        <w:rPr>
          <w:rFonts w:ascii="Times New Roman" w:eastAsia="Calibri" w:hAnsi="Times New Roman" w:cs="Times New Roman"/>
          <w:bCs/>
          <w:iCs/>
          <w:color w:val="000000"/>
          <w:sz w:val="24"/>
          <w:szCs w:val="24"/>
        </w:rPr>
        <w:t xml:space="preserve"> </w:t>
      </w:r>
      <w:r w:rsidR="00F237BF" w:rsidRPr="00967284">
        <w:rPr>
          <w:rFonts w:ascii="Times New Roman" w:eastAsia="Calibri" w:hAnsi="Times New Roman" w:cs="Times New Roman"/>
          <w:sz w:val="24"/>
          <w:szCs w:val="24"/>
        </w:rPr>
        <w:t xml:space="preserve">Typ administratívnych nákladov bol určený ako </w:t>
      </w:r>
      <w:r w:rsidR="00F237BF">
        <w:rPr>
          <w:rFonts w:ascii="Times New Roman" w:eastAsia="Calibri" w:hAnsi="Times New Roman" w:cs="Times New Roman"/>
          <w:sz w:val="24"/>
          <w:szCs w:val="24"/>
        </w:rPr>
        <w:t xml:space="preserve">žiadosť/návrh </w:t>
      </w:r>
      <w:r w:rsidR="00F237BF" w:rsidRPr="00967284">
        <w:rPr>
          <w:rFonts w:ascii="Times New Roman" w:eastAsia="Calibri" w:hAnsi="Times New Roman" w:cs="Times New Roman"/>
          <w:sz w:val="24"/>
          <w:szCs w:val="24"/>
        </w:rPr>
        <w:t>pri jednorazovej/nepravidelnej frekvencii (</w:t>
      </w:r>
      <w:r w:rsidR="00F237BF">
        <w:rPr>
          <w:rFonts w:ascii="Times New Roman" w:eastAsia="Calibri" w:hAnsi="Times New Roman" w:cs="Times New Roman"/>
          <w:bCs/>
          <w:iCs/>
          <w:color w:val="000000"/>
          <w:sz w:val="24"/>
          <w:szCs w:val="24"/>
        </w:rPr>
        <w:t>dotknuté subjekty podávajú návrh len raz</w:t>
      </w:r>
      <w:r w:rsidR="00F237BF" w:rsidRPr="00967284">
        <w:rPr>
          <w:rFonts w:ascii="Times New Roman" w:eastAsia="Calibri" w:hAnsi="Times New Roman" w:cs="Times New Roman"/>
          <w:bCs/>
          <w:iCs/>
          <w:color w:val="000000"/>
          <w:sz w:val="24"/>
          <w:szCs w:val="24"/>
        </w:rPr>
        <w:t>)</w:t>
      </w:r>
      <w:r w:rsidR="00F237BF" w:rsidRPr="00967284">
        <w:rPr>
          <w:rFonts w:ascii="Times New Roman" w:eastAsia="Calibri" w:hAnsi="Times New Roman" w:cs="Times New Roman"/>
          <w:sz w:val="24"/>
          <w:szCs w:val="24"/>
        </w:rPr>
        <w:t>.</w:t>
      </w:r>
    </w:p>
    <w:p w14:paraId="079846C6" w14:textId="21A6CE97" w:rsidR="00E90DF6" w:rsidRPr="001228FB" w:rsidRDefault="00F237BF" w:rsidP="00017E4A">
      <w:pPr>
        <w:jc w:val="both"/>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 xml:space="preserve">Počet veriteľov, ktorých sa týka znižovanie nákladov bol určený na základe priemerného počtu veriteľských návrhov na vyhlásenie konkurzu za obdobie 2018-2020. Tieto údaje sú pritom súčasťou rezortnej štatistiky. Počet dotknutých subjektov tak bol určený na 186. Regulácia znižuje administratívne náklady. </w:t>
      </w:r>
      <w:r w:rsidRPr="00967284">
        <w:rPr>
          <w:rFonts w:ascii="Times New Roman" w:eastAsia="Calibri" w:hAnsi="Times New Roman" w:cs="Times New Roman"/>
          <w:bCs/>
          <w:iCs/>
          <w:color w:val="000000"/>
          <w:sz w:val="24"/>
          <w:szCs w:val="24"/>
        </w:rPr>
        <w:t>Pri kvantifikácii bol zvolený postup na základe alternatívy č. 2 pre administratívne náklady, kedy bola zvolená hodnota z preddefinovaného číselníka.</w:t>
      </w:r>
      <w:r>
        <w:rPr>
          <w:rFonts w:ascii="Times New Roman" w:eastAsia="Calibri" w:hAnsi="Times New Roman" w:cs="Times New Roman"/>
          <w:bCs/>
          <w:iCs/>
          <w:color w:val="000000"/>
          <w:sz w:val="24"/>
          <w:szCs w:val="24"/>
        </w:rPr>
        <w:t xml:space="preserve"> </w:t>
      </w:r>
      <w:r w:rsidRPr="00967284">
        <w:rPr>
          <w:rFonts w:ascii="Times New Roman" w:eastAsia="Calibri" w:hAnsi="Times New Roman" w:cs="Times New Roman"/>
          <w:sz w:val="24"/>
          <w:szCs w:val="24"/>
        </w:rPr>
        <w:t xml:space="preserve">Typ administratívnych nákladov bol určený ako </w:t>
      </w:r>
      <w:r>
        <w:rPr>
          <w:rFonts w:ascii="Times New Roman" w:eastAsia="Calibri" w:hAnsi="Times New Roman" w:cs="Times New Roman"/>
          <w:sz w:val="24"/>
          <w:szCs w:val="24"/>
        </w:rPr>
        <w:t xml:space="preserve">žiadosť/návrh </w:t>
      </w:r>
      <w:r w:rsidRPr="00967284">
        <w:rPr>
          <w:rFonts w:ascii="Times New Roman" w:eastAsia="Calibri" w:hAnsi="Times New Roman" w:cs="Times New Roman"/>
          <w:sz w:val="24"/>
          <w:szCs w:val="24"/>
        </w:rPr>
        <w:t>pri jednorazovej/nepravidelnej frekvencii (</w:t>
      </w:r>
      <w:r>
        <w:rPr>
          <w:rFonts w:ascii="Times New Roman" w:eastAsia="Calibri" w:hAnsi="Times New Roman" w:cs="Times New Roman"/>
          <w:bCs/>
          <w:iCs/>
          <w:color w:val="000000"/>
          <w:sz w:val="24"/>
          <w:szCs w:val="24"/>
        </w:rPr>
        <w:t>dotknuté subjekty podávajú návrh len raz</w:t>
      </w:r>
      <w:r w:rsidRPr="00967284">
        <w:rPr>
          <w:rFonts w:ascii="Times New Roman" w:eastAsia="Calibri" w:hAnsi="Times New Roman" w:cs="Times New Roman"/>
          <w:bCs/>
          <w:iCs/>
          <w:color w:val="000000"/>
          <w:sz w:val="24"/>
          <w:szCs w:val="24"/>
        </w:rPr>
        <w:t>)</w:t>
      </w:r>
      <w:r w:rsidRPr="00967284">
        <w:rPr>
          <w:rFonts w:ascii="Times New Roman" w:eastAsia="Calibri" w:hAnsi="Times New Roman" w:cs="Times New Roman"/>
          <w:sz w:val="24"/>
          <w:szCs w:val="24"/>
        </w:rPr>
        <w:t>.</w:t>
      </w:r>
    </w:p>
    <w:p w14:paraId="2C0E6CBC" w14:textId="45B290F7" w:rsidR="00D177D0" w:rsidRDefault="00965AE9" w:rsidP="00032AB8">
      <w:pPr>
        <w:pStyle w:val="Odsekzoznamu"/>
        <w:numPr>
          <w:ilvl w:val="0"/>
          <w:numId w:val="14"/>
        </w:numPr>
        <w:ind w:left="426"/>
        <w:jc w:val="both"/>
        <w:rPr>
          <w:rFonts w:ascii="Times New Roman" w:eastAsia="Calibri" w:hAnsi="Times New Roman" w:cs="Times New Roman"/>
          <w:bCs/>
          <w:iCs/>
          <w:color w:val="000000"/>
          <w:sz w:val="24"/>
          <w:szCs w:val="24"/>
        </w:rPr>
      </w:pPr>
      <w:r w:rsidRPr="00DC2D58">
        <w:rPr>
          <w:rFonts w:ascii="Times New Roman" w:eastAsia="Calibri" w:hAnsi="Times New Roman" w:cs="Times New Roman"/>
          <w:bCs/>
          <w:i/>
          <w:iCs/>
          <w:color w:val="000000"/>
          <w:sz w:val="24"/>
          <w:szCs w:val="24"/>
        </w:rPr>
        <w:t>Výlučne elekt</w:t>
      </w:r>
      <w:r w:rsidR="00D177D0">
        <w:rPr>
          <w:rFonts w:ascii="Times New Roman" w:eastAsia="Calibri" w:hAnsi="Times New Roman" w:cs="Times New Roman"/>
          <w:bCs/>
          <w:i/>
          <w:iCs/>
          <w:color w:val="000000"/>
          <w:sz w:val="24"/>
          <w:szCs w:val="24"/>
        </w:rPr>
        <w:t>ronické prihlasovanie pohľadávky (zrušenie prihlasovania papierovo)</w:t>
      </w:r>
    </w:p>
    <w:p w14:paraId="3C35E8A5" w14:textId="38E83358" w:rsidR="00965AE9" w:rsidRDefault="00D177D0"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T</w:t>
      </w:r>
      <w:r w:rsidR="001005EF">
        <w:rPr>
          <w:rFonts w:ascii="Times New Roman" w:eastAsia="Calibri" w:hAnsi="Times New Roman" w:cs="Times New Roman"/>
          <w:bCs/>
          <w:iCs/>
          <w:color w:val="000000"/>
          <w:sz w:val="24"/>
          <w:szCs w:val="24"/>
        </w:rPr>
        <w:t>ýka</w:t>
      </w:r>
      <w:r>
        <w:rPr>
          <w:rFonts w:ascii="Times New Roman" w:eastAsia="Calibri" w:hAnsi="Times New Roman" w:cs="Times New Roman"/>
          <w:bCs/>
          <w:iCs/>
          <w:color w:val="000000"/>
          <w:sz w:val="24"/>
          <w:szCs w:val="24"/>
        </w:rPr>
        <w:t xml:space="preserve"> sa</w:t>
      </w:r>
      <w:r w:rsidR="001005EF">
        <w:rPr>
          <w:rFonts w:ascii="Times New Roman" w:eastAsia="Calibri" w:hAnsi="Times New Roman" w:cs="Times New Roman"/>
          <w:bCs/>
          <w:iCs/>
          <w:color w:val="000000"/>
          <w:sz w:val="24"/>
          <w:szCs w:val="24"/>
        </w:rPr>
        <w:t xml:space="preserve"> </w:t>
      </w:r>
      <w:r w:rsidR="00965AE9">
        <w:rPr>
          <w:rFonts w:ascii="Times New Roman" w:eastAsia="Calibri" w:hAnsi="Times New Roman" w:cs="Times New Roman"/>
          <w:bCs/>
          <w:iCs/>
          <w:color w:val="000000"/>
          <w:sz w:val="24"/>
          <w:szCs w:val="24"/>
        </w:rPr>
        <w:t xml:space="preserve"> veriteľov ako dotknutých subjektov.</w:t>
      </w:r>
      <w:r w:rsidR="00853691">
        <w:rPr>
          <w:rFonts w:ascii="Times New Roman" w:eastAsia="Calibri" w:hAnsi="Times New Roman" w:cs="Times New Roman"/>
          <w:bCs/>
          <w:iCs/>
          <w:color w:val="000000"/>
          <w:sz w:val="24"/>
          <w:szCs w:val="24"/>
        </w:rPr>
        <w:t xml:space="preserve"> Navrhovaná regulácia ovplyvňuje</w:t>
      </w:r>
      <w:r w:rsidR="00D45122">
        <w:rPr>
          <w:rFonts w:ascii="Times New Roman" w:eastAsia="Calibri" w:hAnsi="Times New Roman" w:cs="Times New Roman"/>
          <w:bCs/>
          <w:iCs/>
          <w:color w:val="000000"/>
          <w:sz w:val="24"/>
          <w:szCs w:val="24"/>
        </w:rPr>
        <w:t xml:space="preserve"> konkurzné konania</w:t>
      </w:r>
      <w:r w:rsidR="00853691">
        <w:rPr>
          <w:rFonts w:ascii="Times New Roman" w:eastAsia="Calibri" w:hAnsi="Times New Roman" w:cs="Times New Roman"/>
          <w:bCs/>
          <w:iCs/>
          <w:color w:val="000000"/>
          <w:sz w:val="24"/>
          <w:szCs w:val="24"/>
        </w:rPr>
        <w:t xml:space="preserve"> a </w:t>
      </w:r>
      <w:r w:rsidR="00D45122">
        <w:rPr>
          <w:rFonts w:ascii="Times New Roman" w:eastAsia="Calibri" w:hAnsi="Times New Roman" w:cs="Times New Roman"/>
          <w:bCs/>
          <w:iCs/>
          <w:color w:val="000000"/>
          <w:sz w:val="24"/>
          <w:szCs w:val="24"/>
        </w:rPr>
        <w:t>reštrukturalizačné</w:t>
      </w:r>
      <w:r w:rsidR="00853691">
        <w:rPr>
          <w:rFonts w:ascii="Times New Roman" w:eastAsia="Calibri" w:hAnsi="Times New Roman" w:cs="Times New Roman"/>
          <w:bCs/>
          <w:iCs/>
          <w:color w:val="000000"/>
          <w:sz w:val="24"/>
          <w:szCs w:val="24"/>
        </w:rPr>
        <w:t xml:space="preserve"> konania</w:t>
      </w:r>
      <w:r w:rsidR="00D45122">
        <w:rPr>
          <w:rFonts w:ascii="Times New Roman" w:eastAsia="Calibri" w:hAnsi="Times New Roman" w:cs="Times New Roman"/>
          <w:bCs/>
          <w:iCs/>
          <w:color w:val="000000"/>
          <w:sz w:val="24"/>
          <w:szCs w:val="24"/>
        </w:rPr>
        <w:t>.</w:t>
      </w:r>
      <w:r w:rsidR="00965AE9">
        <w:rPr>
          <w:rFonts w:ascii="Times New Roman" w:eastAsia="Calibri" w:hAnsi="Times New Roman" w:cs="Times New Roman"/>
          <w:bCs/>
          <w:iCs/>
          <w:color w:val="000000"/>
          <w:sz w:val="24"/>
          <w:szCs w:val="24"/>
        </w:rPr>
        <w:t xml:space="preserve"> Pohľadávky veritelia </w:t>
      </w:r>
      <w:r>
        <w:rPr>
          <w:rFonts w:ascii="Times New Roman" w:eastAsia="Calibri" w:hAnsi="Times New Roman" w:cs="Times New Roman"/>
          <w:bCs/>
          <w:iCs/>
          <w:color w:val="000000"/>
          <w:sz w:val="24"/>
          <w:szCs w:val="24"/>
        </w:rPr>
        <w:t>prihlasujú</w:t>
      </w:r>
      <w:r w:rsidR="00D45122">
        <w:rPr>
          <w:rFonts w:ascii="Times New Roman" w:eastAsia="Calibri" w:hAnsi="Times New Roman" w:cs="Times New Roman"/>
          <w:bCs/>
          <w:iCs/>
          <w:color w:val="000000"/>
          <w:sz w:val="24"/>
          <w:szCs w:val="24"/>
        </w:rPr>
        <w:t xml:space="preserve"> po vyhlásení konkurzu alebo povolení reštrukturalizácie</w:t>
      </w:r>
      <w:r w:rsidR="0050467E">
        <w:rPr>
          <w:rFonts w:ascii="Times New Roman" w:eastAsia="Calibri" w:hAnsi="Times New Roman" w:cs="Times New Roman"/>
          <w:bCs/>
          <w:iCs/>
          <w:color w:val="000000"/>
          <w:sz w:val="24"/>
          <w:szCs w:val="24"/>
        </w:rPr>
        <w:t xml:space="preserve">, pričom </w:t>
      </w:r>
      <w:r w:rsidR="00965AE9">
        <w:rPr>
          <w:rFonts w:ascii="Times New Roman" w:eastAsia="Calibri" w:hAnsi="Times New Roman" w:cs="Times New Roman"/>
          <w:bCs/>
          <w:iCs/>
          <w:color w:val="000000"/>
          <w:sz w:val="24"/>
          <w:szCs w:val="24"/>
        </w:rPr>
        <w:t xml:space="preserve">jeden veriteľ môže prihlásiť viac pohľadávok. Z dôvodu </w:t>
      </w:r>
      <w:r w:rsidR="00D45122">
        <w:rPr>
          <w:rFonts w:ascii="Times New Roman" w:eastAsia="Calibri" w:hAnsi="Times New Roman" w:cs="Times New Roman"/>
          <w:bCs/>
          <w:iCs/>
          <w:color w:val="000000"/>
          <w:sz w:val="24"/>
          <w:szCs w:val="24"/>
        </w:rPr>
        <w:t>nedostupnosti</w:t>
      </w:r>
      <w:r w:rsidR="00D9564A">
        <w:rPr>
          <w:rFonts w:ascii="Times New Roman" w:eastAsia="Calibri" w:hAnsi="Times New Roman" w:cs="Times New Roman"/>
          <w:bCs/>
          <w:iCs/>
          <w:color w:val="000000"/>
          <w:sz w:val="24"/>
          <w:szCs w:val="24"/>
        </w:rPr>
        <w:t xml:space="preserve"> údajov vo vyššej mier</w:t>
      </w:r>
      <w:r w:rsidR="00853691">
        <w:rPr>
          <w:rFonts w:ascii="Times New Roman" w:eastAsia="Calibri" w:hAnsi="Times New Roman" w:cs="Times New Roman"/>
          <w:bCs/>
          <w:iCs/>
          <w:color w:val="000000"/>
          <w:sz w:val="24"/>
          <w:szCs w:val="24"/>
        </w:rPr>
        <w:t>e detailu, ktorými by bolo možné</w:t>
      </w:r>
      <w:r w:rsidR="00D9564A">
        <w:rPr>
          <w:rFonts w:ascii="Times New Roman" w:eastAsia="Calibri" w:hAnsi="Times New Roman" w:cs="Times New Roman"/>
          <w:bCs/>
          <w:iCs/>
          <w:color w:val="000000"/>
          <w:sz w:val="24"/>
          <w:szCs w:val="24"/>
        </w:rPr>
        <w:t xml:space="preserve"> určiť počet veriteľov, ktorí prihlasujú svoje pohľadávky papierovo, </w:t>
      </w:r>
      <w:r w:rsidR="00853691">
        <w:rPr>
          <w:rFonts w:ascii="Times New Roman" w:eastAsia="Calibri" w:hAnsi="Times New Roman" w:cs="Times New Roman"/>
          <w:bCs/>
          <w:iCs/>
          <w:color w:val="000000"/>
          <w:sz w:val="24"/>
          <w:szCs w:val="24"/>
        </w:rPr>
        <w:t xml:space="preserve">bolo pri výpočte postupované tak, že </w:t>
      </w:r>
      <w:r w:rsidR="00D45122">
        <w:rPr>
          <w:rFonts w:ascii="Times New Roman" w:eastAsia="Calibri" w:hAnsi="Times New Roman" w:cs="Times New Roman"/>
          <w:bCs/>
          <w:iCs/>
          <w:color w:val="000000"/>
          <w:sz w:val="24"/>
          <w:szCs w:val="24"/>
        </w:rPr>
        <w:t>z</w:t>
      </w:r>
      <w:r w:rsidR="00853691">
        <w:rPr>
          <w:rFonts w:ascii="Times New Roman" w:eastAsia="Calibri" w:hAnsi="Times New Roman" w:cs="Times New Roman"/>
          <w:bCs/>
          <w:iCs/>
          <w:color w:val="000000"/>
          <w:sz w:val="24"/>
          <w:szCs w:val="24"/>
        </w:rPr>
        <w:t xml:space="preserve"> údajov </w:t>
      </w:r>
      <w:r w:rsidR="00D45122">
        <w:rPr>
          <w:rFonts w:ascii="Times New Roman" w:eastAsia="Calibri" w:hAnsi="Times New Roman" w:cs="Times New Roman"/>
          <w:bCs/>
          <w:iCs/>
          <w:color w:val="000000"/>
          <w:sz w:val="24"/>
          <w:szCs w:val="24"/>
        </w:rPr>
        <w:t xml:space="preserve"> rezortnej štatistiky </w:t>
      </w:r>
      <w:r w:rsidR="00853691">
        <w:rPr>
          <w:rFonts w:ascii="Times New Roman" w:eastAsia="Calibri" w:hAnsi="Times New Roman" w:cs="Times New Roman"/>
          <w:bCs/>
          <w:iCs/>
          <w:color w:val="000000"/>
          <w:sz w:val="24"/>
          <w:szCs w:val="24"/>
        </w:rPr>
        <w:t>bol určený</w:t>
      </w:r>
      <w:r w:rsidR="00D45122">
        <w:rPr>
          <w:rFonts w:ascii="Times New Roman" w:eastAsia="Calibri" w:hAnsi="Times New Roman" w:cs="Times New Roman"/>
          <w:bCs/>
          <w:iCs/>
          <w:color w:val="000000"/>
          <w:sz w:val="24"/>
          <w:szCs w:val="24"/>
        </w:rPr>
        <w:t xml:space="preserve"> priemer vyhlásených konkurzov a povolených reštrukturalizácií za</w:t>
      </w:r>
      <w:r w:rsidR="00853691">
        <w:rPr>
          <w:rFonts w:ascii="Times New Roman" w:eastAsia="Calibri" w:hAnsi="Times New Roman" w:cs="Times New Roman"/>
          <w:bCs/>
          <w:iCs/>
          <w:color w:val="000000"/>
          <w:sz w:val="24"/>
          <w:szCs w:val="24"/>
        </w:rPr>
        <w:t xml:space="preserve"> roky 2018-2020 (241), ktorý bol vynásobený</w:t>
      </w:r>
      <w:r w:rsidR="00D45122">
        <w:rPr>
          <w:rFonts w:ascii="Times New Roman" w:eastAsia="Calibri" w:hAnsi="Times New Roman" w:cs="Times New Roman"/>
          <w:bCs/>
          <w:iCs/>
          <w:color w:val="000000"/>
          <w:sz w:val="24"/>
          <w:szCs w:val="24"/>
        </w:rPr>
        <w:t xml:space="preserve"> priemerným počtom veriteľov</w:t>
      </w:r>
      <w:r w:rsidR="00D16F30">
        <w:rPr>
          <w:rFonts w:ascii="Times New Roman" w:eastAsia="Calibri" w:hAnsi="Times New Roman" w:cs="Times New Roman"/>
          <w:bCs/>
          <w:iCs/>
          <w:color w:val="000000"/>
          <w:sz w:val="24"/>
          <w:szCs w:val="24"/>
        </w:rPr>
        <w:t xml:space="preserve"> za tieto roky vypočítaný </w:t>
      </w:r>
      <w:r w:rsidR="00D45122">
        <w:rPr>
          <w:rFonts w:ascii="Times New Roman" w:eastAsia="Calibri" w:hAnsi="Times New Roman" w:cs="Times New Roman"/>
          <w:bCs/>
          <w:iCs/>
          <w:color w:val="000000"/>
          <w:sz w:val="24"/>
          <w:szCs w:val="24"/>
        </w:rPr>
        <w:t>zo zrušených konkurzov a skončených reštrukturalizácií (11,57) z dát Registra úpadcov</w:t>
      </w:r>
      <w:r w:rsidR="001005EF">
        <w:rPr>
          <w:rFonts w:ascii="Times New Roman" w:eastAsia="Calibri" w:hAnsi="Times New Roman" w:cs="Times New Roman"/>
          <w:bCs/>
          <w:iCs/>
          <w:color w:val="000000"/>
          <w:sz w:val="24"/>
          <w:szCs w:val="24"/>
        </w:rPr>
        <w:t>. Opäť uvádzame, že</w:t>
      </w:r>
      <w:r w:rsidR="00D45122">
        <w:rPr>
          <w:rFonts w:ascii="Times New Roman" w:eastAsia="Calibri" w:hAnsi="Times New Roman" w:cs="Times New Roman"/>
          <w:bCs/>
          <w:iCs/>
          <w:color w:val="000000"/>
          <w:sz w:val="24"/>
          <w:szCs w:val="24"/>
        </w:rPr>
        <w:t xml:space="preserve"> </w:t>
      </w:r>
      <w:r w:rsidR="00D9564A">
        <w:rPr>
          <w:rFonts w:ascii="Times New Roman" w:eastAsia="Calibri" w:hAnsi="Times New Roman" w:cs="Times New Roman"/>
          <w:bCs/>
          <w:iCs/>
          <w:color w:val="000000"/>
          <w:sz w:val="24"/>
          <w:szCs w:val="24"/>
        </w:rPr>
        <w:t xml:space="preserve">pri konečnej hodnote ide </w:t>
      </w:r>
      <w:r w:rsidR="00D45122">
        <w:rPr>
          <w:rFonts w:ascii="Times New Roman" w:eastAsia="Calibri" w:hAnsi="Times New Roman" w:cs="Times New Roman"/>
          <w:bCs/>
          <w:iCs/>
          <w:color w:val="000000"/>
          <w:sz w:val="24"/>
          <w:szCs w:val="24"/>
        </w:rPr>
        <w:t>o odhad, keďže</w:t>
      </w:r>
      <w:r w:rsidR="00D9564A">
        <w:rPr>
          <w:rFonts w:ascii="Times New Roman" w:eastAsia="Calibri" w:hAnsi="Times New Roman" w:cs="Times New Roman"/>
          <w:bCs/>
          <w:iCs/>
          <w:color w:val="000000"/>
          <w:sz w:val="24"/>
          <w:szCs w:val="24"/>
        </w:rPr>
        <w:t xml:space="preserve"> </w:t>
      </w:r>
      <w:r w:rsidR="001005EF">
        <w:rPr>
          <w:rFonts w:ascii="Times New Roman" w:eastAsia="Calibri" w:hAnsi="Times New Roman" w:cs="Times New Roman"/>
          <w:bCs/>
          <w:iCs/>
          <w:color w:val="000000"/>
          <w:sz w:val="24"/>
          <w:szCs w:val="24"/>
        </w:rPr>
        <w:t xml:space="preserve">sa nejedná </w:t>
      </w:r>
      <w:r w:rsidR="00853691">
        <w:rPr>
          <w:rFonts w:ascii="Times New Roman" w:eastAsia="Calibri" w:hAnsi="Times New Roman" w:cs="Times New Roman"/>
          <w:bCs/>
          <w:iCs/>
          <w:color w:val="000000"/>
          <w:sz w:val="24"/>
          <w:szCs w:val="24"/>
        </w:rPr>
        <w:t>iba o</w:t>
      </w:r>
      <w:r w:rsidR="00D9564A">
        <w:rPr>
          <w:rFonts w:ascii="Times New Roman" w:eastAsia="Calibri" w:hAnsi="Times New Roman" w:cs="Times New Roman"/>
          <w:bCs/>
          <w:iCs/>
          <w:color w:val="000000"/>
          <w:sz w:val="24"/>
          <w:szCs w:val="24"/>
        </w:rPr>
        <w:t xml:space="preserve"> veriteľov, ktorí doteraz nevyužívali možnosť prihlasovať svoje pohľadávky elektronicky. Zároveň</w:t>
      </w:r>
      <w:r w:rsidR="00D45122">
        <w:rPr>
          <w:rFonts w:ascii="Times New Roman" w:eastAsia="Calibri" w:hAnsi="Times New Roman" w:cs="Times New Roman"/>
          <w:bCs/>
          <w:iCs/>
          <w:color w:val="000000"/>
          <w:sz w:val="24"/>
          <w:szCs w:val="24"/>
        </w:rPr>
        <w:t xml:space="preserve"> zo všetkých zrušených konkurzov a skončených reštrukturalizácií </w:t>
      </w:r>
      <w:r w:rsidR="00D9564A">
        <w:rPr>
          <w:rFonts w:ascii="Times New Roman" w:eastAsia="Calibri" w:hAnsi="Times New Roman" w:cs="Times New Roman"/>
          <w:bCs/>
          <w:iCs/>
          <w:color w:val="000000"/>
          <w:sz w:val="24"/>
          <w:szCs w:val="24"/>
        </w:rPr>
        <w:t>identifik</w:t>
      </w:r>
      <w:r w:rsidR="00853691">
        <w:rPr>
          <w:rFonts w:ascii="Times New Roman" w:eastAsia="Calibri" w:hAnsi="Times New Roman" w:cs="Times New Roman"/>
          <w:bCs/>
          <w:iCs/>
          <w:color w:val="000000"/>
          <w:sz w:val="24"/>
          <w:szCs w:val="24"/>
        </w:rPr>
        <w:t>ovaných v Registri úpadcov je možné</w:t>
      </w:r>
      <w:r w:rsidR="00D9564A">
        <w:rPr>
          <w:rFonts w:ascii="Times New Roman" w:eastAsia="Calibri" w:hAnsi="Times New Roman" w:cs="Times New Roman"/>
          <w:bCs/>
          <w:iCs/>
          <w:color w:val="000000"/>
          <w:sz w:val="24"/>
          <w:szCs w:val="24"/>
        </w:rPr>
        <w:t xml:space="preserve"> v dátach z tohto registra určiť poč</w:t>
      </w:r>
      <w:r>
        <w:rPr>
          <w:rFonts w:ascii="Times New Roman" w:eastAsia="Calibri" w:hAnsi="Times New Roman" w:cs="Times New Roman"/>
          <w:bCs/>
          <w:iCs/>
          <w:color w:val="000000"/>
          <w:sz w:val="24"/>
          <w:szCs w:val="24"/>
        </w:rPr>
        <w:t>et veriteľov len</w:t>
      </w:r>
      <w:r w:rsidR="0050467E">
        <w:rPr>
          <w:rFonts w:ascii="Times New Roman" w:eastAsia="Calibri" w:hAnsi="Times New Roman" w:cs="Times New Roman"/>
          <w:bCs/>
          <w:iCs/>
          <w:color w:val="000000"/>
          <w:sz w:val="24"/>
          <w:szCs w:val="24"/>
        </w:rPr>
        <w:t xml:space="preserve"> v priemere</w:t>
      </w:r>
      <w:r w:rsidR="00DC2D58">
        <w:rPr>
          <w:rFonts w:ascii="Times New Roman" w:eastAsia="Calibri" w:hAnsi="Times New Roman" w:cs="Times New Roman"/>
          <w:bCs/>
          <w:iCs/>
          <w:color w:val="000000"/>
          <w:sz w:val="24"/>
          <w:szCs w:val="24"/>
        </w:rPr>
        <w:t xml:space="preserve"> </w:t>
      </w:r>
      <w:r w:rsidR="00D9564A">
        <w:rPr>
          <w:rFonts w:ascii="Times New Roman" w:eastAsia="Calibri" w:hAnsi="Times New Roman" w:cs="Times New Roman"/>
          <w:bCs/>
          <w:iCs/>
          <w:color w:val="000000"/>
          <w:sz w:val="24"/>
          <w:szCs w:val="24"/>
        </w:rPr>
        <w:t>16,06</w:t>
      </w:r>
      <w:r w:rsidR="009241FE">
        <w:rPr>
          <w:rFonts w:ascii="Times New Roman" w:eastAsia="Calibri" w:hAnsi="Times New Roman" w:cs="Times New Roman"/>
          <w:bCs/>
          <w:iCs/>
          <w:color w:val="000000"/>
          <w:sz w:val="24"/>
          <w:szCs w:val="24"/>
        </w:rPr>
        <w:t xml:space="preserve"> </w:t>
      </w:r>
      <w:r w:rsidR="00D9564A">
        <w:rPr>
          <w:rFonts w:ascii="Times New Roman" w:eastAsia="Calibri" w:hAnsi="Times New Roman" w:cs="Times New Roman"/>
          <w:bCs/>
          <w:iCs/>
          <w:color w:val="000000"/>
          <w:sz w:val="24"/>
          <w:szCs w:val="24"/>
        </w:rPr>
        <w:t>% tak</w:t>
      </w:r>
      <w:r>
        <w:rPr>
          <w:rFonts w:ascii="Times New Roman" w:eastAsia="Calibri" w:hAnsi="Times New Roman" w:cs="Times New Roman"/>
          <w:bCs/>
          <w:iCs/>
          <w:color w:val="000000"/>
          <w:sz w:val="24"/>
          <w:szCs w:val="24"/>
        </w:rPr>
        <w:t>ýchto konaní za roky 2018-2020.</w:t>
      </w:r>
      <w:r w:rsidR="00BD487A">
        <w:rPr>
          <w:rFonts w:ascii="Times New Roman" w:eastAsia="Calibri" w:hAnsi="Times New Roman" w:cs="Times New Roman"/>
          <w:bCs/>
          <w:iCs/>
          <w:color w:val="000000"/>
          <w:sz w:val="24"/>
          <w:szCs w:val="24"/>
        </w:rPr>
        <w:t xml:space="preserve"> Navrhovaná regulácia bola vyhodnotená ako administratívna, keďže súvisí s úsporou času dotknutých subjektov. Pri kvantifikácii administratívnych nákladov bola pritom zvolená alternatíva 2 a vybrané jednotlivé hodnoty z číselníkov.</w:t>
      </w:r>
      <w:r w:rsidR="00214287">
        <w:rPr>
          <w:rFonts w:ascii="Times New Roman" w:eastAsia="Calibri" w:hAnsi="Times New Roman" w:cs="Times New Roman"/>
          <w:bCs/>
          <w:iCs/>
          <w:color w:val="000000"/>
          <w:sz w:val="24"/>
          <w:szCs w:val="24"/>
        </w:rPr>
        <w:t xml:space="preserve"> Z povahy regulácie ide o nepravidelnú/jednorazovú činnosť, preto bola zvolená frekvencia plnenia povinnosti ako nepravidelná/jednorazová.</w:t>
      </w:r>
    </w:p>
    <w:p w14:paraId="30B98534" w14:textId="77777777" w:rsidR="00032AB8" w:rsidRDefault="00032AB8" w:rsidP="00032AB8">
      <w:pPr>
        <w:pStyle w:val="Odsekzoznamu"/>
        <w:numPr>
          <w:ilvl w:val="0"/>
          <w:numId w:val="14"/>
        </w:numPr>
        <w:ind w:left="426"/>
        <w:jc w:val="both"/>
        <w:rPr>
          <w:rFonts w:ascii="Times New Roman" w:eastAsia="Calibri" w:hAnsi="Times New Roman" w:cs="Times New Roman"/>
          <w:bCs/>
          <w:iCs/>
          <w:color w:val="000000"/>
          <w:sz w:val="24"/>
          <w:szCs w:val="24"/>
        </w:rPr>
      </w:pPr>
      <w:r>
        <w:rPr>
          <w:rFonts w:ascii="Times New Roman" w:eastAsia="Calibri" w:hAnsi="Times New Roman" w:cs="Times New Roman"/>
          <w:bCs/>
          <w:i/>
          <w:iCs/>
          <w:color w:val="000000"/>
          <w:sz w:val="24"/>
          <w:szCs w:val="24"/>
        </w:rPr>
        <w:t>M</w:t>
      </w:r>
      <w:r w:rsidRPr="009F6024">
        <w:rPr>
          <w:rFonts w:ascii="Times New Roman" w:eastAsia="Calibri" w:hAnsi="Times New Roman" w:cs="Times New Roman"/>
          <w:bCs/>
          <w:i/>
          <w:iCs/>
          <w:color w:val="000000"/>
          <w:sz w:val="24"/>
          <w:szCs w:val="24"/>
        </w:rPr>
        <w:t>ožnosť konania schôdze veriteľov prostredníctvom videokonferencie</w:t>
      </w:r>
    </w:p>
    <w:p w14:paraId="3F068D36" w14:textId="4F937E39" w:rsidR="00032AB8" w:rsidRDefault="00032AB8"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Rovnaký postup</w:t>
      </w:r>
      <w:r w:rsidRPr="001F189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pre určenie dotknutých subjektov ako je popísaný v predchádzajúcom odseku bol použitý aj v tomto prípade. Tento spôsob odhadu bol zvolený z dôvodu nemožnosti odhadu, pri koľkých konaniach bude táto možnosť využitá. Preto ide o určité nadhodnotenie počtu dotknutých subjektov. Navrhovaná regulácia bola vyhodnotená ako administratívna, keďže súvisí s úsporou času dotknutých subjektov. Pri kvantifikácii administratívnych nákladov bola pritom zvolená alternatíva 2 a vybrané jednotlivé hodnoty z číselníkov. Z povahy regulácie ide o nepravidelnú/jednorazovú činnosť, preto bola zvolená frekvencia plnenia povinnosti ako nepravidelná/jednorazová.</w:t>
      </w:r>
    </w:p>
    <w:p w14:paraId="4B6A472D" w14:textId="32AB99C5" w:rsidR="00032AB8" w:rsidRPr="00032AB8" w:rsidRDefault="00032AB8" w:rsidP="00032AB8">
      <w:pPr>
        <w:pStyle w:val="Odsekzoznamu"/>
        <w:numPr>
          <w:ilvl w:val="0"/>
          <w:numId w:val="14"/>
        </w:numPr>
        <w:ind w:left="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a 45. </w:t>
      </w:r>
      <w:r w:rsidRPr="00032AB8">
        <w:rPr>
          <w:rFonts w:ascii="Times New Roman" w:eastAsia="Calibri" w:hAnsi="Times New Roman" w:cs="Times New Roman"/>
          <w:bCs/>
          <w:i/>
          <w:iCs/>
          <w:color w:val="000000"/>
          <w:sz w:val="24"/>
          <w:szCs w:val="24"/>
        </w:rPr>
        <w:t>Výlučne elektronické podávanie návrhu na povolenie reštrukturalizácie (zrušenie podávania návrhov papierovo)</w:t>
      </w:r>
    </w:p>
    <w:p w14:paraId="30E8890A" w14:textId="77777777" w:rsidR="00F237BF" w:rsidRPr="00F237BF" w:rsidRDefault="00F237BF" w:rsidP="00F237BF">
      <w:pPr>
        <w:jc w:val="both"/>
        <w:rPr>
          <w:rFonts w:ascii="Times New Roman" w:eastAsia="Calibri" w:hAnsi="Times New Roman" w:cs="Times New Roman"/>
          <w:bCs/>
          <w:iCs/>
          <w:color w:val="000000"/>
          <w:sz w:val="24"/>
          <w:szCs w:val="24"/>
        </w:rPr>
      </w:pPr>
      <w:r w:rsidRPr="00F237BF">
        <w:rPr>
          <w:rFonts w:ascii="Times New Roman" w:eastAsia="Calibri" w:hAnsi="Times New Roman" w:cs="Times New Roman"/>
          <w:bCs/>
          <w:iCs/>
          <w:color w:val="000000"/>
          <w:sz w:val="24"/>
          <w:szCs w:val="24"/>
        </w:rPr>
        <w:t>Regulácia sa týka dlžníckych návrhov ako aj veriteľských. Ide o dve rozdielne kategórie subjektov, preto je rozdelená do dvoch samostatných riadkov v tabuľke. V oboch prípadoch ide o znižovanie nákladov dotknutých subjektov.</w:t>
      </w:r>
    </w:p>
    <w:p w14:paraId="63DE1D6C" w14:textId="3C453D36" w:rsidR="00F237BF" w:rsidRPr="00F237BF" w:rsidRDefault="00F237BF" w:rsidP="00F237BF">
      <w:pPr>
        <w:jc w:val="both"/>
        <w:rPr>
          <w:rFonts w:ascii="Times New Roman" w:eastAsia="Calibri" w:hAnsi="Times New Roman" w:cs="Times New Roman"/>
          <w:sz w:val="24"/>
          <w:szCs w:val="24"/>
        </w:rPr>
      </w:pPr>
      <w:r w:rsidRPr="00F237BF">
        <w:rPr>
          <w:rFonts w:ascii="Times New Roman" w:eastAsia="Calibri" w:hAnsi="Times New Roman" w:cs="Times New Roman"/>
          <w:bCs/>
          <w:iCs/>
          <w:color w:val="000000"/>
          <w:sz w:val="24"/>
          <w:szCs w:val="24"/>
        </w:rPr>
        <w:t xml:space="preserve">Počet dlžníkov PO, ktorých sa týka znižovanie nákladov bol určený na základe priemerného počtu dlžníckych návrhov na </w:t>
      </w:r>
      <w:r>
        <w:rPr>
          <w:rFonts w:ascii="Times New Roman" w:eastAsia="Calibri" w:hAnsi="Times New Roman" w:cs="Times New Roman"/>
          <w:bCs/>
          <w:iCs/>
          <w:color w:val="000000"/>
          <w:sz w:val="24"/>
          <w:szCs w:val="24"/>
        </w:rPr>
        <w:t>povolenie reštrukturalizácie</w:t>
      </w:r>
      <w:r w:rsidRPr="00F237BF">
        <w:rPr>
          <w:rFonts w:ascii="Times New Roman" w:eastAsia="Calibri" w:hAnsi="Times New Roman" w:cs="Times New Roman"/>
          <w:bCs/>
          <w:iCs/>
          <w:color w:val="000000"/>
          <w:sz w:val="24"/>
          <w:szCs w:val="24"/>
        </w:rPr>
        <w:t xml:space="preserve"> za obdobie 2018-2020. Tieto údaje sú pritom súčasťou rezortnej štatistiky. </w:t>
      </w:r>
      <w:r>
        <w:rPr>
          <w:rFonts w:ascii="Times New Roman" w:eastAsia="Calibri" w:hAnsi="Times New Roman" w:cs="Times New Roman"/>
          <w:bCs/>
          <w:iCs/>
          <w:color w:val="000000"/>
          <w:sz w:val="24"/>
          <w:szCs w:val="24"/>
        </w:rPr>
        <w:t>Počet</w:t>
      </w:r>
      <w:r w:rsidRPr="00F237BF">
        <w:rPr>
          <w:rFonts w:ascii="Times New Roman" w:eastAsia="Calibri" w:hAnsi="Times New Roman" w:cs="Times New Roman"/>
          <w:bCs/>
          <w:iCs/>
          <w:color w:val="000000"/>
          <w:sz w:val="24"/>
          <w:szCs w:val="24"/>
        </w:rPr>
        <w:t xml:space="preserve"> dotknutých subjektov tak bol určený na </w:t>
      </w:r>
      <w:r>
        <w:rPr>
          <w:rFonts w:ascii="Times New Roman" w:eastAsia="Calibri" w:hAnsi="Times New Roman" w:cs="Times New Roman"/>
          <w:bCs/>
          <w:iCs/>
          <w:color w:val="000000"/>
          <w:sz w:val="24"/>
          <w:szCs w:val="24"/>
        </w:rPr>
        <w:t>26</w:t>
      </w:r>
      <w:r w:rsidRPr="00F237BF">
        <w:rPr>
          <w:rFonts w:ascii="Times New Roman" w:eastAsia="Calibri" w:hAnsi="Times New Roman" w:cs="Times New Roman"/>
          <w:bCs/>
          <w:iCs/>
          <w:color w:val="000000"/>
          <w:sz w:val="24"/>
          <w:szCs w:val="24"/>
        </w:rPr>
        <w:t xml:space="preserve">. Regulácia znižuje administratívne náklady. Pri kvantifikácii bol zvolený postup na základe alternatívy č. 2 pre administratívne náklady, kedy bola zvolená hodnota z preddefinovaného číselníka. </w:t>
      </w:r>
      <w:r w:rsidRPr="00F237BF">
        <w:rPr>
          <w:rFonts w:ascii="Times New Roman" w:eastAsia="Calibri" w:hAnsi="Times New Roman" w:cs="Times New Roman"/>
          <w:sz w:val="24"/>
          <w:szCs w:val="24"/>
        </w:rPr>
        <w:t>Typ administratívnych nákladov bol určený ako žiadosť/návrh pri jednorazovej/nepravidelnej frekvencii (</w:t>
      </w:r>
      <w:r w:rsidRPr="00F237BF">
        <w:rPr>
          <w:rFonts w:ascii="Times New Roman" w:eastAsia="Calibri" w:hAnsi="Times New Roman" w:cs="Times New Roman"/>
          <w:bCs/>
          <w:iCs/>
          <w:color w:val="000000"/>
          <w:sz w:val="24"/>
          <w:szCs w:val="24"/>
        </w:rPr>
        <w:t>dotknuté subjekty podávajú návrh len raz)</w:t>
      </w:r>
      <w:r w:rsidRPr="00F237BF">
        <w:rPr>
          <w:rFonts w:ascii="Times New Roman" w:eastAsia="Calibri" w:hAnsi="Times New Roman" w:cs="Times New Roman"/>
          <w:sz w:val="24"/>
          <w:szCs w:val="24"/>
        </w:rPr>
        <w:t>.</w:t>
      </w:r>
    </w:p>
    <w:p w14:paraId="5FAE89B1" w14:textId="5D0AD80C" w:rsidR="00032AB8" w:rsidRPr="001228FB" w:rsidRDefault="00F237BF" w:rsidP="00054C41">
      <w:pPr>
        <w:jc w:val="both"/>
        <w:rPr>
          <w:rFonts w:ascii="Times New Roman" w:eastAsia="Calibri" w:hAnsi="Times New Roman" w:cs="Times New Roman"/>
          <w:sz w:val="24"/>
          <w:szCs w:val="24"/>
        </w:rPr>
      </w:pPr>
      <w:r w:rsidRPr="00F237BF">
        <w:rPr>
          <w:rFonts w:ascii="Times New Roman" w:eastAsia="Calibri" w:hAnsi="Times New Roman" w:cs="Times New Roman"/>
          <w:bCs/>
          <w:iCs/>
          <w:color w:val="000000"/>
          <w:sz w:val="24"/>
          <w:szCs w:val="24"/>
        </w:rPr>
        <w:t xml:space="preserve">Počet veriteľov, ktorých sa týka znižovanie nákladov bol určený na základe priemerného počtu veriteľských návrhov na </w:t>
      </w:r>
      <w:r>
        <w:rPr>
          <w:rFonts w:ascii="Times New Roman" w:eastAsia="Calibri" w:hAnsi="Times New Roman" w:cs="Times New Roman"/>
          <w:bCs/>
          <w:iCs/>
          <w:color w:val="000000"/>
          <w:sz w:val="24"/>
          <w:szCs w:val="24"/>
        </w:rPr>
        <w:t>povolenie reštrukturalizácie</w:t>
      </w:r>
      <w:r w:rsidRPr="00F237BF">
        <w:rPr>
          <w:rFonts w:ascii="Times New Roman" w:eastAsia="Calibri" w:hAnsi="Times New Roman" w:cs="Times New Roman"/>
          <w:bCs/>
          <w:iCs/>
          <w:color w:val="000000"/>
          <w:sz w:val="24"/>
          <w:szCs w:val="24"/>
        </w:rPr>
        <w:t xml:space="preserve"> za obdobie 2018-2020. Tieto údaje sú pritom súčasťou rezortnej štatistiky. </w:t>
      </w:r>
      <w:r>
        <w:rPr>
          <w:rFonts w:ascii="Times New Roman" w:eastAsia="Calibri" w:hAnsi="Times New Roman" w:cs="Times New Roman"/>
          <w:bCs/>
          <w:iCs/>
          <w:color w:val="000000"/>
          <w:sz w:val="24"/>
          <w:szCs w:val="24"/>
        </w:rPr>
        <w:t>Počet</w:t>
      </w:r>
      <w:r w:rsidRPr="00F237BF">
        <w:rPr>
          <w:rFonts w:ascii="Times New Roman" w:eastAsia="Calibri" w:hAnsi="Times New Roman" w:cs="Times New Roman"/>
          <w:bCs/>
          <w:iCs/>
          <w:color w:val="000000"/>
          <w:sz w:val="24"/>
          <w:szCs w:val="24"/>
        </w:rPr>
        <w:t xml:space="preserve"> dotknutých subjektov tak bol určený na 1. Regulácia znižuje administratívne náklady. Pri kvantifikácii bol zvolený postup na základe alternatívy č. 2 pre administratívne náklady, kedy bola zvolená hodnota z preddefinovaného číselníka. </w:t>
      </w:r>
      <w:r w:rsidRPr="00F237BF">
        <w:rPr>
          <w:rFonts w:ascii="Times New Roman" w:eastAsia="Calibri" w:hAnsi="Times New Roman" w:cs="Times New Roman"/>
          <w:sz w:val="24"/>
          <w:szCs w:val="24"/>
        </w:rPr>
        <w:t xml:space="preserve">Typ </w:t>
      </w:r>
      <w:r w:rsidRPr="00F237BF">
        <w:rPr>
          <w:rFonts w:ascii="Times New Roman" w:eastAsia="Calibri" w:hAnsi="Times New Roman" w:cs="Times New Roman"/>
          <w:sz w:val="24"/>
          <w:szCs w:val="24"/>
        </w:rPr>
        <w:lastRenderedPageBreak/>
        <w:t>administratívnych nákladov bol určený ako žiadosť/návrh pri jednorazovej/nepravidelnej frekvencii (</w:t>
      </w:r>
      <w:r w:rsidRPr="00F237BF">
        <w:rPr>
          <w:rFonts w:ascii="Times New Roman" w:eastAsia="Calibri" w:hAnsi="Times New Roman" w:cs="Times New Roman"/>
          <w:bCs/>
          <w:iCs/>
          <w:color w:val="000000"/>
          <w:sz w:val="24"/>
          <w:szCs w:val="24"/>
        </w:rPr>
        <w:t>dotknuté subjekty podávajú návrh len raz)</w:t>
      </w:r>
      <w:r w:rsidRPr="00F237BF">
        <w:rPr>
          <w:rFonts w:ascii="Times New Roman" w:eastAsia="Calibri" w:hAnsi="Times New Roman" w:cs="Times New Roman"/>
          <w:sz w:val="24"/>
          <w:szCs w:val="24"/>
        </w:rPr>
        <w:t>.</w:t>
      </w:r>
    </w:p>
    <w:p w14:paraId="21C7A268" w14:textId="3207AB19" w:rsidR="00486098" w:rsidRPr="00032AB8" w:rsidRDefault="00486098" w:rsidP="00032AB8">
      <w:pPr>
        <w:pStyle w:val="Odsekzoznamu"/>
        <w:numPr>
          <w:ilvl w:val="0"/>
          <w:numId w:val="15"/>
        </w:numPr>
        <w:ind w:left="426"/>
        <w:jc w:val="both"/>
        <w:rPr>
          <w:rFonts w:ascii="Times New Roman" w:eastAsia="Calibri" w:hAnsi="Times New Roman" w:cs="Times New Roman"/>
          <w:bCs/>
          <w:iCs/>
          <w:color w:val="000000"/>
          <w:sz w:val="24"/>
          <w:szCs w:val="24"/>
        </w:rPr>
      </w:pPr>
      <w:r w:rsidRPr="00032AB8">
        <w:rPr>
          <w:rFonts w:ascii="Times New Roman" w:eastAsia="Calibri" w:hAnsi="Times New Roman" w:cs="Times New Roman"/>
          <w:bCs/>
          <w:i/>
          <w:iCs/>
          <w:color w:val="000000"/>
          <w:sz w:val="24"/>
          <w:szCs w:val="24"/>
        </w:rPr>
        <w:t>Pokračovanie funkcie veriteľského výboru pri konverzii reštrukturalizácie na konkurz bez potreby zvolať schôdzu veriteľov</w:t>
      </w:r>
    </w:p>
    <w:p w14:paraId="070300B8" w14:textId="10440C0C" w:rsidR="00B054D6" w:rsidRDefault="001005EF"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Konverzie reštrukturalizácie na konkurz sa v rámci rezortnej štatistiky z</w:t>
      </w:r>
      <w:r w:rsidR="00784F37">
        <w:rPr>
          <w:rFonts w:ascii="Times New Roman" w:eastAsia="Calibri" w:hAnsi="Times New Roman" w:cs="Times New Roman"/>
          <w:bCs/>
          <w:iCs/>
          <w:color w:val="000000"/>
          <w:sz w:val="24"/>
          <w:szCs w:val="24"/>
        </w:rPr>
        <w:t>ačali sledovať až od 1.7.2021</w:t>
      </w:r>
      <w:r>
        <w:rPr>
          <w:rFonts w:ascii="Times New Roman" w:eastAsia="Calibri" w:hAnsi="Times New Roman" w:cs="Times New Roman"/>
          <w:bCs/>
          <w:iCs/>
          <w:color w:val="000000"/>
          <w:sz w:val="24"/>
          <w:szCs w:val="24"/>
        </w:rPr>
        <w:t xml:space="preserve">. </w:t>
      </w:r>
      <w:r w:rsidR="009F6024">
        <w:rPr>
          <w:rFonts w:ascii="Times New Roman" w:eastAsia="Calibri" w:hAnsi="Times New Roman" w:cs="Times New Roman"/>
          <w:bCs/>
          <w:iCs/>
          <w:color w:val="000000"/>
          <w:sz w:val="24"/>
          <w:szCs w:val="24"/>
        </w:rPr>
        <w:t>Urč</w:t>
      </w:r>
      <w:r w:rsidR="009241FE">
        <w:rPr>
          <w:rFonts w:ascii="Times New Roman" w:eastAsia="Calibri" w:hAnsi="Times New Roman" w:cs="Times New Roman"/>
          <w:bCs/>
          <w:iCs/>
          <w:color w:val="000000"/>
          <w:sz w:val="24"/>
          <w:szCs w:val="24"/>
        </w:rPr>
        <w:t>enie počtu dotknutých subjektov</w:t>
      </w:r>
      <w:r>
        <w:rPr>
          <w:rFonts w:ascii="Times New Roman" w:eastAsia="Calibri" w:hAnsi="Times New Roman" w:cs="Times New Roman"/>
          <w:bCs/>
          <w:iCs/>
          <w:color w:val="000000"/>
          <w:sz w:val="24"/>
          <w:szCs w:val="24"/>
        </w:rPr>
        <w:t xml:space="preserve"> </w:t>
      </w:r>
      <w:r w:rsidR="0050467E">
        <w:rPr>
          <w:rFonts w:ascii="Times New Roman" w:eastAsia="Calibri" w:hAnsi="Times New Roman" w:cs="Times New Roman"/>
          <w:bCs/>
          <w:iCs/>
          <w:color w:val="000000"/>
          <w:sz w:val="24"/>
          <w:szCs w:val="24"/>
        </w:rPr>
        <w:t xml:space="preserve">preto </w:t>
      </w:r>
      <w:r>
        <w:rPr>
          <w:rFonts w:ascii="Times New Roman" w:eastAsia="Calibri" w:hAnsi="Times New Roman" w:cs="Times New Roman"/>
          <w:bCs/>
          <w:iCs/>
          <w:color w:val="000000"/>
          <w:sz w:val="24"/>
          <w:szCs w:val="24"/>
        </w:rPr>
        <w:t>pri tejto regulácii</w:t>
      </w:r>
      <w:r w:rsidR="009F6024">
        <w:rPr>
          <w:rFonts w:ascii="Times New Roman" w:eastAsia="Calibri" w:hAnsi="Times New Roman" w:cs="Times New Roman"/>
          <w:bCs/>
          <w:iCs/>
          <w:color w:val="000000"/>
          <w:sz w:val="24"/>
          <w:szCs w:val="24"/>
        </w:rPr>
        <w:t xml:space="preserve"> vychádza z počtu reštrukturalizácií, ktoré skončili vyhlásením konkurzu za posledný rok (1.7.2020 – 30.6.2021) na základe rezortnej štatistiky (15). Keďže dotknutými subjektami sú </w:t>
      </w:r>
      <w:r w:rsidR="00784F37">
        <w:rPr>
          <w:rFonts w:ascii="Times New Roman" w:eastAsia="Calibri" w:hAnsi="Times New Roman" w:cs="Times New Roman"/>
          <w:bCs/>
          <w:iCs/>
          <w:color w:val="000000"/>
          <w:sz w:val="24"/>
          <w:szCs w:val="24"/>
        </w:rPr>
        <w:t>veritelia,</w:t>
      </w:r>
      <w:r w:rsidR="00D16F30">
        <w:rPr>
          <w:rFonts w:ascii="Times New Roman" w:eastAsia="Calibri" w:hAnsi="Times New Roman" w:cs="Times New Roman"/>
          <w:bCs/>
          <w:iCs/>
          <w:color w:val="000000"/>
          <w:sz w:val="24"/>
          <w:szCs w:val="24"/>
        </w:rPr>
        <w:t xml:space="preserve"> z dát Registra úpadcov </w:t>
      </w:r>
      <w:r w:rsidR="00784F37">
        <w:rPr>
          <w:rFonts w:ascii="Times New Roman" w:eastAsia="Calibri" w:hAnsi="Times New Roman" w:cs="Times New Roman"/>
          <w:bCs/>
          <w:iCs/>
          <w:color w:val="000000"/>
          <w:sz w:val="24"/>
          <w:szCs w:val="24"/>
        </w:rPr>
        <w:t xml:space="preserve">bol </w:t>
      </w:r>
      <w:r w:rsidR="00D16F30">
        <w:rPr>
          <w:rFonts w:ascii="Times New Roman" w:eastAsia="Calibri" w:hAnsi="Times New Roman" w:cs="Times New Roman"/>
          <w:bCs/>
          <w:iCs/>
          <w:color w:val="000000"/>
          <w:sz w:val="24"/>
          <w:szCs w:val="24"/>
        </w:rPr>
        <w:t>vy</w:t>
      </w:r>
      <w:r w:rsidR="00784F37">
        <w:rPr>
          <w:rFonts w:ascii="Times New Roman" w:eastAsia="Calibri" w:hAnsi="Times New Roman" w:cs="Times New Roman"/>
          <w:bCs/>
          <w:iCs/>
          <w:color w:val="000000"/>
          <w:sz w:val="24"/>
          <w:szCs w:val="24"/>
        </w:rPr>
        <w:t>počítaný</w:t>
      </w:r>
      <w:r w:rsidR="00D16F30">
        <w:rPr>
          <w:rFonts w:ascii="Times New Roman" w:eastAsia="Calibri" w:hAnsi="Times New Roman" w:cs="Times New Roman"/>
          <w:bCs/>
          <w:iCs/>
          <w:color w:val="000000"/>
          <w:sz w:val="24"/>
          <w:szCs w:val="24"/>
        </w:rPr>
        <w:t xml:space="preserve"> priemerný počet veriteľov pre skončené reštrukturalizácie za roky 2018-2020 (24,05).</w:t>
      </w:r>
      <w:r w:rsidR="00784F37">
        <w:rPr>
          <w:rFonts w:ascii="Times New Roman" w:eastAsia="Calibri" w:hAnsi="Times New Roman" w:cs="Times New Roman"/>
          <w:bCs/>
          <w:iCs/>
          <w:color w:val="000000"/>
          <w:sz w:val="24"/>
          <w:szCs w:val="24"/>
        </w:rPr>
        <w:t xml:space="preserve"> Touto hodnotou bol následne prenásobený</w:t>
      </w:r>
      <w:r w:rsidR="00E72408">
        <w:rPr>
          <w:rFonts w:ascii="Times New Roman" w:eastAsia="Calibri" w:hAnsi="Times New Roman" w:cs="Times New Roman"/>
          <w:bCs/>
          <w:iCs/>
          <w:color w:val="000000"/>
          <w:sz w:val="24"/>
          <w:szCs w:val="24"/>
        </w:rPr>
        <w:t xml:space="preserve"> počet konverzií reštruktural</w:t>
      </w:r>
      <w:r w:rsidR="00784F37">
        <w:rPr>
          <w:rFonts w:ascii="Times New Roman" w:eastAsia="Calibri" w:hAnsi="Times New Roman" w:cs="Times New Roman"/>
          <w:bCs/>
          <w:iCs/>
          <w:color w:val="000000"/>
          <w:sz w:val="24"/>
          <w:szCs w:val="24"/>
        </w:rPr>
        <w:t>izácií na konkurz a zistený počet</w:t>
      </w:r>
      <w:r w:rsidR="00E72408">
        <w:rPr>
          <w:rFonts w:ascii="Times New Roman" w:eastAsia="Calibri" w:hAnsi="Times New Roman" w:cs="Times New Roman"/>
          <w:bCs/>
          <w:iCs/>
          <w:color w:val="000000"/>
          <w:sz w:val="24"/>
          <w:szCs w:val="24"/>
        </w:rPr>
        <w:t xml:space="preserve"> dotknutých subjektov.</w:t>
      </w:r>
      <w:r w:rsidR="00D16F3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Zo v</w:t>
      </w:r>
      <w:r w:rsidR="00E72408">
        <w:rPr>
          <w:rFonts w:ascii="Times New Roman" w:eastAsia="Calibri" w:hAnsi="Times New Roman" w:cs="Times New Roman"/>
          <w:bCs/>
          <w:iCs/>
          <w:color w:val="000000"/>
          <w:sz w:val="24"/>
          <w:szCs w:val="24"/>
        </w:rPr>
        <w:t>šetkých skončených rešt</w:t>
      </w:r>
      <w:r>
        <w:rPr>
          <w:rFonts w:ascii="Times New Roman" w:eastAsia="Calibri" w:hAnsi="Times New Roman" w:cs="Times New Roman"/>
          <w:bCs/>
          <w:iCs/>
          <w:color w:val="000000"/>
          <w:sz w:val="24"/>
          <w:szCs w:val="24"/>
        </w:rPr>
        <w:t>rukturalizácií</w:t>
      </w:r>
      <w:r w:rsidR="00615CC0">
        <w:rPr>
          <w:rFonts w:ascii="Times New Roman" w:eastAsia="Calibri" w:hAnsi="Times New Roman" w:cs="Times New Roman"/>
          <w:bCs/>
          <w:iCs/>
          <w:color w:val="000000"/>
          <w:sz w:val="24"/>
          <w:szCs w:val="24"/>
        </w:rPr>
        <w:t xml:space="preserve"> identifikovaných </w:t>
      </w:r>
      <w:r w:rsidR="00E72408">
        <w:rPr>
          <w:rFonts w:ascii="Times New Roman" w:eastAsia="Calibri" w:hAnsi="Times New Roman" w:cs="Times New Roman"/>
          <w:bCs/>
          <w:iCs/>
          <w:color w:val="000000"/>
          <w:sz w:val="24"/>
          <w:szCs w:val="24"/>
        </w:rPr>
        <w:t>v Registri úpadcov</w:t>
      </w:r>
      <w:r w:rsidR="0050467E">
        <w:rPr>
          <w:rFonts w:ascii="Times New Roman" w:eastAsia="Calibri" w:hAnsi="Times New Roman" w:cs="Times New Roman"/>
          <w:bCs/>
          <w:iCs/>
          <w:color w:val="000000"/>
          <w:sz w:val="24"/>
          <w:szCs w:val="24"/>
        </w:rPr>
        <w:t xml:space="preserve"> za roky 2018-2020</w:t>
      </w:r>
      <w:r w:rsidR="00E72408">
        <w:rPr>
          <w:rFonts w:ascii="Times New Roman" w:eastAsia="Calibri" w:hAnsi="Times New Roman" w:cs="Times New Roman"/>
          <w:bCs/>
          <w:iCs/>
          <w:color w:val="000000"/>
          <w:sz w:val="24"/>
          <w:szCs w:val="24"/>
        </w:rPr>
        <w:t xml:space="preserve"> </w:t>
      </w:r>
      <w:r w:rsidR="00615CC0">
        <w:rPr>
          <w:rFonts w:ascii="Times New Roman" w:eastAsia="Calibri" w:hAnsi="Times New Roman" w:cs="Times New Roman"/>
          <w:bCs/>
          <w:iCs/>
          <w:color w:val="000000"/>
          <w:sz w:val="24"/>
          <w:szCs w:val="24"/>
        </w:rPr>
        <w:t>sú len v priemere pri  51,21 %</w:t>
      </w:r>
      <w:r>
        <w:rPr>
          <w:rFonts w:ascii="Times New Roman" w:eastAsia="Calibri" w:hAnsi="Times New Roman" w:cs="Times New Roman"/>
          <w:bCs/>
          <w:iCs/>
          <w:color w:val="000000"/>
          <w:sz w:val="24"/>
          <w:szCs w:val="24"/>
        </w:rPr>
        <w:t xml:space="preserve"> z nich</w:t>
      </w:r>
      <w:r w:rsidR="00784F37">
        <w:rPr>
          <w:rFonts w:ascii="Times New Roman" w:eastAsia="Calibri" w:hAnsi="Times New Roman" w:cs="Times New Roman"/>
          <w:bCs/>
          <w:iCs/>
          <w:color w:val="000000"/>
          <w:sz w:val="24"/>
          <w:szCs w:val="24"/>
        </w:rPr>
        <w:t xml:space="preserve"> uvedení veritelia. Preto aj v tomto prípade existujú limity dostupnosti dát.</w:t>
      </w:r>
      <w:r w:rsidR="00BD487A">
        <w:rPr>
          <w:rFonts w:ascii="Times New Roman" w:eastAsia="Calibri" w:hAnsi="Times New Roman" w:cs="Times New Roman"/>
          <w:bCs/>
          <w:iCs/>
          <w:color w:val="000000"/>
          <w:sz w:val="24"/>
          <w:szCs w:val="24"/>
        </w:rPr>
        <w:t xml:space="preserve"> Navrhovaná regulácia bola vyhodnotená ako administratívna, keďže súvisí s úsporou času dotknutých subjektov. Pri kvantifikácii administratívnych nákladov bola pritom zvolená alternatíva 2 a vybrané jednotlivé hodnoty z číselníkov.</w:t>
      </w:r>
      <w:r w:rsidR="00214287">
        <w:rPr>
          <w:rFonts w:ascii="Times New Roman" w:eastAsia="Calibri" w:hAnsi="Times New Roman" w:cs="Times New Roman"/>
          <w:bCs/>
          <w:iCs/>
          <w:color w:val="000000"/>
          <w:sz w:val="24"/>
          <w:szCs w:val="24"/>
        </w:rPr>
        <w:t xml:space="preserve"> Z povahy regulácie ide o nepravidelnú/jednorazovú činnosť, preto bola zvolená frekvencia plnenia povinnosti ako nepravidelná/jednorazová.</w:t>
      </w:r>
    </w:p>
    <w:p w14:paraId="0AD5BBC1" w14:textId="77777777" w:rsidR="007D4A4B" w:rsidRDefault="007D4A4B" w:rsidP="007D4A4B">
      <w:pPr>
        <w:pStyle w:val="Odsekzoznamu"/>
        <w:numPr>
          <w:ilvl w:val="0"/>
          <w:numId w:val="15"/>
        </w:numPr>
        <w:ind w:left="426"/>
        <w:jc w:val="both"/>
        <w:rPr>
          <w:rFonts w:ascii="Times New Roman" w:eastAsia="Calibri" w:hAnsi="Times New Roman" w:cs="Times New Roman"/>
          <w:bCs/>
          <w:i/>
          <w:iCs/>
          <w:color w:val="000000"/>
          <w:sz w:val="24"/>
          <w:szCs w:val="24"/>
        </w:rPr>
      </w:pPr>
      <w:r w:rsidRPr="007D4A4B">
        <w:rPr>
          <w:rFonts w:ascii="Times New Roman" w:eastAsia="Calibri" w:hAnsi="Times New Roman" w:cs="Times New Roman"/>
          <w:bCs/>
          <w:i/>
          <w:iCs/>
          <w:color w:val="000000"/>
          <w:sz w:val="24"/>
          <w:szCs w:val="24"/>
        </w:rPr>
        <w:t>Zrušenie povinnosti preukazovania minimálnej výmery podlahovej plochy kancelárie</w:t>
      </w:r>
    </w:p>
    <w:p w14:paraId="15E03903" w14:textId="7921C3BA" w:rsidR="007D4A4B" w:rsidRDefault="007D4A4B" w:rsidP="007D4A4B">
      <w:pPr>
        <w:jc w:val="both"/>
        <w:rPr>
          <w:rFonts w:ascii="Times New Roman" w:eastAsia="Calibri" w:hAnsi="Times New Roman" w:cs="Times New Roman"/>
          <w:sz w:val="24"/>
          <w:szCs w:val="24"/>
        </w:rPr>
      </w:pPr>
      <w:r w:rsidRPr="007D4A4B">
        <w:rPr>
          <w:rFonts w:ascii="Times New Roman" w:eastAsia="Calibri" w:hAnsi="Times New Roman" w:cs="Times New Roman"/>
          <w:bCs/>
          <w:iCs/>
          <w:color w:val="000000"/>
          <w:sz w:val="24"/>
          <w:szCs w:val="24"/>
        </w:rPr>
        <w:t>T</w:t>
      </w:r>
      <w:r w:rsidR="00172FFE">
        <w:rPr>
          <w:rFonts w:ascii="Times New Roman" w:eastAsia="Calibri" w:hAnsi="Times New Roman" w:cs="Times New Roman"/>
          <w:bCs/>
          <w:iCs/>
          <w:color w:val="000000"/>
          <w:sz w:val="24"/>
          <w:szCs w:val="24"/>
        </w:rPr>
        <w:t>ýka</w:t>
      </w:r>
      <w:r w:rsidRPr="007D4A4B">
        <w:rPr>
          <w:rFonts w:ascii="Times New Roman" w:eastAsia="Calibri" w:hAnsi="Times New Roman" w:cs="Times New Roman"/>
          <w:bCs/>
          <w:iCs/>
          <w:color w:val="000000"/>
          <w:sz w:val="24"/>
          <w:szCs w:val="24"/>
        </w:rPr>
        <w:t xml:space="preserve"> sa správcov ako dotknutých subjektov. Dáta ohľadne počtov týchto</w:t>
      </w:r>
      <w:r w:rsidR="007C3289">
        <w:rPr>
          <w:rFonts w:ascii="Times New Roman" w:eastAsia="Calibri" w:hAnsi="Times New Roman" w:cs="Times New Roman"/>
          <w:bCs/>
          <w:iCs/>
          <w:color w:val="000000"/>
          <w:sz w:val="24"/>
          <w:szCs w:val="24"/>
        </w:rPr>
        <w:t xml:space="preserve"> subjektov pochádzajú zo zoznamu správcov</w:t>
      </w:r>
      <w:r w:rsidRPr="007D4A4B">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r w:rsidRPr="00F237BF">
        <w:rPr>
          <w:rFonts w:ascii="Times New Roman" w:eastAsia="Calibri" w:hAnsi="Times New Roman" w:cs="Times New Roman"/>
          <w:bCs/>
          <w:iCs/>
          <w:color w:val="000000"/>
          <w:sz w:val="24"/>
          <w:szCs w:val="24"/>
        </w:rPr>
        <w:t xml:space="preserve">Regulácia znižuje administratívne náklady. Pri kvantifikácii bol zvolený postup na základe alternatívy č. 2 pre administratívne náklady, kedy bola zvolená hodnota z preddefinovaného číselníka. </w:t>
      </w:r>
      <w:r w:rsidRPr="00F237BF">
        <w:rPr>
          <w:rFonts w:ascii="Times New Roman" w:eastAsia="Calibri" w:hAnsi="Times New Roman" w:cs="Times New Roman"/>
          <w:sz w:val="24"/>
          <w:szCs w:val="24"/>
        </w:rPr>
        <w:t xml:space="preserve">Typ administratívnych nákladov bol určený ako </w:t>
      </w:r>
      <w:r w:rsidR="00172FFE">
        <w:rPr>
          <w:rFonts w:ascii="Times New Roman" w:eastAsia="Calibri" w:hAnsi="Times New Roman" w:cs="Times New Roman"/>
          <w:sz w:val="24"/>
          <w:szCs w:val="24"/>
        </w:rPr>
        <w:t>predloženie dokladu/dokumentu papierovo</w:t>
      </w:r>
      <w:r w:rsidRPr="00F237BF">
        <w:rPr>
          <w:rFonts w:ascii="Times New Roman" w:eastAsia="Calibri" w:hAnsi="Times New Roman" w:cs="Times New Roman"/>
          <w:sz w:val="24"/>
          <w:szCs w:val="24"/>
        </w:rPr>
        <w:t xml:space="preserve"> pri </w:t>
      </w:r>
      <w:r w:rsidR="00172FFE">
        <w:rPr>
          <w:rFonts w:ascii="Times New Roman" w:eastAsia="Calibri" w:hAnsi="Times New Roman" w:cs="Times New Roman"/>
          <w:sz w:val="24"/>
          <w:szCs w:val="24"/>
        </w:rPr>
        <w:t>nepravidelnej/jednorazovej frekvencii.</w:t>
      </w:r>
    </w:p>
    <w:p w14:paraId="5707D2D7" w14:textId="18776D91" w:rsidR="00172FFE" w:rsidRDefault="00172FFE" w:rsidP="00172FFE">
      <w:pPr>
        <w:pStyle w:val="Odsekzoznamu"/>
        <w:numPr>
          <w:ilvl w:val="0"/>
          <w:numId w:val="15"/>
        </w:numPr>
        <w:ind w:left="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Z</w:t>
      </w:r>
      <w:r w:rsidRPr="00172FFE">
        <w:rPr>
          <w:rFonts w:ascii="Times New Roman" w:eastAsia="Calibri" w:hAnsi="Times New Roman" w:cs="Times New Roman"/>
          <w:bCs/>
          <w:i/>
          <w:iCs/>
          <w:color w:val="000000"/>
          <w:sz w:val="24"/>
          <w:szCs w:val="24"/>
        </w:rPr>
        <w:t>rušenie povinnosti dokladovať listom vlastníctva zriadenie kancelárie správcu</w:t>
      </w:r>
    </w:p>
    <w:p w14:paraId="729B8B06" w14:textId="0DE89A64" w:rsidR="00172FFE" w:rsidRDefault="00172FFE" w:rsidP="00172FFE">
      <w:pPr>
        <w:jc w:val="both"/>
        <w:rPr>
          <w:rFonts w:ascii="Times New Roman" w:eastAsia="Calibri" w:hAnsi="Times New Roman" w:cs="Times New Roman"/>
          <w:sz w:val="24"/>
          <w:szCs w:val="24"/>
        </w:rPr>
      </w:pPr>
      <w:r w:rsidRPr="00172FFE">
        <w:rPr>
          <w:rFonts w:ascii="Times New Roman" w:eastAsia="Calibri" w:hAnsi="Times New Roman" w:cs="Times New Roman"/>
          <w:bCs/>
          <w:iCs/>
          <w:color w:val="000000"/>
          <w:sz w:val="24"/>
          <w:szCs w:val="24"/>
        </w:rPr>
        <w:t>Predkladaný návrh zákona ruší povinnosť dokladovať</w:t>
      </w:r>
      <w:r>
        <w:rPr>
          <w:rFonts w:ascii="Times New Roman" w:eastAsia="Calibri" w:hAnsi="Times New Roman" w:cs="Times New Roman"/>
          <w:bCs/>
          <w:iCs/>
          <w:color w:val="000000"/>
          <w:sz w:val="24"/>
          <w:szCs w:val="24"/>
        </w:rPr>
        <w:t xml:space="preserve"> </w:t>
      </w:r>
      <w:r w:rsidRPr="00172FFE">
        <w:rPr>
          <w:rFonts w:ascii="Times New Roman" w:eastAsia="Calibri" w:hAnsi="Times New Roman" w:cs="Times New Roman"/>
          <w:bCs/>
          <w:iCs/>
          <w:color w:val="000000"/>
          <w:sz w:val="24"/>
          <w:szCs w:val="24"/>
        </w:rPr>
        <w:t>listom vlastníctva zriadenie kancelárie správcu</w:t>
      </w:r>
      <w:r w:rsidR="003B0EDA">
        <w:rPr>
          <w:rFonts w:ascii="Times New Roman" w:eastAsia="Calibri" w:hAnsi="Times New Roman" w:cs="Times New Roman"/>
          <w:bCs/>
          <w:iCs/>
          <w:color w:val="000000"/>
          <w:sz w:val="24"/>
          <w:szCs w:val="24"/>
        </w:rPr>
        <w:t>, čím znižuje náklady dotknutým subjektom</w:t>
      </w:r>
      <w:r w:rsidRPr="00172FFE">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A</w:t>
      </w:r>
      <w:r w:rsidR="007C3289">
        <w:rPr>
          <w:rFonts w:ascii="Times New Roman" w:eastAsia="Calibri" w:hAnsi="Times New Roman" w:cs="Times New Roman"/>
          <w:bCs/>
          <w:iCs/>
          <w:color w:val="000000"/>
          <w:sz w:val="24"/>
          <w:szCs w:val="24"/>
        </w:rPr>
        <w:t>j napriek tomu, že je zo zoznamu</w:t>
      </w:r>
      <w:r>
        <w:rPr>
          <w:rFonts w:ascii="Times New Roman" w:eastAsia="Calibri" w:hAnsi="Times New Roman" w:cs="Times New Roman"/>
          <w:bCs/>
          <w:iCs/>
          <w:color w:val="000000"/>
          <w:sz w:val="24"/>
          <w:szCs w:val="24"/>
        </w:rPr>
        <w:t xml:space="preserve"> správcov dostupný ich počet, nie je možné určiť počet tých, ktorí sú vlastníkmi nehnuteľnosti. </w:t>
      </w:r>
      <w:r w:rsidRPr="000C53A1">
        <w:rPr>
          <w:rFonts w:ascii="Times New Roman" w:eastAsia="Calibri" w:hAnsi="Times New Roman" w:cs="Times New Roman"/>
          <w:bCs/>
          <w:iCs/>
          <w:color w:val="000000"/>
          <w:sz w:val="24"/>
          <w:szCs w:val="24"/>
        </w:rPr>
        <w:t xml:space="preserve">Preto bol zvolený spôsob výpočtu prostredníctvom modelového príkladu na 1 podnikateľský subjekt. Pri kvantifikácii bol zvolený postup na základe alternatívy č. 2 pre administratívne náklady, kedy bola </w:t>
      </w:r>
      <w:r>
        <w:rPr>
          <w:rFonts w:ascii="Times New Roman" w:eastAsia="Calibri" w:hAnsi="Times New Roman" w:cs="Times New Roman"/>
          <w:bCs/>
          <w:iCs/>
          <w:color w:val="000000"/>
          <w:sz w:val="24"/>
          <w:szCs w:val="24"/>
        </w:rPr>
        <w:t>vybraná</w:t>
      </w:r>
      <w:r w:rsidRPr="000C53A1">
        <w:rPr>
          <w:rFonts w:ascii="Times New Roman" w:eastAsia="Calibri" w:hAnsi="Times New Roman" w:cs="Times New Roman"/>
          <w:bCs/>
          <w:iCs/>
          <w:color w:val="000000"/>
          <w:sz w:val="24"/>
          <w:szCs w:val="24"/>
        </w:rPr>
        <w:t xml:space="preserve"> hodnota z preddefinovaného číselníka. </w:t>
      </w:r>
      <w:r w:rsidRPr="000C53A1">
        <w:rPr>
          <w:rFonts w:ascii="Times New Roman" w:eastAsia="Calibri" w:hAnsi="Times New Roman" w:cs="Times New Roman"/>
          <w:sz w:val="24"/>
          <w:szCs w:val="24"/>
        </w:rPr>
        <w:t xml:space="preserve">Typ administratívnych nákladov bol určený ako </w:t>
      </w:r>
      <w:r>
        <w:rPr>
          <w:rFonts w:ascii="Times New Roman" w:eastAsia="Calibri" w:hAnsi="Times New Roman" w:cs="Times New Roman"/>
          <w:sz w:val="24"/>
          <w:szCs w:val="24"/>
        </w:rPr>
        <w:t>predloženie dokladu/dokumentu papierovo</w:t>
      </w:r>
      <w:r w:rsidRPr="00F237BF">
        <w:rPr>
          <w:rFonts w:ascii="Times New Roman" w:eastAsia="Calibri" w:hAnsi="Times New Roman" w:cs="Times New Roman"/>
          <w:sz w:val="24"/>
          <w:szCs w:val="24"/>
        </w:rPr>
        <w:t xml:space="preserve"> </w:t>
      </w:r>
      <w:r>
        <w:rPr>
          <w:rFonts w:ascii="Times New Roman" w:eastAsia="Calibri" w:hAnsi="Times New Roman" w:cs="Times New Roman"/>
          <w:sz w:val="24"/>
          <w:szCs w:val="24"/>
        </w:rPr>
        <w:t>pri</w:t>
      </w:r>
      <w:r w:rsidRPr="000C53A1">
        <w:rPr>
          <w:rFonts w:ascii="Times New Roman" w:eastAsia="Calibri" w:hAnsi="Times New Roman" w:cs="Times New Roman"/>
          <w:sz w:val="24"/>
          <w:szCs w:val="24"/>
        </w:rPr>
        <w:t xml:space="preserve"> </w:t>
      </w:r>
      <w:r>
        <w:rPr>
          <w:rFonts w:ascii="Times New Roman" w:eastAsia="Calibri" w:hAnsi="Times New Roman" w:cs="Times New Roman"/>
          <w:sz w:val="24"/>
          <w:szCs w:val="24"/>
        </w:rPr>
        <w:t>nepravidelnej/jednorazovej frekvencii.</w:t>
      </w: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62FFAE6F"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Alternatívne namiesto vypĺňania bodu 3.2 môžete uviesť ako samostatnú prílohu tejto analýzy Záznam z konzultácií obsahujúci požadované informácie. </w:t>
      </w:r>
    </w:p>
    <w:p w14:paraId="05D3BD09" w14:textId="0224B3D0" w:rsidR="00691335" w:rsidRDefault="00691335" w:rsidP="00054C41">
      <w:pPr>
        <w:spacing w:after="0"/>
        <w:jc w:val="both"/>
        <w:rPr>
          <w:rFonts w:ascii="Times New Roman" w:eastAsia="Calibri" w:hAnsi="Times New Roman" w:cs="Times New Roman"/>
          <w:i/>
          <w:sz w:val="24"/>
          <w:szCs w:val="24"/>
        </w:rPr>
      </w:pPr>
    </w:p>
    <w:p w14:paraId="39F3ADD4" w14:textId="77777777" w:rsidR="00691335" w:rsidRPr="0069024C" w:rsidRDefault="00691335" w:rsidP="00691335">
      <w:pPr>
        <w:spacing w:before="120" w:after="120" w:line="276" w:lineRule="auto"/>
        <w:jc w:val="both"/>
        <w:rPr>
          <w:rFonts w:ascii="Times New Roman" w:hAnsi="Times New Roman" w:cs="Times New Roman"/>
          <w:sz w:val="24"/>
          <w:szCs w:val="24"/>
        </w:rPr>
      </w:pPr>
      <w:r w:rsidRPr="0069024C">
        <w:rPr>
          <w:rFonts w:ascii="Times New Roman" w:hAnsi="Times New Roman" w:cs="Times New Roman"/>
          <w:sz w:val="24"/>
          <w:szCs w:val="24"/>
        </w:rPr>
        <w:t xml:space="preserve">Dňa 24. októbra 2019 bola zverejnená predbežná informácia podľa § 9 zákona č. 400/2015 Z. z. o tvorbe právnych predpisov a o Zbierke zákonov Slovenskej republiky a o zmene a doplnení niektorých zákonov k návrhu zákona, ktorým sa mení a dopĺňa zákon č. 7/2005 Z. z. o konkurze a reštrukturalizácii a o zmene a doplnení niektorých zákonov v znení neskorších predpisov, alternatívne prijatie nového právneho predpisu upravujúceho konkurz, </w:t>
      </w:r>
      <w:r>
        <w:rPr>
          <w:rFonts w:ascii="Times New Roman" w:hAnsi="Times New Roman" w:cs="Times New Roman"/>
          <w:sz w:val="24"/>
          <w:szCs w:val="24"/>
        </w:rPr>
        <w:t>reštrukturalizáciu a oddlženie s tým, že c</w:t>
      </w:r>
      <w:r w:rsidRPr="0069024C">
        <w:rPr>
          <w:rFonts w:ascii="Times New Roman" w:hAnsi="Times New Roman" w:cs="Times New Roman"/>
          <w:sz w:val="24"/>
          <w:szCs w:val="24"/>
        </w:rPr>
        <w:t xml:space="preserve">ieľom pripravovanej právnej úpravy </w:t>
      </w:r>
      <w:r>
        <w:rPr>
          <w:rFonts w:ascii="Times New Roman" w:hAnsi="Times New Roman" w:cs="Times New Roman"/>
          <w:sz w:val="24"/>
          <w:szCs w:val="24"/>
        </w:rPr>
        <w:t xml:space="preserve">má byť </w:t>
      </w:r>
      <w:r w:rsidRPr="0069024C">
        <w:rPr>
          <w:rFonts w:ascii="Times New Roman" w:hAnsi="Times New Roman" w:cs="Times New Roman"/>
          <w:sz w:val="24"/>
          <w:szCs w:val="24"/>
        </w:rPr>
        <w:t xml:space="preserve">transpozícia smernice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(ďalej len ,,smernica“) do právneho poriadku Slovenskej republiky. </w:t>
      </w:r>
    </w:p>
    <w:p w14:paraId="54607C80" w14:textId="638679C9" w:rsidR="00691335" w:rsidRPr="0069024C" w:rsidRDefault="00691335" w:rsidP="00691335">
      <w:pPr>
        <w:spacing w:before="120" w:after="120" w:line="276" w:lineRule="auto"/>
        <w:jc w:val="both"/>
        <w:rPr>
          <w:rFonts w:ascii="Times New Roman" w:hAnsi="Times New Roman" w:cs="Times New Roman"/>
          <w:sz w:val="24"/>
          <w:szCs w:val="24"/>
          <w:shd w:val="clear" w:color="auto" w:fill="FFFFFF"/>
        </w:rPr>
      </w:pPr>
      <w:r w:rsidRPr="0069024C">
        <w:rPr>
          <w:rFonts w:ascii="Times New Roman" w:hAnsi="Times New Roman" w:cs="Times New Roman"/>
          <w:sz w:val="24"/>
          <w:szCs w:val="24"/>
        </w:rPr>
        <w:t>Slovenská republika</w:t>
      </w:r>
      <w:r>
        <w:rPr>
          <w:rFonts w:ascii="Times New Roman" w:hAnsi="Times New Roman" w:cs="Times New Roman"/>
          <w:sz w:val="24"/>
          <w:szCs w:val="24"/>
        </w:rPr>
        <w:t xml:space="preserve"> prostredníctvom Ministerstva spravodlivosti Slovenskej republiky (ďalej len „ministerstvo“)</w:t>
      </w:r>
      <w:r w:rsidRPr="0069024C">
        <w:rPr>
          <w:rFonts w:ascii="Times New Roman" w:hAnsi="Times New Roman" w:cs="Times New Roman"/>
          <w:sz w:val="24"/>
          <w:szCs w:val="24"/>
        </w:rPr>
        <w:t xml:space="preserve"> v rámci Programu pre podporu štrukturálnych reforiem z Generálneho riaditeľstva pre podporu štrukturálnych reforiem Európskej komisie získala rozsiahlu podporu na </w:t>
      </w:r>
      <w:r w:rsidRPr="0069024C">
        <w:rPr>
          <w:rFonts w:ascii="Times New Roman" w:hAnsi="Times New Roman" w:cs="Times New Roman"/>
          <w:sz w:val="24"/>
          <w:szCs w:val="24"/>
          <w:shd w:val="clear" w:color="auto" w:fill="FFFFFF"/>
        </w:rPr>
        <w:t xml:space="preserve">analýzu prijatia zmien v oblasti preventívnej reštrukturalizácie, prostriedkov zvýšenia efektívnosti insolvenčného konania vo všeobecnosti, ako i pre včasné nástroje varovania pre podnikateľov, t. j. v rámci príprav transpozície smernice. Na základe tejto podpory Európska komisia vybrala subjekt PWC Slovensko, ktorý realizuje už uvedené činnosti, vrátane vykonávania konzultácií so Slovenskou bankovou asociáciou, súdmi a správcami za súčinnosti </w:t>
      </w:r>
      <w:r>
        <w:rPr>
          <w:rFonts w:ascii="Times New Roman" w:hAnsi="Times New Roman" w:cs="Times New Roman"/>
          <w:sz w:val="24"/>
          <w:szCs w:val="24"/>
          <w:shd w:val="clear" w:color="auto" w:fill="FFFFFF"/>
        </w:rPr>
        <w:t>ministerstva</w:t>
      </w:r>
      <w:r w:rsidRPr="0069024C">
        <w:rPr>
          <w:rFonts w:ascii="Times New Roman" w:hAnsi="Times New Roman" w:cs="Times New Roman"/>
          <w:sz w:val="24"/>
          <w:szCs w:val="24"/>
          <w:shd w:val="clear" w:color="auto" w:fill="FFFFFF"/>
        </w:rPr>
        <w:t xml:space="preserve"> (ďalej len „</w:t>
      </w:r>
      <w:r>
        <w:rPr>
          <w:rFonts w:ascii="Times New Roman" w:hAnsi="Times New Roman" w:cs="Times New Roman"/>
          <w:sz w:val="24"/>
          <w:szCs w:val="24"/>
          <w:shd w:val="clear" w:color="auto" w:fill="FFFFFF"/>
        </w:rPr>
        <w:t>externá pracovná skupina</w:t>
      </w:r>
      <w:r w:rsidRPr="006902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Externá pracovná skupina zasadá v pravidelných intervaloch od</w:t>
      </w:r>
      <w:r w:rsidRPr="0069024C">
        <w:rPr>
          <w:rFonts w:ascii="Times New Roman" w:hAnsi="Times New Roman" w:cs="Times New Roman"/>
          <w:sz w:val="24"/>
          <w:szCs w:val="24"/>
          <w:shd w:val="clear" w:color="auto" w:fill="FFFFFF"/>
        </w:rPr>
        <w:t xml:space="preserve"> júna 2020</w:t>
      </w:r>
      <w:r>
        <w:rPr>
          <w:rFonts w:ascii="Times New Roman" w:hAnsi="Times New Roman" w:cs="Times New Roman"/>
          <w:sz w:val="24"/>
          <w:szCs w:val="24"/>
          <w:shd w:val="clear" w:color="auto" w:fill="FFFFFF"/>
        </w:rPr>
        <w:t xml:space="preserve"> a svoju činnosť bude vykonávať do konca roka 2021, pričom priebežné výsledky jej činnosti sú zasielané ministerstvu a po ukončení svojej činnosti bude ministerstvu zaslaný kompletný dokument obsahujúci celkové posúdenie stavu insolvenčných konaní v Slovenskej republike a príslušné odporúčania na jej zefektívnenie</w:t>
      </w:r>
      <w:r w:rsidRPr="006902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Externá pracovná skupina v rámci svojej činnosti </w:t>
      </w:r>
      <w:r w:rsidRPr="0069024C">
        <w:rPr>
          <w:rFonts w:ascii="Times New Roman" w:hAnsi="Times New Roman" w:cs="Times New Roman"/>
          <w:sz w:val="24"/>
          <w:szCs w:val="24"/>
          <w:shd w:val="clear" w:color="auto" w:fill="FFFFFF"/>
        </w:rPr>
        <w:t xml:space="preserve">realizovala </w:t>
      </w:r>
      <w:r>
        <w:rPr>
          <w:rFonts w:ascii="Times New Roman" w:hAnsi="Times New Roman" w:cs="Times New Roman"/>
          <w:sz w:val="24"/>
          <w:szCs w:val="24"/>
          <w:shd w:val="clear" w:color="auto" w:fill="FFFFFF"/>
        </w:rPr>
        <w:t xml:space="preserve">pri riešení otázok súvisiacich s transpozíciou smernice </w:t>
      </w:r>
      <w:r w:rsidRPr="0069024C">
        <w:rPr>
          <w:rFonts w:ascii="Times New Roman" w:hAnsi="Times New Roman" w:cs="Times New Roman"/>
          <w:sz w:val="24"/>
          <w:szCs w:val="24"/>
          <w:shd w:val="clear" w:color="auto" w:fill="FFFFFF"/>
        </w:rPr>
        <w:t>stretnutie so zástupcami Slovenskej bankovej asociácie a zástupcami ministerstva dňa 4. novembra 2020</w:t>
      </w:r>
      <w:r>
        <w:rPr>
          <w:rFonts w:ascii="Times New Roman" w:hAnsi="Times New Roman" w:cs="Times New Roman"/>
          <w:sz w:val="24"/>
          <w:szCs w:val="24"/>
          <w:shd w:val="clear" w:color="auto" w:fill="FFFFFF"/>
        </w:rPr>
        <w:t>, nakoľko boli pre</w:t>
      </w:r>
      <w:r w:rsidRPr="0069024C">
        <w:rPr>
          <w:rFonts w:ascii="Times New Roman" w:hAnsi="Times New Roman" w:cs="Times New Roman"/>
          <w:sz w:val="24"/>
          <w:szCs w:val="24"/>
          <w:shd w:val="clear" w:color="auto" w:fill="FFFFFF"/>
        </w:rPr>
        <w:t>konzultované nasledovné otázky preventívnej reštrukturalizácie – súčasný stav (nevyhnutná potreba jej zavedenia) a odporúčania (neverejnosť, ochrana účastníkov plánu - odporovateľnosť, sprísnenie povinností dlžníka na osobnú úroveň, možnosť dohľadu nad reštrukturalizáciou cez nominácie do dozornej rady, umožnenie veriteľom zaviazať dlžníka ku konkrétnym krokom, napr. umožniť predaj časti majetku, povoliť vstup nového kapitálu a pod.), formálnej reštrukturalizácie – súčasný stav (upozornenie na skutočnosť, že 90 % prípadov je riešených neoficiálnou cestou riešenou bankami) a odporúčania (zavedenie pro-veriteľského procesu, zníženie súčasnej administratívnej náročnosti a zameranie sa na rozvoj biznis modelu, ochrana veriteľov a jasné definovania právomoci a povinností, znížiť dĺžku procesu reštrukturalizácie na účely záchrany podniku a pod.)</w:t>
      </w:r>
      <w:r>
        <w:rPr>
          <w:rFonts w:ascii="Times New Roman" w:hAnsi="Times New Roman" w:cs="Times New Roman"/>
          <w:sz w:val="24"/>
          <w:szCs w:val="24"/>
          <w:shd w:val="clear" w:color="auto" w:fill="FFFFFF"/>
        </w:rPr>
        <w:t xml:space="preserve"> a posudkov</w:t>
      </w:r>
      <w:r w:rsidRPr="0069024C">
        <w:rPr>
          <w:rFonts w:ascii="Times New Roman" w:hAnsi="Times New Roman" w:cs="Times New Roman"/>
          <w:sz w:val="24"/>
          <w:szCs w:val="24"/>
          <w:shd w:val="clear" w:color="auto" w:fill="FFFFFF"/>
        </w:rPr>
        <w:t xml:space="preserve"> – súčasný stav (formálne a neprofesionálne posudky) a odporúčanie (zavedenie špeciálnych správcov podľa vzoru z Českej republiky, nastavenie threshold so súhlasom kvalifikovanej väčšiny veriteľov)</w:t>
      </w:r>
      <w:r>
        <w:rPr>
          <w:rFonts w:ascii="Times New Roman" w:hAnsi="Times New Roman" w:cs="Times New Roman"/>
          <w:sz w:val="24"/>
          <w:szCs w:val="24"/>
          <w:shd w:val="clear" w:color="auto" w:fill="FFFFFF"/>
        </w:rPr>
        <w:t>. Následne d</w:t>
      </w:r>
      <w:r w:rsidRPr="0069024C">
        <w:rPr>
          <w:rFonts w:ascii="Times New Roman" w:hAnsi="Times New Roman" w:cs="Times New Roman"/>
          <w:sz w:val="24"/>
          <w:szCs w:val="24"/>
          <w:shd w:val="clear" w:color="auto" w:fill="FFFFFF"/>
        </w:rPr>
        <w:t>ňa 9. decembra 2020 sa realizovalo ďalšie stretnutie s</w:t>
      </w:r>
      <w:r>
        <w:rPr>
          <w:rFonts w:ascii="Times New Roman" w:hAnsi="Times New Roman" w:cs="Times New Roman"/>
          <w:sz w:val="24"/>
          <w:szCs w:val="24"/>
          <w:shd w:val="clear" w:color="auto" w:fill="FFFFFF"/>
        </w:rPr>
        <w:t xml:space="preserve"> rovnakými účastníkmi, na </w:t>
      </w:r>
      <w:r w:rsidRPr="0069024C">
        <w:rPr>
          <w:rFonts w:ascii="Times New Roman" w:hAnsi="Times New Roman" w:cs="Times New Roman"/>
          <w:sz w:val="24"/>
          <w:szCs w:val="24"/>
          <w:shd w:val="clear" w:color="auto" w:fill="FFFFFF"/>
        </w:rPr>
        <w:t xml:space="preserve">ktorom boli prekonzultované </w:t>
      </w:r>
      <w:r w:rsidRPr="0069024C">
        <w:rPr>
          <w:rFonts w:ascii="Times New Roman" w:hAnsi="Times New Roman" w:cs="Times New Roman"/>
          <w:sz w:val="24"/>
          <w:szCs w:val="24"/>
          <w:shd w:val="clear" w:color="auto" w:fill="FFFFFF"/>
        </w:rPr>
        <w:lastRenderedPageBreak/>
        <w:t>nasledovné otázky</w:t>
      </w:r>
      <w:r>
        <w:rPr>
          <w:rFonts w:ascii="Times New Roman" w:hAnsi="Times New Roman" w:cs="Times New Roman"/>
          <w:sz w:val="24"/>
          <w:szCs w:val="24"/>
          <w:shd w:val="clear" w:color="auto" w:fill="FFFFFF"/>
        </w:rPr>
        <w:t>:</w:t>
      </w:r>
      <w:r w:rsidRPr="006902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definícia hroziaceho úpadku, </w:t>
      </w:r>
      <w:r w:rsidRPr="0069024C">
        <w:rPr>
          <w:rFonts w:ascii="Times New Roman" w:hAnsi="Times New Roman" w:cs="Times New Roman"/>
          <w:sz w:val="24"/>
          <w:szCs w:val="24"/>
          <w:shd w:val="clear" w:color="auto" w:fill="FFFFFF"/>
        </w:rPr>
        <w:t>právomoci veriteľského výboru a jeho formát,</w:t>
      </w:r>
      <w:r>
        <w:rPr>
          <w:rFonts w:ascii="Times New Roman" w:hAnsi="Times New Roman" w:cs="Times New Roman"/>
          <w:sz w:val="24"/>
          <w:szCs w:val="24"/>
          <w:shd w:val="clear" w:color="auto" w:fill="FFFFFF"/>
        </w:rPr>
        <w:t xml:space="preserve"> </w:t>
      </w:r>
      <w:r w:rsidRPr="0069024C">
        <w:rPr>
          <w:rFonts w:ascii="Times New Roman" w:hAnsi="Times New Roman" w:cs="Times New Roman"/>
          <w:sz w:val="24"/>
          <w:szCs w:val="24"/>
          <w:shd w:val="clear" w:color="auto" w:fill="FFFFFF"/>
        </w:rPr>
        <w:t>rola správcu</w:t>
      </w:r>
      <w:r>
        <w:rPr>
          <w:rFonts w:ascii="Times New Roman" w:hAnsi="Times New Roman" w:cs="Times New Roman"/>
          <w:sz w:val="24"/>
          <w:szCs w:val="24"/>
          <w:shd w:val="clear" w:color="auto" w:fill="FFFFFF"/>
        </w:rPr>
        <w:t xml:space="preserve">, </w:t>
      </w:r>
      <w:r w:rsidRPr="0069024C">
        <w:rPr>
          <w:rFonts w:ascii="Times New Roman" w:hAnsi="Times New Roman" w:cs="Times New Roman"/>
          <w:sz w:val="24"/>
          <w:szCs w:val="24"/>
          <w:shd w:val="clear" w:color="auto" w:fill="FFFFFF"/>
        </w:rPr>
        <w:t>nastavenie kvót pre haircut,</w:t>
      </w:r>
      <w:r>
        <w:rPr>
          <w:rFonts w:ascii="Times New Roman" w:hAnsi="Times New Roman" w:cs="Times New Roman"/>
          <w:sz w:val="24"/>
          <w:szCs w:val="24"/>
          <w:shd w:val="clear" w:color="auto" w:fill="FFFFFF"/>
        </w:rPr>
        <w:t xml:space="preserve"> skupiny veriteľov, </w:t>
      </w:r>
      <w:r w:rsidRPr="0069024C">
        <w:rPr>
          <w:rFonts w:ascii="Times New Roman" w:hAnsi="Times New Roman" w:cs="Times New Roman"/>
          <w:sz w:val="24"/>
          <w:szCs w:val="24"/>
          <w:shd w:val="clear" w:color="auto" w:fill="FFFFFF"/>
        </w:rPr>
        <w:t>postavenie platnej dočasnej ochrany po zavedení preventívnej reštrukturalizácie</w:t>
      </w:r>
      <w:r>
        <w:rPr>
          <w:rFonts w:ascii="Times New Roman" w:hAnsi="Times New Roman" w:cs="Times New Roman"/>
          <w:sz w:val="24"/>
          <w:szCs w:val="24"/>
          <w:shd w:val="clear" w:color="auto" w:fill="FFFFFF"/>
        </w:rPr>
        <w:t xml:space="preserve">, daňový režim, </w:t>
      </w:r>
      <w:r w:rsidRPr="0069024C">
        <w:rPr>
          <w:rFonts w:ascii="Times New Roman" w:hAnsi="Times New Roman" w:cs="Times New Roman"/>
          <w:sz w:val="24"/>
          <w:szCs w:val="24"/>
          <w:shd w:val="clear" w:color="auto" w:fill="FFFFFF"/>
        </w:rPr>
        <w:t>práva tretích strán v preventívnej reštrukturalizácii.</w:t>
      </w:r>
      <w:r>
        <w:rPr>
          <w:rFonts w:ascii="Times New Roman" w:hAnsi="Times New Roman" w:cs="Times New Roman"/>
          <w:sz w:val="24"/>
          <w:szCs w:val="24"/>
          <w:shd w:val="clear" w:color="auto" w:fill="FFFFFF"/>
        </w:rPr>
        <w:t xml:space="preserve"> </w:t>
      </w:r>
      <w:r w:rsidRPr="0069024C">
        <w:rPr>
          <w:rFonts w:ascii="Times New Roman" w:hAnsi="Times New Roman" w:cs="Times New Roman"/>
          <w:sz w:val="24"/>
          <w:szCs w:val="24"/>
          <w:shd w:val="clear" w:color="auto" w:fill="FFFFFF"/>
        </w:rPr>
        <w:t xml:space="preserve">Na základe výsledkov činnosti </w:t>
      </w:r>
      <w:r>
        <w:rPr>
          <w:rFonts w:ascii="Times New Roman" w:hAnsi="Times New Roman" w:cs="Times New Roman"/>
          <w:sz w:val="24"/>
          <w:szCs w:val="24"/>
          <w:shd w:val="clear" w:color="auto" w:fill="FFFFFF"/>
        </w:rPr>
        <w:t xml:space="preserve">externej </w:t>
      </w:r>
      <w:r w:rsidRPr="0069024C">
        <w:rPr>
          <w:rFonts w:ascii="Times New Roman" w:hAnsi="Times New Roman" w:cs="Times New Roman"/>
          <w:sz w:val="24"/>
          <w:szCs w:val="24"/>
          <w:shd w:val="clear" w:color="auto" w:fill="FFFFFF"/>
        </w:rPr>
        <w:t xml:space="preserve">pracovnej skupiny bol ministerstvu predložený hrubý koncept návrhu právnej úpravy preventívnej reštrukturalizácie </w:t>
      </w:r>
      <w:r>
        <w:rPr>
          <w:rFonts w:ascii="Times New Roman" w:hAnsi="Times New Roman" w:cs="Times New Roman"/>
          <w:sz w:val="24"/>
          <w:szCs w:val="24"/>
          <w:shd w:val="clear" w:color="auto" w:fill="FFFFFF"/>
        </w:rPr>
        <w:t>(</w:t>
      </w:r>
      <w:r w:rsidRPr="0069024C">
        <w:rPr>
          <w:rFonts w:ascii="Times New Roman" w:hAnsi="Times New Roman" w:cs="Times New Roman"/>
          <w:sz w:val="24"/>
          <w:szCs w:val="24"/>
          <w:shd w:val="clear" w:color="auto" w:fill="FFFFFF"/>
        </w:rPr>
        <w:t>február 2021</w:t>
      </w:r>
      <w:r>
        <w:rPr>
          <w:rFonts w:ascii="Times New Roman" w:hAnsi="Times New Roman" w:cs="Times New Roman"/>
          <w:sz w:val="24"/>
          <w:szCs w:val="24"/>
          <w:shd w:val="clear" w:color="auto" w:fill="FFFFFF"/>
        </w:rPr>
        <w:t>)</w:t>
      </w:r>
      <w:r w:rsidRPr="0069024C">
        <w:rPr>
          <w:rFonts w:ascii="Times New Roman" w:hAnsi="Times New Roman" w:cs="Times New Roman"/>
          <w:sz w:val="24"/>
          <w:szCs w:val="24"/>
          <w:shd w:val="clear" w:color="auto" w:fill="FFFFFF"/>
        </w:rPr>
        <w:t>.</w:t>
      </w:r>
    </w:p>
    <w:p w14:paraId="14951637" w14:textId="77777777" w:rsidR="00691335" w:rsidRDefault="00691335" w:rsidP="00A81D9D">
      <w:pPr>
        <w:spacing w:before="120" w:after="120" w:line="276" w:lineRule="auto"/>
        <w:jc w:val="both"/>
        <w:rPr>
          <w:rFonts w:ascii="Times New Roman" w:hAnsi="Times New Roman" w:cs="Times New Roman"/>
          <w:sz w:val="24"/>
          <w:szCs w:val="24"/>
          <w:shd w:val="clear" w:color="auto" w:fill="FFFFFF"/>
        </w:rPr>
      </w:pPr>
      <w:r w:rsidRPr="0069024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polu</w:t>
      </w:r>
      <w:r w:rsidRPr="0069024C">
        <w:rPr>
          <w:rFonts w:ascii="Times New Roman" w:hAnsi="Times New Roman" w:cs="Times New Roman"/>
          <w:sz w:val="24"/>
          <w:szCs w:val="24"/>
          <w:shd w:val="clear" w:color="auto" w:fill="FFFFFF"/>
        </w:rPr>
        <w:t xml:space="preserve"> s </w:t>
      </w:r>
      <w:r>
        <w:rPr>
          <w:rFonts w:ascii="Times New Roman" w:hAnsi="Times New Roman" w:cs="Times New Roman"/>
          <w:sz w:val="24"/>
          <w:szCs w:val="24"/>
          <w:shd w:val="clear" w:color="auto" w:fill="FFFFFF"/>
        </w:rPr>
        <w:t>externou</w:t>
      </w:r>
      <w:r w:rsidRPr="0069024C">
        <w:rPr>
          <w:rFonts w:ascii="Times New Roman" w:hAnsi="Times New Roman" w:cs="Times New Roman"/>
          <w:sz w:val="24"/>
          <w:szCs w:val="24"/>
          <w:shd w:val="clear" w:color="auto" w:fill="FFFFFF"/>
        </w:rPr>
        <w:t xml:space="preserve"> pracovnou skupinou bola zriadená pracovná skupina </w:t>
      </w:r>
      <w:r>
        <w:rPr>
          <w:rFonts w:ascii="Times New Roman" w:hAnsi="Times New Roman" w:cs="Times New Roman"/>
          <w:sz w:val="24"/>
          <w:szCs w:val="24"/>
          <w:shd w:val="clear" w:color="auto" w:fill="FFFFFF"/>
        </w:rPr>
        <w:t>ministerstva</w:t>
      </w:r>
      <w:r w:rsidRPr="0069024C">
        <w:rPr>
          <w:rFonts w:ascii="Times New Roman" w:hAnsi="Times New Roman" w:cs="Times New Roman"/>
          <w:sz w:val="24"/>
          <w:szCs w:val="24"/>
          <w:shd w:val="clear" w:color="auto" w:fill="FFFFFF"/>
        </w:rPr>
        <w:t xml:space="preserve"> (ďalej len „pracovná skupina ministerstva“), ktorá súbežne s</w:t>
      </w:r>
      <w:r>
        <w:rPr>
          <w:rFonts w:ascii="Times New Roman" w:hAnsi="Times New Roman" w:cs="Times New Roman"/>
          <w:sz w:val="24"/>
          <w:szCs w:val="24"/>
          <w:shd w:val="clear" w:color="auto" w:fill="FFFFFF"/>
        </w:rPr>
        <w:t> externou</w:t>
      </w:r>
      <w:r w:rsidRPr="0069024C">
        <w:rPr>
          <w:rFonts w:ascii="Times New Roman" w:hAnsi="Times New Roman" w:cs="Times New Roman"/>
          <w:sz w:val="24"/>
          <w:szCs w:val="24"/>
          <w:shd w:val="clear" w:color="auto" w:fill="FFFFFF"/>
        </w:rPr>
        <w:t xml:space="preserve"> pracovnou skupinou pracovala na otázkach týkajúcich sa optimalizácie reštrukturalizácie, úpravy oddlženia, špecializácie konkurzných správcov a nastaveniu právnej úpravy po transpozícii smernice</w:t>
      </w:r>
      <w:r>
        <w:rPr>
          <w:rFonts w:ascii="Times New Roman" w:hAnsi="Times New Roman" w:cs="Times New Roman"/>
          <w:sz w:val="24"/>
          <w:szCs w:val="24"/>
          <w:shd w:val="clear" w:color="auto" w:fill="FFFFFF"/>
        </w:rPr>
        <w:t xml:space="preserve"> od júna 2020 do júla 2021</w:t>
      </w:r>
      <w:r w:rsidRPr="006902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Členmi pracovnej skupiny ministerstva boli zástupcovia ministerstva a zástupcovia PWC Slovensko.</w:t>
      </w:r>
    </w:p>
    <w:p w14:paraId="3681FC0C" w14:textId="77777777" w:rsidR="00691335" w:rsidRDefault="00691335" w:rsidP="00A81D9D">
      <w:pPr>
        <w:spacing w:before="120" w:after="120" w:line="276" w:lineRule="auto"/>
        <w:jc w:val="both"/>
        <w:rPr>
          <w:rFonts w:ascii="Times New Roman" w:hAnsi="Times New Roman" w:cs="Times New Roman"/>
          <w:sz w:val="24"/>
          <w:szCs w:val="24"/>
          <w:shd w:val="clear" w:color="auto" w:fill="FFFFFF"/>
        </w:rPr>
      </w:pPr>
      <w:r w:rsidRPr="0069024C">
        <w:rPr>
          <w:rFonts w:ascii="Times New Roman" w:hAnsi="Times New Roman" w:cs="Times New Roman"/>
          <w:sz w:val="24"/>
          <w:szCs w:val="24"/>
          <w:shd w:val="clear" w:color="auto" w:fill="FFFFFF"/>
        </w:rPr>
        <w:t>Pracovná skupina ministerstva zasadala v pravidelných dvojtýždňových časový</w:t>
      </w:r>
      <w:r>
        <w:rPr>
          <w:rFonts w:ascii="Times New Roman" w:hAnsi="Times New Roman" w:cs="Times New Roman"/>
          <w:sz w:val="24"/>
          <w:szCs w:val="24"/>
          <w:shd w:val="clear" w:color="auto" w:fill="FFFFFF"/>
        </w:rPr>
        <w:t>ch</w:t>
      </w:r>
      <w:r w:rsidRPr="0069024C">
        <w:rPr>
          <w:rFonts w:ascii="Times New Roman" w:hAnsi="Times New Roman" w:cs="Times New Roman"/>
          <w:sz w:val="24"/>
          <w:szCs w:val="24"/>
          <w:shd w:val="clear" w:color="auto" w:fill="FFFFFF"/>
        </w:rPr>
        <w:t>, pričom časť stretnutí bola realizovaná online. Predmetom pravidelných zasadnutí pracovnej skupiny do apríla 2021 bol</w:t>
      </w:r>
      <w:r>
        <w:rPr>
          <w:rFonts w:ascii="Times New Roman" w:hAnsi="Times New Roman" w:cs="Times New Roman"/>
          <w:sz w:val="24"/>
          <w:szCs w:val="24"/>
          <w:shd w:val="clear" w:color="auto" w:fill="FFFFFF"/>
        </w:rPr>
        <w:t xml:space="preserve">i otázky týkajúce </w:t>
      </w:r>
      <w:r w:rsidRPr="0069024C">
        <w:rPr>
          <w:rFonts w:ascii="Times New Roman" w:hAnsi="Times New Roman" w:cs="Times New Roman"/>
          <w:sz w:val="24"/>
          <w:szCs w:val="24"/>
          <w:shd w:val="clear" w:color="auto" w:fill="FFFFFF"/>
        </w:rPr>
        <w:t xml:space="preserve">sa </w:t>
      </w:r>
      <w:r>
        <w:rPr>
          <w:rFonts w:ascii="Times New Roman" w:hAnsi="Times New Roman" w:cs="Times New Roman"/>
          <w:sz w:val="24"/>
          <w:szCs w:val="24"/>
          <w:shd w:val="clear" w:color="auto" w:fill="FFFFFF"/>
        </w:rPr>
        <w:t xml:space="preserve">nastavenia </w:t>
      </w:r>
      <w:r w:rsidRPr="0069024C">
        <w:rPr>
          <w:rFonts w:ascii="Times New Roman" w:hAnsi="Times New Roman" w:cs="Times New Roman"/>
          <w:sz w:val="24"/>
          <w:szCs w:val="24"/>
          <w:shd w:val="clear" w:color="auto" w:fill="FFFFFF"/>
        </w:rPr>
        <w:t xml:space="preserve">nástrojov včasného varovania, </w:t>
      </w:r>
      <w:r>
        <w:rPr>
          <w:rFonts w:ascii="Times New Roman" w:hAnsi="Times New Roman" w:cs="Times New Roman"/>
          <w:sz w:val="24"/>
          <w:szCs w:val="24"/>
          <w:shd w:val="clear" w:color="auto" w:fill="FFFFFF"/>
        </w:rPr>
        <w:t xml:space="preserve">úpravy reštrukturalizácie a zavedenia </w:t>
      </w:r>
      <w:r w:rsidRPr="0069024C">
        <w:rPr>
          <w:rFonts w:ascii="Times New Roman" w:hAnsi="Times New Roman" w:cs="Times New Roman"/>
          <w:sz w:val="24"/>
          <w:szCs w:val="24"/>
          <w:shd w:val="clear" w:color="auto" w:fill="FFFFFF"/>
        </w:rPr>
        <w:t>preventívnej reštrukturalizácie</w:t>
      </w:r>
      <w:r>
        <w:rPr>
          <w:rFonts w:ascii="Times New Roman" w:hAnsi="Times New Roman" w:cs="Times New Roman"/>
          <w:sz w:val="24"/>
          <w:szCs w:val="24"/>
          <w:shd w:val="clear" w:color="auto" w:fill="FFFFFF"/>
        </w:rPr>
        <w:t xml:space="preserve"> tak, aby preventívna reštrukturalizácia spĺňala požiadavky smernice</w:t>
      </w:r>
      <w:r w:rsidRPr="0069024C">
        <w:rPr>
          <w:rFonts w:ascii="Times New Roman" w:hAnsi="Times New Roman" w:cs="Times New Roman"/>
          <w:sz w:val="24"/>
          <w:szCs w:val="24"/>
          <w:shd w:val="clear" w:color="auto" w:fill="FFFFFF"/>
        </w:rPr>
        <w:t xml:space="preserve">, riešenie aktuálnej právnej úpravy riešenia hroziaceho úpadku, </w:t>
      </w:r>
      <w:r>
        <w:rPr>
          <w:rFonts w:ascii="Times New Roman" w:hAnsi="Times New Roman" w:cs="Times New Roman"/>
          <w:sz w:val="24"/>
          <w:szCs w:val="24"/>
          <w:shd w:val="clear" w:color="auto" w:fill="FFFFFF"/>
        </w:rPr>
        <w:t xml:space="preserve">otázky týkajúce sa súladu právnej úpravy oddlženia so smernicou, </w:t>
      </w:r>
      <w:r w:rsidRPr="0069024C">
        <w:rPr>
          <w:rFonts w:ascii="Times New Roman" w:hAnsi="Times New Roman" w:cs="Times New Roman"/>
          <w:sz w:val="24"/>
          <w:szCs w:val="24"/>
          <w:shd w:val="clear" w:color="auto" w:fill="FFFFFF"/>
        </w:rPr>
        <w:t xml:space="preserve">otázky týkajúce sa špecializácie správcov, zoznamu správcov a všetky </w:t>
      </w:r>
      <w:r>
        <w:rPr>
          <w:rFonts w:ascii="Times New Roman" w:hAnsi="Times New Roman" w:cs="Times New Roman"/>
          <w:sz w:val="24"/>
          <w:szCs w:val="24"/>
          <w:shd w:val="clear" w:color="auto" w:fill="FFFFFF"/>
        </w:rPr>
        <w:t>súvisiace otázky, vrátane úpravy zberu údajov o insolvenčných konaniach</w:t>
      </w:r>
      <w:r w:rsidRPr="0069024C">
        <w:rPr>
          <w:rFonts w:ascii="Times New Roman" w:hAnsi="Times New Roman" w:cs="Times New Roman"/>
          <w:sz w:val="24"/>
          <w:szCs w:val="24"/>
          <w:shd w:val="clear" w:color="auto" w:fill="FFFFFF"/>
        </w:rPr>
        <w:t>.</w:t>
      </w:r>
    </w:p>
    <w:p w14:paraId="33AF1773" w14:textId="77777777" w:rsidR="00691335" w:rsidRDefault="00691335" w:rsidP="00A81D9D">
      <w:p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Pracovná </w:t>
      </w:r>
      <w:r w:rsidRPr="0069024C">
        <w:rPr>
          <w:rFonts w:ascii="Times New Roman" w:hAnsi="Times New Roman" w:cs="Times New Roman"/>
          <w:sz w:val="24"/>
          <w:szCs w:val="24"/>
          <w:shd w:val="clear" w:color="auto" w:fill="FFFFFF"/>
        </w:rPr>
        <w:t xml:space="preserve">skupina ministerstva zabezpečovala </w:t>
      </w:r>
      <w:r>
        <w:rPr>
          <w:rFonts w:ascii="Times New Roman" w:hAnsi="Times New Roman" w:cs="Times New Roman"/>
          <w:sz w:val="24"/>
          <w:szCs w:val="24"/>
          <w:shd w:val="clear" w:color="auto" w:fill="FFFFFF"/>
        </w:rPr>
        <w:t xml:space="preserve">následne </w:t>
      </w:r>
      <w:r w:rsidRPr="0069024C">
        <w:rPr>
          <w:rFonts w:ascii="Times New Roman" w:hAnsi="Times New Roman" w:cs="Times New Roman"/>
          <w:sz w:val="24"/>
          <w:szCs w:val="24"/>
          <w:shd w:val="clear" w:color="auto" w:fill="FFFFFF"/>
        </w:rPr>
        <w:t>pravidelné stretnutia k zaslanému konceptu návrhu právnej úpravy</w:t>
      </w:r>
      <w:r>
        <w:rPr>
          <w:rFonts w:ascii="Times New Roman" w:hAnsi="Times New Roman" w:cs="Times New Roman"/>
          <w:sz w:val="24"/>
          <w:szCs w:val="24"/>
          <w:shd w:val="clear" w:color="auto" w:fill="FFFFFF"/>
        </w:rPr>
        <w:t xml:space="preserve"> preventívnej reštrukturalizácie</w:t>
      </w:r>
      <w:r w:rsidRPr="0069024C">
        <w:rPr>
          <w:rFonts w:ascii="Times New Roman" w:hAnsi="Times New Roman" w:cs="Times New Roman"/>
          <w:sz w:val="24"/>
          <w:szCs w:val="24"/>
          <w:shd w:val="clear" w:color="auto" w:fill="FFFFFF"/>
        </w:rPr>
        <w:t>, ktorou sa má transponovať smernica do právneho poriadku Slovenskej republiky</w:t>
      </w:r>
      <w:r>
        <w:rPr>
          <w:rFonts w:ascii="Times New Roman" w:hAnsi="Times New Roman" w:cs="Times New Roman"/>
          <w:sz w:val="24"/>
          <w:szCs w:val="24"/>
          <w:shd w:val="clear" w:color="auto" w:fill="FFFFFF"/>
        </w:rPr>
        <w:t xml:space="preserve">, ktoré sa uskutočnili v dňoch </w:t>
      </w:r>
      <w:r w:rsidRPr="0069024C">
        <w:rPr>
          <w:rFonts w:ascii="Times New Roman" w:hAnsi="Times New Roman" w:cs="Times New Roman"/>
          <w:sz w:val="24"/>
          <w:szCs w:val="24"/>
          <w:shd w:val="clear" w:color="auto" w:fill="FFFFFF"/>
        </w:rPr>
        <w:t>20.4.2021, 30.4.2021, 5.5.2021, 14.5.2021, 22.5.2021</w:t>
      </w:r>
      <w:r>
        <w:rPr>
          <w:rFonts w:ascii="Times New Roman" w:hAnsi="Times New Roman" w:cs="Times New Roman"/>
          <w:sz w:val="24"/>
          <w:szCs w:val="24"/>
          <w:shd w:val="clear" w:color="auto" w:fill="FFFFFF"/>
        </w:rPr>
        <w:t>. Predmetom zasadnutí pracovnej skupiny ministerstva v týchto termínoch bola legislatívna úprava konceptu právnej úpravy preventívnej reštrukturalizácie, vyriešenie otázok súvisiacich s nesprávnou alebo nedostatočnou transpozíciou smernice v návrhu konceptu, ako aj riešenie alternatívnych spôsobov transpozície, ktoré boli navrhované externou pracovnou skupinou. Výsledkom zasadnutí pracovnej skupiny v uvedených termínoch bol legislatívny návrh zákona o riešení hroziaceho úpadku, ktorým sa má transponovať smernica a ktorý bol následne predmetom ďalších konzultácií najmä so Slovenskou bankovou asociáciou.</w:t>
      </w:r>
    </w:p>
    <w:p w14:paraId="5F236E5E" w14:textId="77777777" w:rsidR="00691335" w:rsidRPr="0069024C" w:rsidRDefault="00691335" w:rsidP="00A81D9D">
      <w:pPr>
        <w:spacing w:before="120" w:after="120" w:line="276" w:lineRule="auto"/>
        <w:jc w:val="both"/>
        <w:rPr>
          <w:rFonts w:ascii="Times New Roman" w:hAnsi="Times New Roman" w:cs="Times New Roman"/>
          <w:sz w:val="24"/>
          <w:szCs w:val="24"/>
          <w:shd w:val="clear" w:color="auto" w:fill="FFFFFF"/>
        </w:rPr>
      </w:pPr>
      <w:r w:rsidRPr="0069024C">
        <w:rPr>
          <w:rFonts w:ascii="Times New Roman" w:hAnsi="Times New Roman" w:cs="Times New Roman"/>
          <w:sz w:val="24"/>
          <w:szCs w:val="24"/>
          <w:shd w:val="clear" w:color="auto" w:fill="FFFFFF"/>
        </w:rPr>
        <w:t xml:space="preserve">Dňa 11. 6. 2021 pracovná skupina ministerstva </w:t>
      </w:r>
      <w:r>
        <w:rPr>
          <w:rFonts w:ascii="Times New Roman" w:hAnsi="Times New Roman" w:cs="Times New Roman"/>
          <w:sz w:val="24"/>
          <w:szCs w:val="24"/>
          <w:shd w:val="clear" w:color="auto" w:fill="FFFFFF"/>
        </w:rPr>
        <w:t xml:space="preserve">pozvala na konzultáciu vypracovaného legislatívneho návrhu zákona o riešení hroziaceho úpadku </w:t>
      </w:r>
      <w:r w:rsidRPr="0069024C">
        <w:rPr>
          <w:rFonts w:ascii="Times New Roman" w:hAnsi="Times New Roman" w:cs="Times New Roman"/>
          <w:sz w:val="24"/>
          <w:szCs w:val="24"/>
          <w:shd w:val="clear" w:color="auto" w:fill="FFFFFF"/>
        </w:rPr>
        <w:t>zástupcov Slovenskej bankovej asociácie, zástupcov spolupracujúcich s PWC Slovensko, zástupcov advokátskej obce zaoberajúci</w:t>
      </w:r>
      <w:r>
        <w:rPr>
          <w:rFonts w:ascii="Times New Roman" w:hAnsi="Times New Roman" w:cs="Times New Roman"/>
          <w:sz w:val="24"/>
          <w:szCs w:val="24"/>
          <w:shd w:val="clear" w:color="auto" w:fill="FFFFFF"/>
        </w:rPr>
        <w:t>ch</w:t>
      </w:r>
      <w:r w:rsidRPr="0069024C">
        <w:rPr>
          <w:rFonts w:ascii="Times New Roman" w:hAnsi="Times New Roman" w:cs="Times New Roman"/>
          <w:sz w:val="24"/>
          <w:szCs w:val="24"/>
          <w:shd w:val="clear" w:color="auto" w:fill="FFFFFF"/>
        </w:rPr>
        <w:t xml:space="preserve"> sa najmä transparentnosťou a čistotou podnikateľského prostredia. Predmetom pracovného stretnutia bolo prerokovanie návrhu zákona o riešení hroziaceho úpadku. Na uvedenom pracovnom stretnutí bol vysvetlený koncept, účel, cieľ, systematika a jednotlivé ustanovenia návrhu zákona</w:t>
      </w:r>
      <w:r>
        <w:rPr>
          <w:rFonts w:ascii="Times New Roman" w:hAnsi="Times New Roman" w:cs="Times New Roman"/>
          <w:sz w:val="24"/>
          <w:szCs w:val="24"/>
          <w:shd w:val="clear" w:color="auto" w:fill="FFFFFF"/>
        </w:rPr>
        <w:t>, pričom boli prekonzultované aktuálne položené sporné otázky</w:t>
      </w:r>
      <w:r w:rsidRPr="0069024C">
        <w:rPr>
          <w:rFonts w:ascii="Times New Roman" w:hAnsi="Times New Roman" w:cs="Times New Roman"/>
          <w:sz w:val="24"/>
          <w:szCs w:val="24"/>
          <w:shd w:val="clear" w:color="auto" w:fill="FFFFFF"/>
        </w:rPr>
        <w:t>. Na základe uvedeného</w:t>
      </w:r>
      <w:r>
        <w:rPr>
          <w:rFonts w:ascii="Times New Roman" w:hAnsi="Times New Roman" w:cs="Times New Roman"/>
          <w:sz w:val="24"/>
          <w:szCs w:val="24"/>
          <w:shd w:val="clear" w:color="auto" w:fill="FFFFFF"/>
        </w:rPr>
        <w:t xml:space="preserve"> stretnutia a v súlade so závermi z neho vyplývajúcimi </w:t>
      </w:r>
      <w:r w:rsidRPr="0069024C">
        <w:rPr>
          <w:rFonts w:ascii="Times New Roman" w:hAnsi="Times New Roman" w:cs="Times New Roman"/>
          <w:sz w:val="24"/>
          <w:szCs w:val="24"/>
          <w:shd w:val="clear" w:color="auto" w:fill="FFFFFF"/>
        </w:rPr>
        <w:t>jednotliví účastníci zaslali ministerstvu svoje postrehy, pripomienky a návrhy na doplnenie, ktoré ministerstvo po dôslednom posúdení zapracovalo v čiastočnom rozsahu</w:t>
      </w:r>
      <w:r>
        <w:rPr>
          <w:rFonts w:ascii="Times New Roman" w:hAnsi="Times New Roman" w:cs="Times New Roman"/>
          <w:sz w:val="24"/>
          <w:szCs w:val="24"/>
          <w:shd w:val="clear" w:color="auto" w:fill="FFFFFF"/>
        </w:rPr>
        <w:t xml:space="preserve"> do návrhu zákona, vrátane úpravy nevyhnutných zmien v zákone č. 7/2005 Z. z. o konkurze a reštrukturalizácii a o zmene </w:t>
      </w:r>
      <w:r>
        <w:rPr>
          <w:rFonts w:ascii="Times New Roman" w:hAnsi="Times New Roman" w:cs="Times New Roman"/>
          <w:sz w:val="24"/>
          <w:szCs w:val="24"/>
          <w:shd w:val="clear" w:color="auto" w:fill="FFFFFF"/>
        </w:rPr>
        <w:lastRenderedPageBreak/>
        <w:t xml:space="preserve">a doplnení niektorých zákonov (ďalej len „zákon č. 7/2005 Z. z.“), zákone č. 8/2005 Z. z. o správcoch a o zmene a doplnení niektorých zákonov v znení neskorších predpisov a zákona Slovenskej národnej rady č. 71/1992 Zb. o súdnych poplatkoch </w:t>
      </w:r>
      <w:r w:rsidRPr="009A2D15">
        <w:rPr>
          <w:rFonts w:ascii="Times New Roman" w:eastAsia="Times New Roman" w:hAnsi="Times New Roman" w:cs="Times New Roman"/>
          <w:sz w:val="24"/>
          <w:szCs w:val="24"/>
          <w:lang w:eastAsia="sk-SK"/>
        </w:rPr>
        <w:t xml:space="preserve">a poplatku za výpis z registra trestov v znení </w:t>
      </w:r>
      <w:r>
        <w:rPr>
          <w:rFonts w:ascii="Times New Roman" w:eastAsia="Times New Roman" w:hAnsi="Times New Roman" w:cs="Times New Roman"/>
          <w:sz w:val="24"/>
          <w:szCs w:val="24"/>
          <w:lang w:eastAsia="sk-SK"/>
        </w:rPr>
        <w:t>neskorších predpisov</w:t>
      </w:r>
      <w:r>
        <w:rPr>
          <w:rFonts w:ascii="Times New Roman" w:hAnsi="Times New Roman" w:cs="Times New Roman"/>
          <w:sz w:val="24"/>
          <w:szCs w:val="24"/>
          <w:shd w:val="clear" w:color="auto" w:fill="FFFFFF"/>
        </w:rPr>
        <w:t>, pričom tento bol predmetom následnej konzultácie, ktorá sa uskutočnila dňa 12.7.2021</w:t>
      </w:r>
      <w:r w:rsidRPr="0069024C">
        <w:rPr>
          <w:rFonts w:ascii="Times New Roman" w:hAnsi="Times New Roman" w:cs="Times New Roman"/>
          <w:sz w:val="24"/>
          <w:szCs w:val="24"/>
          <w:shd w:val="clear" w:color="auto" w:fill="FFFFFF"/>
        </w:rPr>
        <w:t>.</w:t>
      </w:r>
    </w:p>
    <w:p w14:paraId="6D4DF2F3" w14:textId="77777777" w:rsidR="00691335" w:rsidRDefault="00691335" w:rsidP="00A81D9D">
      <w:pPr>
        <w:spacing w:before="120" w:after="120" w:line="276" w:lineRule="auto"/>
        <w:jc w:val="both"/>
        <w:rPr>
          <w:rFonts w:ascii="Times New Roman" w:hAnsi="Times New Roman" w:cs="Times New Roman"/>
          <w:sz w:val="24"/>
          <w:szCs w:val="24"/>
        </w:rPr>
      </w:pPr>
      <w:r w:rsidRPr="0069024C">
        <w:rPr>
          <w:rFonts w:ascii="Times New Roman" w:hAnsi="Times New Roman" w:cs="Times New Roman"/>
          <w:sz w:val="24"/>
          <w:szCs w:val="24"/>
        </w:rPr>
        <w:t xml:space="preserve">Výsledkom činnosti pracovných skupín a konzultácií je predložený návrh zákona o riešení hroziaceho úpadku a o zmene a doplnení niektorých zákonov.  </w:t>
      </w:r>
    </w:p>
    <w:p w14:paraId="5512E656" w14:textId="61BC2DC5" w:rsidR="00691335" w:rsidRDefault="00691335" w:rsidP="00A81D9D">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V rámci činnosti externej pracovnej skupiny, ako aj v rámci činnosti pracovnej skupiny ministerstva bolo posudzované alternatívne riešenie transpozície smernice v tom rozsahu, že transpozícia smernice by sa uskutočnila novelizáciou zákona č. 7/2005 Z. z. v časti reštrukturalizácie tak, aby súčasná právna úprava reštrukturalizácie bola určená výlučne na riešenie hroziaceho úpadku právnickej osoby s tým, že súčasná právna úprava by bola pomerne rozsiahlo prepracovaná tak, aby napĺňala požiadavky smernice. Uvedené alternatívne riešenie bolo vyhodnotené externou pracovnou skupinou, rovnako ako pracovnou skupinou ministerstva za neefektívne a netransparentné, nakoľko v súčasnom systéme insolvenčných konaní v Slovenskej republike absentuje komplexný, pomerne jednoduchý, efektívny a transparentný proces riešenia hroziaceho úpadku, ktorý je v súčasnosti aj vzhľadom na dopady pandémie COVID-19 nevyhnutný. Okrem uvedeného obe pracovné skupiny dospeli k záveru, že reštrukturalizáciu, ako proces riešenia úpadku je vhodné ponechať ako jedno z možných insolvenčných konaní, avšak proces tohto insolvenčného konania je nutné stransparentniť. S uvedeným riešením vyslovila súhlas aj Slovenská banková asociácia.</w:t>
      </w:r>
    </w:p>
    <w:p w14:paraId="57FE1ACD" w14:textId="2A6603D9" w:rsidR="002D50CF" w:rsidRDefault="002D50CF" w:rsidP="002D50CF">
      <w:pPr>
        <w:spacing w:before="120" w:after="120" w:line="276" w:lineRule="auto"/>
        <w:jc w:val="both"/>
        <w:rPr>
          <w:rFonts w:ascii="Times New Roman" w:hAnsi="Times New Roman" w:cs="Times New Roman"/>
          <w:sz w:val="24"/>
          <w:szCs w:val="24"/>
        </w:rPr>
      </w:pPr>
    </w:p>
    <w:p w14:paraId="270AF065"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Dňa 19.7.2021 sa uskutočnilo zasadnutie uvedenej pracovnej skupiny na účely diskusie o zapracovaných zmenách k materiálu.</w:t>
      </w:r>
    </w:p>
    <w:p w14:paraId="69B52CD4"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Na úvod stretnutia boli prezentované okruhy tém a problematických ustanovení, ktoré mali byť predmetom diskusie. Ide o nasledovné okruhy:</w:t>
      </w:r>
    </w:p>
    <w:p w14:paraId="6685AE8F" w14:textId="77777777" w:rsidR="002D50CF" w:rsidRPr="002D50CF" w:rsidRDefault="002D50CF" w:rsidP="002D50CF">
      <w:pPr>
        <w:spacing w:before="120" w:after="120" w:line="276" w:lineRule="auto"/>
        <w:ind w:firstLine="708"/>
        <w:jc w:val="both"/>
        <w:rPr>
          <w:rFonts w:ascii="Times New Roman" w:hAnsi="Times New Roman" w:cs="Times New Roman"/>
          <w:sz w:val="24"/>
        </w:rPr>
      </w:pPr>
      <w:r w:rsidRPr="002D50CF">
        <w:rPr>
          <w:rFonts w:ascii="Times New Roman" w:hAnsi="Times New Roman" w:cs="Times New Roman"/>
          <w:sz w:val="24"/>
        </w:rPr>
        <w:t>1. nevyhnutnosť prepracovania § 7 na účely jeho zrozumiteľnosti;</w:t>
      </w:r>
    </w:p>
    <w:p w14:paraId="31869338" w14:textId="77777777" w:rsidR="002D50CF" w:rsidRPr="002D50CF" w:rsidRDefault="002D50CF" w:rsidP="002D50CF">
      <w:pPr>
        <w:spacing w:before="120" w:after="120" w:line="276" w:lineRule="auto"/>
        <w:ind w:firstLine="708"/>
        <w:jc w:val="both"/>
        <w:rPr>
          <w:rFonts w:ascii="Times New Roman" w:hAnsi="Times New Roman" w:cs="Times New Roman"/>
          <w:sz w:val="24"/>
        </w:rPr>
      </w:pPr>
      <w:r w:rsidRPr="002D50CF">
        <w:rPr>
          <w:rFonts w:ascii="Times New Roman" w:hAnsi="Times New Roman" w:cs="Times New Roman"/>
          <w:sz w:val="24"/>
        </w:rPr>
        <w:t>2. posúdenie životaschopnosti podniku;</w:t>
      </w:r>
    </w:p>
    <w:p w14:paraId="12CA9B12" w14:textId="6040831A" w:rsidR="002D50CF" w:rsidRPr="002D50CF" w:rsidRDefault="00526E01" w:rsidP="00FB74DC">
      <w:pPr>
        <w:spacing w:before="120" w:after="120" w:line="276" w:lineRule="auto"/>
        <w:ind w:left="709" w:hanging="1"/>
        <w:jc w:val="both"/>
        <w:rPr>
          <w:rFonts w:ascii="Times New Roman" w:hAnsi="Times New Roman" w:cs="Times New Roman"/>
          <w:sz w:val="24"/>
        </w:rPr>
      </w:pPr>
      <w:r>
        <w:rPr>
          <w:rFonts w:ascii="Times New Roman" w:hAnsi="Times New Roman" w:cs="Times New Roman"/>
          <w:sz w:val="24"/>
        </w:rPr>
        <w:t xml:space="preserve">3. </w:t>
      </w:r>
      <w:r w:rsidR="002D50CF" w:rsidRPr="002D50CF">
        <w:rPr>
          <w:rFonts w:ascii="Times New Roman" w:hAnsi="Times New Roman" w:cs="Times New Roman"/>
          <w:sz w:val="24"/>
        </w:rPr>
        <w:t>otázka obligatórnej dočasnej ochrany v rámci verejnej preventívnej reštrukturalizácie;</w:t>
      </w:r>
    </w:p>
    <w:p w14:paraId="01ABBF36" w14:textId="77777777" w:rsidR="002D50CF" w:rsidRPr="002D50CF" w:rsidRDefault="002D50CF" w:rsidP="002D50CF">
      <w:pPr>
        <w:spacing w:before="120" w:after="120" w:line="276" w:lineRule="auto"/>
        <w:ind w:firstLine="708"/>
        <w:jc w:val="both"/>
        <w:rPr>
          <w:rFonts w:ascii="Times New Roman" w:hAnsi="Times New Roman" w:cs="Times New Roman"/>
          <w:sz w:val="24"/>
        </w:rPr>
      </w:pPr>
      <w:r w:rsidRPr="002D50CF">
        <w:rPr>
          <w:rFonts w:ascii="Times New Roman" w:hAnsi="Times New Roman" w:cs="Times New Roman"/>
          <w:sz w:val="24"/>
        </w:rPr>
        <w:t>4. krízové financovanie;</w:t>
      </w:r>
    </w:p>
    <w:p w14:paraId="34D31A8A" w14:textId="77777777" w:rsidR="002D50CF" w:rsidRPr="002D50CF" w:rsidRDefault="002D50CF" w:rsidP="002D50CF">
      <w:pPr>
        <w:spacing w:before="120" w:after="120" w:line="276" w:lineRule="auto"/>
        <w:ind w:firstLine="708"/>
        <w:jc w:val="both"/>
        <w:rPr>
          <w:rFonts w:ascii="Times New Roman" w:hAnsi="Times New Roman" w:cs="Times New Roman"/>
          <w:sz w:val="24"/>
        </w:rPr>
      </w:pPr>
      <w:r w:rsidRPr="002D50CF">
        <w:rPr>
          <w:rFonts w:ascii="Times New Roman" w:hAnsi="Times New Roman" w:cs="Times New Roman"/>
          <w:sz w:val="24"/>
        </w:rPr>
        <w:t>5. postavenie poradcu a správcu vo verejnej preventívnej reštrukturalizácii;</w:t>
      </w:r>
    </w:p>
    <w:p w14:paraId="21ADE226" w14:textId="77777777" w:rsidR="002D50CF" w:rsidRPr="002D50CF" w:rsidRDefault="002D50CF" w:rsidP="002D50CF">
      <w:pPr>
        <w:spacing w:before="120" w:after="120" w:line="276" w:lineRule="auto"/>
        <w:ind w:firstLine="708"/>
        <w:jc w:val="both"/>
        <w:rPr>
          <w:rFonts w:ascii="Times New Roman" w:hAnsi="Times New Roman" w:cs="Times New Roman"/>
          <w:sz w:val="24"/>
        </w:rPr>
      </w:pPr>
      <w:r w:rsidRPr="002D50CF">
        <w:rPr>
          <w:rFonts w:ascii="Times New Roman" w:hAnsi="Times New Roman" w:cs="Times New Roman"/>
          <w:sz w:val="24"/>
        </w:rPr>
        <w:t>6. úprava neodkladných opatrení.</w:t>
      </w:r>
    </w:p>
    <w:p w14:paraId="26C99742" w14:textId="77777777" w:rsidR="002D50CF" w:rsidRPr="002D50CF" w:rsidRDefault="002D50CF" w:rsidP="002D50CF">
      <w:pPr>
        <w:spacing w:before="120" w:after="120" w:line="276" w:lineRule="auto"/>
        <w:ind w:firstLine="708"/>
        <w:jc w:val="both"/>
        <w:rPr>
          <w:rFonts w:ascii="Times New Roman" w:hAnsi="Times New Roman" w:cs="Times New Roman"/>
          <w:sz w:val="24"/>
        </w:rPr>
      </w:pPr>
    </w:p>
    <w:p w14:paraId="1EBC9572"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 xml:space="preserve">1. Ustanovenie § 7 bude prepracované na účely zjednoznačnenia textu. Je potrebné vymedziť cieľ ustanovenia, ktorým je zafixovať mieru uspokojenia veriteľov oproti tomu, čo sa bude schvaľovať na schvaľovacej schôdzi tak, aby verejný preventívny reštrukturalizačný plán bol aspoň v 90% zhodný s konceptom plánu, t. j. aby sa podstatne nelíšil od konceptu plánu. Ak by </w:t>
      </w:r>
      <w:r w:rsidRPr="002D50CF">
        <w:rPr>
          <w:rFonts w:ascii="Times New Roman" w:hAnsi="Times New Roman" w:cs="Times New Roman"/>
          <w:sz w:val="24"/>
        </w:rPr>
        <w:lastRenderedPageBreak/>
        <w:t>bol v podstatnom rozpore s konceptom plánu, súd je oprávnený ho zamietnuť, inak ho schváli, ak nie ej v rozpore so záujmami veriteľov.</w:t>
      </w:r>
    </w:p>
    <w:p w14:paraId="43BE016B"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2. SBA upozorňuje na nesprávne chápanie životaschopnosti podniku v § 9. Požaduje sa osvedčenie životaschopnosti podniku odbornou osobou (poradcom alebo správcom) tak, aby nevznikali pochybnosti o tejto skutočnosti. Má sa brať ohľad najmä na cash flow (napr. na obdobie nasledujúcich 12 mesiacov) a na odberateľsko-dodávateľské vzťahy. Uvedenej povinnosti má zodpovedať aj zodpovednosti tejto odbornej osoby.</w:t>
      </w:r>
    </w:p>
    <w:p w14:paraId="6B4938E4"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Diskutované boli aj okruhy posudzovania životaschopnosti podniku, ako finančná línia (cash flow a dlhodobé záväzky), komerčná línia (dodávateľsko-odberateľské vzťahy) a operačná línia (potreby manažérske, napr. zavedenie krízového manažéra).</w:t>
      </w:r>
    </w:p>
    <w:p w14:paraId="7318668E" w14:textId="0F235FD6"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V tejto súvislosti ministerstvo uvádza, že pri riešení tejto problematiky je nutné brať do úvahy odlišnú situáciu v hroziacom úpadku od situácie v insolvencii dlžníka a tú skutočnosť, že v hroziacom úpadku veritelia nie sú vlastníkmi (zatiaľ) ekonomických hodnôt dlžníka, sk</w:t>
      </w:r>
      <w:r w:rsidR="00D72FCF">
        <w:rPr>
          <w:rFonts w:ascii="Times New Roman" w:hAnsi="Times New Roman" w:cs="Times New Roman"/>
          <w:sz w:val="24"/>
        </w:rPr>
        <w:t xml:space="preserve">úsenosti s vypracovávaním reštrukturalizačných </w:t>
      </w:r>
      <w:r w:rsidRPr="002D50CF">
        <w:rPr>
          <w:rFonts w:ascii="Times New Roman" w:hAnsi="Times New Roman" w:cs="Times New Roman"/>
          <w:sz w:val="24"/>
        </w:rPr>
        <w:t xml:space="preserve">posudkov správcami (ktoré nie sú pozitívne), aktuálny trh s odbornými osobami, ktoré by boli reálne schopné takúto otázku posudzovať z hľadiska ich odbornosti, nezávislosti a skúseností, otázky riešenia zodpovednosti týchto osôb a možnosti výberu, atď. </w:t>
      </w:r>
    </w:p>
    <w:p w14:paraId="0A234CCD"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Záverom bolo prijaté stanovisko, že sa tieto pripomienky čiastočne zapracujú do materiálu aj v súlade so závermi ohľadne riešenia otázky zodpovednosti poradcu vo verejnej preventívnej reštrukturalizácii.</w:t>
      </w:r>
    </w:p>
    <w:p w14:paraId="074607A7"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 xml:space="preserve">3. Dočasná ochrana obligatórne poskytnutá vo verejnej preventívnej reštrukturalizácii je navrhovaná z dôvodu zamedzenia nekalých konaní veriteľov, ktorí by mali záujem prekaziť jej priebeh alebo zamedziť prijatiu verejného preventívneho plánu. </w:t>
      </w:r>
    </w:p>
    <w:p w14:paraId="24A04778"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Návrh úpravy bude dopracovaný v materiáli.</w:t>
      </w:r>
    </w:p>
    <w:p w14:paraId="33E28A1B"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4. Bol prezentovaný súhlas s návrhom úprav financovania vo verejnej preventívnej reštrukturalizácii, ktorý bol upravený na základe pripomienok.</w:t>
      </w:r>
    </w:p>
    <w:p w14:paraId="14D8FA8A" w14:textId="77777777" w:rsidR="002D50CF" w:rsidRPr="002D50CF" w:rsidRDefault="002D50CF" w:rsidP="00A81D9D">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5. Opätovne bola prezentovaná potreba zabezpečenia nezávislej odbornej osoby, ktorá by zhodnotila a deklarovala ne/životaschopnosť podniku dlžníka a otázky jej zodpovednosti. Navrhované je nastavenie odmeňovania v pásmach a podľa rôznych kritérií a nastavenie jej činnosti a zodpovednosti za posudzovanie ne/životaschopnosti podniku. Po diskusii bol prijatý záver, že najvhodnejším riešením je vymedzenie základnej povinnosti poradcu vzhľadom na potreby veriteľov súvisiace s poskytnutím súhlasu na poskytnutie dočasnej ochrany, resp. k pristúpeniu k verejnej preventívnej reštrukturalizácii a s tým súvisiacej povinnosti poradcu. Išlo by napríklad o povinnosť aktívne komunikovať s veriteľmi, poskytnúť im kľúčové indikátory k posúdeniu ne/životaschopnosti podniku dlžníka, povinnosť informovať o hospodárení dlžníka, o jeho peňažných tokoch (na najbližších 12 mesiacov) a o dodávateľsko-odberateľskej štruktúre a pod. V súvislosti s uvedeným sa má konštruovať aj zodpovednosť poradcu za porušenie vymedzených povinností.</w:t>
      </w:r>
    </w:p>
    <w:p w14:paraId="7F98B957" w14:textId="76F66D4A" w:rsidR="002D50CF" w:rsidRPr="002D50CF" w:rsidRDefault="002D50CF" w:rsidP="002D50CF">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lastRenderedPageBreak/>
        <w:t>6. Neodkladné opatrenia nesmú byť diktátorské najmä vo vzťahu k veriteľom v tom zmysle, aby ich nedonucovali poskytnúť dlžníkovi napr. financovanie alebo súhlas s dočasnou ochranou.</w:t>
      </w:r>
    </w:p>
    <w:p w14:paraId="7E0BF3F5" w14:textId="7B65D196" w:rsidR="00054C41" w:rsidRDefault="002D50CF" w:rsidP="002D50CF">
      <w:pPr>
        <w:spacing w:before="120" w:after="120" w:line="276" w:lineRule="auto"/>
        <w:jc w:val="both"/>
        <w:rPr>
          <w:rFonts w:ascii="Times New Roman" w:hAnsi="Times New Roman" w:cs="Times New Roman"/>
          <w:sz w:val="24"/>
        </w:rPr>
      </w:pPr>
      <w:r w:rsidRPr="002D50CF">
        <w:rPr>
          <w:rFonts w:ascii="Times New Roman" w:hAnsi="Times New Roman" w:cs="Times New Roman"/>
          <w:sz w:val="24"/>
        </w:rPr>
        <w:t>Záverom bola pracovná skupina informovaná o pripravovaných úpravách v zákone č. 8/2005 Z. z. o správcoch v súvislosti s týmto návrhom zákona, pričom boli poskytnuté informácie o úmysle zriadiť skupinu špecializovaných správcov, ktorí by boli určení pre zložité prípady a ich zriadenie by bolo podmienené realizovaním špeciálnej správcovskej skúšky pred komisiou zloženou z menovaných zástupcov. SBA vyjadrila záujem o účasť v takejto komisii.</w:t>
      </w:r>
    </w:p>
    <w:p w14:paraId="3068B49C" w14:textId="77777777" w:rsidR="00FB74DC" w:rsidRDefault="00FB74DC" w:rsidP="004000E3">
      <w:pPr>
        <w:spacing w:before="120" w:after="120" w:line="276" w:lineRule="auto"/>
        <w:jc w:val="both"/>
        <w:rPr>
          <w:rFonts w:ascii="Times New Roman" w:hAnsi="Times New Roman" w:cs="Times New Roman"/>
          <w:sz w:val="24"/>
        </w:rPr>
      </w:pPr>
    </w:p>
    <w:p w14:paraId="335C86A1" w14:textId="41493450"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Dňa 9. februára 2021 bola zverejnená predbežná informácia podľa § 9 zákona č. 400/2015 Z. z. o tvorbe právnych predpisov a o Zbierke zákonov Slovenskej republiky a o zmene a doplnení niektorých zákonov k návrhu zákona, ktorým sa mení a dopĺňa zákon č. 8/2005 Z. z. o správcoch a o zmene a doplnení niektorých zákonov v znení neskorších predpisov (ďalej len „zákon č. 8/2005 Z. z.“).</w:t>
      </w:r>
    </w:p>
    <w:p w14:paraId="7FA5A4E1"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 xml:space="preserve">Cieľom pripravovanej právnej úpravy je v zmysle zverejnenej predbežnej informácie najmä sprecizovanie úpravy týkajúcej sa vzdelávania správcov, rozsahu a obsahu údajov zapisovaných v zozname správcov, zákonných predpokladov subjektov na zápis do zoznamu správcov vrátane úpravy konania o zápise týchto subjektov do zoznamu správcov, prípadne  ich vyčiarknutia zoznamu správcov, ako aj sprecizovanie úpravy týkajúcej sa výkonu dohľadu nad výkonom správcovskej činnosti vrátane úpravy smerujúcej k odstráneniu administratívnej záťaže pri výkone dohľadu nad výkonom správcovskej činnosti. Okrem uvedeného je cieľom pripravovanej právnej úpravy aj nastavenie rámcov a pravidiel pri výkone správcovskej činnosti v reštrukturalizačnom konaní a konkurznom konaní v súvislosti s transpozíciou smernice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(ďalej len ,,smernica“) do právneho poriadku Slovenskej republiky, resp. nastavenie rámcov a pravidiel výkonu správcovskej činnosti v konaní súvisiacom s pripravovanou právnou úpravou týkajúcou sa nástrojov včasného varovania. </w:t>
      </w:r>
    </w:p>
    <w:p w14:paraId="10B33624"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Na základe zverejnenej predbežnej informácie dňa 11. februára 2021 Slovenská banková asociácia (ďalej len „SBA“) prejavila záujem o konzultácie k tomuto návrhu zákona, pričom v súlade s Jednotnou metodikou na posudzovanie vybraných vplyvov bola konzultácia k pripravovanej právnej úprave realizovaná dňa 28. júna 2021 (online). Prezenčná listina je súčasťou záznamu z konzultácie.</w:t>
      </w:r>
    </w:p>
    <w:p w14:paraId="4630B3DB"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 xml:space="preserve">Účastníci konzultácie boli informovaní o pripravovanom právnom predpise, o úvahách o zvýšení profesionalizácie správcov a ich rozdelení v závislosti od rôznych kritérií, a to najmä v závislosti od veľkosti správcu, odbornosti vrátane ekonomických znalostí, realizovanej praxe, administratívneho aparátu a pod., pričom profesionálni správcovia by mali byť výslovne určení len pre veľké a komplikované prípady a pre realizáciu verejnej preventívnej reštrukturalizácie. </w:t>
      </w:r>
      <w:r w:rsidRPr="004000E3">
        <w:rPr>
          <w:rFonts w:ascii="Times New Roman" w:hAnsi="Times New Roman" w:cs="Times New Roman"/>
          <w:sz w:val="24"/>
        </w:rPr>
        <w:lastRenderedPageBreak/>
        <w:t>Ďalej boli účastníci informovaní o úvahách o úprave výberu správcov tak, aby sa zvýšila ich konkurencieschopnosť, ako aj o úvahách o zriadení externej skúšobnej komisie.</w:t>
      </w:r>
    </w:p>
    <w:p w14:paraId="5570BBEA"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Zástupcovia SBA privítali navrhovaný posun v úpravách zákona č. 8/2005 Z. z., pričom zdôrazňovali potrebu rozdelenia správcov a osobitných podmienok pre výber správcu v závislosti od veľkosti a komplikovanosti konkrétnych prípadov, potrebu špecializácie správcov, úpravy zodpovednosti a odmeňovania správcov, pričom bola vyjadrená požiadavka na zvýšenie odmeny, ako aj elektronizáciu všetkých insolvenčných procesov.</w:t>
      </w:r>
    </w:p>
    <w:p w14:paraId="60E5D44D"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Zástupcovia SBA ďalej zdôrazňovali potrebu špecializácie správcov v takom rozsahu, aby veľké a komplikované prípady, vrátane konkurzov podnikov, boli realizované správcom (jednou osobou), ale aby sa vyžadoval dostatočný administratívny aparát a odborné skúsenosti.</w:t>
      </w:r>
    </w:p>
    <w:p w14:paraId="6C0E7512"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 xml:space="preserve">Zástupcovia SBA prejavili záujem o účasť v prípadnej zriadenej osobitnej skúšobnej komisii správcov. </w:t>
      </w:r>
    </w:p>
    <w:p w14:paraId="01AE3159" w14:textId="77777777" w:rsidR="004000E3" w:rsidRPr="004000E3" w:rsidRDefault="004000E3" w:rsidP="004000E3">
      <w:pPr>
        <w:spacing w:before="120" w:after="120" w:line="276" w:lineRule="auto"/>
        <w:jc w:val="both"/>
        <w:rPr>
          <w:rFonts w:ascii="Times New Roman" w:hAnsi="Times New Roman" w:cs="Times New Roman"/>
          <w:sz w:val="24"/>
        </w:rPr>
      </w:pPr>
      <w:r w:rsidRPr="004000E3">
        <w:rPr>
          <w:rFonts w:ascii="Times New Roman" w:hAnsi="Times New Roman" w:cs="Times New Roman"/>
          <w:sz w:val="24"/>
        </w:rPr>
        <w:t>Výsledkom konzultácie bola zhoda o potrebe zmeny právnej úpravy v prekonzultovanom rozsahu, pričom zástupcovia SBA budú o pripravovanom návrhu zákona informovaní a prípadne im bude zaslaný aj návrh zákona, ktorý bude predložený do predbežného pripomienkového konania v priebehu júla 2021.</w:t>
      </w:r>
    </w:p>
    <w:p w14:paraId="100E9861" w14:textId="48869701" w:rsidR="004000E3" w:rsidRPr="002D50CF" w:rsidRDefault="004000E3" w:rsidP="002D50CF">
      <w:pPr>
        <w:spacing w:before="120" w:after="120" w:line="276" w:lineRule="auto"/>
        <w:jc w:val="both"/>
        <w:rPr>
          <w:rFonts w:ascii="Times New Roman" w:hAnsi="Times New Roman" w:cs="Times New Roman"/>
          <w:sz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5E605E84"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3BFAE11A" w:rsidR="00054C41" w:rsidRPr="003863C6" w:rsidRDefault="00054C41" w:rsidP="00054C41">
      <w:pPr>
        <w:spacing w:after="0"/>
        <w:jc w:val="both"/>
        <w:rPr>
          <w:rFonts w:ascii="Times New Roman" w:eastAsia="Calibri" w:hAnsi="Times New Roman" w:cs="Times New Roman"/>
          <w:sz w:val="24"/>
          <w:szCs w:val="24"/>
        </w:rPr>
      </w:pPr>
    </w:p>
    <w:p w14:paraId="7DBDE90F" w14:textId="4453AD8B" w:rsidR="00054C41"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3DA46A32" w14:textId="6384B757" w:rsidR="003863C6" w:rsidRPr="003863C6" w:rsidRDefault="003863C6" w:rsidP="003863C6">
      <w:pPr>
        <w:spacing w:before="100" w:beforeAutospacing="1" w:after="100" w:afterAutospacing="1"/>
        <w:jc w:val="both"/>
      </w:pPr>
      <w:r>
        <w:rPr>
          <w:rFonts w:ascii="Times New Roman" w:eastAsia="Calibri" w:hAnsi="Times New Roman" w:cs="Times New Roman"/>
          <w:iCs/>
          <w:sz w:val="24"/>
          <w:szCs w:val="24"/>
        </w:rPr>
        <w:t>Predkladaná legislatívna úprava nevytvára ani nemení bariéry na trhu. Takisto nezavádza rôzne špeciálne režimy pre mikro, malé a stredné podniky. Predkladaná legislatívna úprava nemá vplyv na cezhraničné investície. I</w:t>
      </w:r>
      <w:r w:rsidRPr="00390F83">
        <w:rPr>
          <w:rFonts w:ascii="Times New Roman" w:eastAsia="Calibri" w:hAnsi="Times New Roman" w:cs="Times New Roman"/>
          <w:iCs/>
          <w:sz w:val="24"/>
          <w:szCs w:val="24"/>
        </w:rPr>
        <w:t>de o implementáciu insolvenčnej smernice, t.j. obdobnú úpravu s porovnateľnými parametrami musia mať v určitom čase všetky štáty EÚ, naopak, negatívny vplyv (zníženie právnej istoty) by malo, ak by sme smernicu riadne neimplementovali</w:t>
      </w:r>
      <w:r>
        <w:rPr>
          <w:rFonts w:ascii="Times New Roman" w:eastAsia="Calibri" w:hAnsi="Times New Roman" w:cs="Times New Roman"/>
          <w:iCs/>
          <w:sz w:val="24"/>
          <w:szCs w:val="24"/>
        </w:rPr>
        <w:t xml:space="preserve">. Dostupnosť základných zdrojov bude ovplyvnená </w:t>
      </w:r>
      <w:r w:rsidRPr="00390F83">
        <w:rPr>
          <w:rFonts w:ascii="Times New Roman" w:eastAsia="Calibri" w:hAnsi="Times New Roman" w:cs="Times New Roman"/>
          <w:iCs/>
          <w:sz w:val="24"/>
          <w:szCs w:val="24"/>
        </w:rPr>
        <w:t>v špecifických situáciách hroziaceho úpadku</w:t>
      </w:r>
      <w:r>
        <w:rPr>
          <w:rFonts w:ascii="Times New Roman" w:eastAsia="Calibri" w:hAnsi="Times New Roman" w:cs="Times New Roman"/>
          <w:iCs/>
          <w:sz w:val="24"/>
          <w:szCs w:val="24"/>
        </w:rPr>
        <w:t>, kde predkladaná legislatívna úprava</w:t>
      </w:r>
      <w:r w:rsidRPr="00390F83">
        <w:rPr>
          <w:rFonts w:ascii="Times New Roman" w:eastAsia="Calibri" w:hAnsi="Times New Roman" w:cs="Times New Roman"/>
          <w:iCs/>
          <w:sz w:val="24"/>
          <w:szCs w:val="24"/>
        </w:rPr>
        <w:t xml:space="preserve"> vytvorí právny rámec s vyššou právnou istotou pre krízové financovanie</w:t>
      </w:r>
      <w:r>
        <w:rPr>
          <w:rFonts w:ascii="Times New Roman" w:eastAsia="Calibri" w:hAnsi="Times New Roman" w:cs="Times New Roman"/>
          <w:iCs/>
          <w:sz w:val="24"/>
          <w:szCs w:val="24"/>
        </w:rPr>
        <w:t xml:space="preserve">. Nepredpokladá sa vplyv na inovácie, vedu a výskum. Čo sa týka podnikateľského prostredia v porovnaní so susediacimi krajinami EÚ bude </w:t>
      </w:r>
      <w:r w:rsidRPr="003863C6">
        <w:rPr>
          <w:rFonts w:ascii="Times New Roman" w:eastAsia="Calibri" w:hAnsi="Times New Roman" w:cs="Times New Roman"/>
          <w:iCs/>
          <w:sz w:val="24"/>
          <w:szCs w:val="24"/>
        </w:rPr>
        <w:t xml:space="preserve">porovnateľné, nakoľko ide o implementáciu smernice a obdobná právna úprava bude vo všetkých štátoch EÚ, v rámci prípravy sme porovnávali riešenia v rámci členských štátov a </w:t>
      </w:r>
      <w:r w:rsidRPr="003863C6">
        <w:rPr>
          <w:rFonts w:ascii="Times New Roman" w:eastAsia="Calibri" w:hAnsi="Times New Roman" w:cs="Times New Roman"/>
          <w:iCs/>
          <w:sz w:val="24"/>
          <w:szCs w:val="24"/>
        </w:rPr>
        <w:lastRenderedPageBreak/>
        <w:t>mali k dispozícii v rámci európskeho projektu aj poradcu s európskou skúsenosťou s implementáciou smernice</w:t>
      </w:r>
      <w:r>
        <w:rPr>
          <w:rFonts w:ascii="Times New Roman" w:eastAsia="Calibri" w:hAnsi="Times New Roman" w:cs="Times New Roman"/>
          <w:iCs/>
          <w:sz w:val="24"/>
          <w:szCs w:val="24"/>
        </w:rPr>
        <w:t>.</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2A35443B" w:rsidR="00054C41" w:rsidRPr="00D8247C" w:rsidRDefault="00A8125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3863C6">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1C1A176" w14:textId="15C02B22" w:rsidR="00054C41" w:rsidRPr="003863C6" w:rsidRDefault="003863C6" w:rsidP="003863C6">
      <w:pPr>
        <w:spacing w:before="100" w:beforeAutospacing="1" w:after="100" w:afterAutospacing="1"/>
        <w:jc w:val="both"/>
        <w:rPr>
          <w:rFonts w:ascii="Times New Roman" w:eastAsia="Calibri" w:hAnsi="Times New Roman" w:cs="Times New Roman"/>
          <w:iCs/>
          <w:sz w:val="24"/>
          <w:szCs w:val="24"/>
        </w:rPr>
      </w:pPr>
      <w:r w:rsidRPr="003863C6">
        <w:rPr>
          <w:rFonts w:ascii="Times New Roman" w:eastAsia="Calibri" w:hAnsi="Times New Roman" w:cs="Times New Roman"/>
          <w:iCs/>
          <w:sz w:val="24"/>
          <w:szCs w:val="24"/>
        </w:rPr>
        <w:t>Vzhľadom na účel zákona, ktorým je ozdravenie  podnikov pri hroziacom úpadku, t.j. predchádzanie úpadku pri životaschopných podnikoch včasným riešením situácie</w:t>
      </w:r>
      <w:r>
        <w:rPr>
          <w:rFonts w:ascii="Times New Roman" w:eastAsia="Calibri" w:hAnsi="Times New Roman" w:cs="Times New Roman"/>
          <w:iCs/>
          <w:sz w:val="24"/>
          <w:szCs w:val="24"/>
        </w:rPr>
        <w:t>,</w:t>
      </w:r>
      <w:r w:rsidRPr="003863C6">
        <w:rPr>
          <w:rFonts w:ascii="Times New Roman" w:eastAsia="Calibri" w:hAnsi="Times New Roman" w:cs="Times New Roman"/>
          <w:iCs/>
          <w:sz w:val="24"/>
          <w:szCs w:val="24"/>
        </w:rPr>
        <w:t xml:space="preserve"> tak výsledkom by mali byť fina</w:t>
      </w:r>
      <w:r>
        <w:rPr>
          <w:rFonts w:ascii="Times New Roman" w:eastAsia="Calibri" w:hAnsi="Times New Roman" w:cs="Times New Roman"/>
          <w:iCs/>
          <w:sz w:val="24"/>
          <w:szCs w:val="24"/>
        </w:rPr>
        <w:t>n</w:t>
      </w:r>
      <w:r w:rsidRPr="003863C6">
        <w:rPr>
          <w:rFonts w:ascii="Times New Roman" w:eastAsia="Calibri" w:hAnsi="Times New Roman" w:cs="Times New Roman"/>
          <w:iCs/>
          <w:sz w:val="24"/>
          <w:szCs w:val="24"/>
        </w:rPr>
        <w:t>č</w:t>
      </w:r>
      <w:r>
        <w:rPr>
          <w:rFonts w:ascii="Times New Roman" w:eastAsia="Calibri" w:hAnsi="Times New Roman" w:cs="Times New Roman"/>
          <w:iCs/>
          <w:sz w:val="24"/>
          <w:szCs w:val="24"/>
        </w:rPr>
        <w:t xml:space="preserve">ne ozdravené podniky, čo by </w:t>
      </w:r>
      <w:r w:rsidRPr="003863C6">
        <w:rPr>
          <w:rFonts w:ascii="Times New Roman" w:eastAsia="Calibri" w:hAnsi="Times New Roman" w:cs="Times New Roman"/>
          <w:iCs/>
          <w:sz w:val="24"/>
          <w:szCs w:val="24"/>
        </w:rPr>
        <w:t>malo znamenať aj ich vyššiu efektívnosť, samozrejme, nepredpokladá sa plošná aplikácia zákona</w:t>
      </w:r>
      <w:r>
        <w:rPr>
          <w:rFonts w:ascii="Times New Roman" w:eastAsia="Calibri" w:hAnsi="Times New Roman" w:cs="Times New Roman"/>
          <w:iCs/>
          <w:sz w:val="24"/>
          <w:szCs w:val="24"/>
        </w:rPr>
        <w:t>,</w:t>
      </w:r>
      <w:r w:rsidRPr="003863C6">
        <w:rPr>
          <w:rFonts w:ascii="Times New Roman" w:eastAsia="Calibri" w:hAnsi="Times New Roman" w:cs="Times New Roman"/>
          <w:iCs/>
          <w:sz w:val="24"/>
          <w:szCs w:val="24"/>
        </w:rPr>
        <w:t xml:space="preserve"> ale individuálna pri životaschopných podnikoch schopných ozdravenia</w:t>
      </w:r>
      <w:r>
        <w:rPr>
          <w:rFonts w:ascii="Times New Roman" w:eastAsia="Calibri" w:hAnsi="Times New Roman" w:cs="Times New Roman"/>
          <w:iCs/>
          <w:sz w:val="24"/>
          <w:szCs w:val="24"/>
        </w:rPr>
        <w:t>.</w:t>
      </w: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47E1CF99" w:rsidR="00054C41" w:rsidRPr="00D8247C" w:rsidRDefault="00A8125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3863C6">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597E82CA"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656C528D" w14:textId="344C7EFB" w:rsidR="003863C6" w:rsidRDefault="003863C6" w:rsidP="003863C6">
      <w:pPr>
        <w:spacing w:after="0" w:line="254" w:lineRule="auto"/>
        <w:jc w:val="both"/>
        <w:rPr>
          <w:rFonts w:ascii="Times New Roman" w:eastAsia="Calibri" w:hAnsi="Times New Roman" w:cs="Times New Roman"/>
          <w:i/>
          <w:sz w:val="24"/>
          <w:szCs w:val="24"/>
        </w:rPr>
      </w:pPr>
    </w:p>
    <w:p w14:paraId="75B02E09" w14:textId="0ACDCF23" w:rsidR="003863C6" w:rsidRPr="003863C6" w:rsidRDefault="003863C6" w:rsidP="003863C6">
      <w:pPr>
        <w:spacing w:before="100" w:beforeAutospacing="1" w:after="100" w:afterAutospacing="1"/>
        <w:jc w:val="both"/>
        <w:rPr>
          <w:rFonts w:ascii="Times New Roman" w:eastAsia="Calibri" w:hAnsi="Times New Roman" w:cs="Times New Roman"/>
          <w:iCs/>
          <w:sz w:val="24"/>
          <w:szCs w:val="24"/>
        </w:rPr>
      </w:pPr>
      <w:r w:rsidRPr="003863C6">
        <w:rPr>
          <w:rFonts w:ascii="Times New Roman" w:eastAsia="Calibri" w:hAnsi="Times New Roman" w:cs="Times New Roman"/>
          <w:iCs/>
          <w:sz w:val="24"/>
          <w:szCs w:val="24"/>
        </w:rPr>
        <w:t>Ako iný vplyv</w:t>
      </w:r>
      <w:r>
        <w:rPr>
          <w:rFonts w:ascii="Times New Roman" w:eastAsia="Calibri" w:hAnsi="Times New Roman" w:cs="Times New Roman"/>
          <w:iCs/>
          <w:sz w:val="24"/>
          <w:szCs w:val="24"/>
        </w:rPr>
        <w:t xml:space="preserve"> je možné označiť</w:t>
      </w:r>
      <w:r w:rsidRPr="003863C6">
        <w:rPr>
          <w:rFonts w:ascii="Times New Roman" w:eastAsia="Calibri" w:hAnsi="Times New Roman" w:cs="Times New Roman"/>
          <w:iCs/>
          <w:sz w:val="24"/>
          <w:szCs w:val="24"/>
        </w:rPr>
        <w:t xml:space="preserve"> predchádzanie úpadkom, t.</w:t>
      </w:r>
      <w:r w:rsidR="00D72FCF">
        <w:rPr>
          <w:rFonts w:ascii="Times New Roman" w:eastAsia="Calibri" w:hAnsi="Times New Roman" w:cs="Times New Roman"/>
          <w:iCs/>
          <w:sz w:val="24"/>
          <w:szCs w:val="24"/>
        </w:rPr>
        <w:t xml:space="preserve"> </w:t>
      </w:r>
      <w:r w:rsidRPr="003863C6">
        <w:rPr>
          <w:rFonts w:ascii="Times New Roman" w:eastAsia="Calibri" w:hAnsi="Times New Roman" w:cs="Times New Roman"/>
          <w:iCs/>
          <w:sz w:val="24"/>
          <w:szCs w:val="24"/>
        </w:rPr>
        <w:t>j. riešenie problémovej situácie podnikov včas, čo vo výsledku znamená zvýšenie uspokojenia pohľadávok veriteľov.</w:t>
      </w:r>
    </w:p>
    <w:sectPr w:rsidR="003863C6" w:rsidRPr="003863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DCEE" w14:textId="77777777" w:rsidR="00A8125A" w:rsidRDefault="00A8125A" w:rsidP="00054C41">
      <w:pPr>
        <w:spacing w:after="0" w:line="240" w:lineRule="auto"/>
      </w:pPr>
      <w:r>
        <w:separator/>
      </w:r>
    </w:p>
  </w:endnote>
  <w:endnote w:type="continuationSeparator" w:id="0">
    <w:p w14:paraId="2BE70CBD" w14:textId="77777777" w:rsidR="00A8125A" w:rsidRDefault="00A8125A"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4E059BC7" w:rsidR="0035419F" w:rsidRPr="006045CB" w:rsidRDefault="0035419F"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3A2723">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35419F" w:rsidRPr="00FF7125" w:rsidRDefault="0035419F" w:rsidP="00054C41">
    <w:pPr>
      <w:pStyle w:val="Pta"/>
      <w:rPr>
        <w:sz w:val="24"/>
        <w:szCs w:val="24"/>
      </w:rPr>
    </w:pPr>
  </w:p>
  <w:p w14:paraId="68AC3825" w14:textId="77777777" w:rsidR="0035419F" w:rsidRDefault="003541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4F52F" w14:textId="77777777" w:rsidR="00A8125A" w:rsidRDefault="00A8125A" w:rsidP="00054C41">
      <w:pPr>
        <w:spacing w:after="0" w:line="240" w:lineRule="auto"/>
      </w:pPr>
      <w:r>
        <w:separator/>
      </w:r>
    </w:p>
  </w:footnote>
  <w:footnote w:type="continuationSeparator" w:id="0">
    <w:p w14:paraId="6AD785A7" w14:textId="77777777" w:rsidR="00A8125A" w:rsidRDefault="00A8125A" w:rsidP="00054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3C60" w14:textId="35DE3B53" w:rsidR="0035419F" w:rsidRPr="006045CB" w:rsidRDefault="0035419F"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35419F" w:rsidRPr="006045CB" w:rsidRDefault="0035419F" w:rsidP="0014215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22E"/>
    <w:multiLevelType w:val="hybridMultilevel"/>
    <w:tmpl w:val="20642760"/>
    <w:lvl w:ilvl="0" w:tplc="BCF8115A">
      <w:start w:val="37"/>
      <w:numFmt w:val="decimal"/>
      <w:lvlText w:val="%1."/>
      <w:lvlJc w:val="left"/>
      <w:pPr>
        <w:ind w:left="502"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60099"/>
    <w:multiLevelType w:val="hybridMultilevel"/>
    <w:tmpl w:val="1D98B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16C5A04"/>
    <w:multiLevelType w:val="hybridMultilevel"/>
    <w:tmpl w:val="113A4864"/>
    <w:lvl w:ilvl="0" w:tplc="8C7633B6">
      <w:start w:val="46"/>
      <w:numFmt w:val="decimal"/>
      <w:lvlText w:val="%1."/>
      <w:lvlJc w:val="left"/>
      <w:pPr>
        <w:ind w:left="502" w:hanging="360"/>
      </w:pPr>
      <w:rPr>
        <w:rFonts w:hint="default"/>
        <w:i/>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507A47"/>
    <w:multiLevelType w:val="hybridMultilevel"/>
    <w:tmpl w:val="8D50E020"/>
    <w:lvl w:ilvl="0" w:tplc="189C91DE">
      <w:start w:val="35"/>
      <w:numFmt w:val="decimal"/>
      <w:lvlText w:val="%1."/>
      <w:lvlJc w:val="left"/>
      <w:pPr>
        <w:ind w:left="502"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7A2441"/>
    <w:multiLevelType w:val="hybridMultilevel"/>
    <w:tmpl w:val="0DB639BC"/>
    <w:lvl w:ilvl="0" w:tplc="73F039CA">
      <w:start w:val="42"/>
      <w:numFmt w:val="decimal"/>
      <w:lvlText w:val="%1."/>
      <w:lvlJc w:val="left"/>
      <w:pPr>
        <w:ind w:left="502"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9FA2D09"/>
    <w:multiLevelType w:val="hybridMultilevel"/>
    <w:tmpl w:val="F1620758"/>
    <w:lvl w:ilvl="0" w:tplc="129ADD5E">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2315EF"/>
    <w:multiLevelType w:val="hybridMultilevel"/>
    <w:tmpl w:val="4524D276"/>
    <w:lvl w:ilvl="0" w:tplc="888AA9E2">
      <w:start w:val="33"/>
      <w:numFmt w:val="decimal"/>
      <w:lvlText w:val="%1."/>
      <w:lvlJc w:val="left"/>
      <w:pPr>
        <w:ind w:left="502" w:hanging="360"/>
      </w:pPr>
      <w:rPr>
        <w:rFonts w:hint="default"/>
        <w:i/>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
  </w:num>
  <w:num w:numId="2">
    <w:abstractNumId w:val="9"/>
  </w:num>
  <w:num w:numId="3">
    <w:abstractNumId w:val="10"/>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2"/>
  </w:num>
  <w:num w:numId="12">
    <w:abstractNumId w:val="5"/>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046A"/>
    <w:rsid w:val="00017E4A"/>
    <w:rsid w:val="00032AB8"/>
    <w:rsid w:val="00054C41"/>
    <w:rsid w:val="00057307"/>
    <w:rsid w:val="00060DA1"/>
    <w:rsid w:val="00092791"/>
    <w:rsid w:val="000B6A1D"/>
    <w:rsid w:val="000C53A1"/>
    <w:rsid w:val="000C5E9A"/>
    <w:rsid w:val="000E5457"/>
    <w:rsid w:val="001005EF"/>
    <w:rsid w:val="001228FB"/>
    <w:rsid w:val="00142154"/>
    <w:rsid w:val="00143C05"/>
    <w:rsid w:val="00172FFE"/>
    <w:rsid w:val="00191105"/>
    <w:rsid w:val="00195011"/>
    <w:rsid w:val="001A1443"/>
    <w:rsid w:val="001A7191"/>
    <w:rsid w:val="001B4C03"/>
    <w:rsid w:val="001D1083"/>
    <w:rsid w:val="001D1E8C"/>
    <w:rsid w:val="001D3FA0"/>
    <w:rsid w:val="001D68B2"/>
    <w:rsid w:val="001E53CB"/>
    <w:rsid w:val="001F16B3"/>
    <w:rsid w:val="001F189B"/>
    <w:rsid w:val="001F4DCC"/>
    <w:rsid w:val="00214287"/>
    <w:rsid w:val="00225A83"/>
    <w:rsid w:val="00230355"/>
    <w:rsid w:val="002572CF"/>
    <w:rsid w:val="00270EA5"/>
    <w:rsid w:val="0027190C"/>
    <w:rsid w:val="002907C9"/>
    <w:rsid w:val="002A0804"/>
    <w:rsid w:val="002C2FA6"/>
    <w:rsid w:val="002C4301"/>
    <w:rsid w:val="002D50CF"/>
    <w:rsid w:val="002E201F"/>
    <w:rsid w:val="00325863"/>
    <w:rsid w:val="00340730"/>
    <w:rsid w:val="00340CFD"/>
    <w:rsid w:val="0035419F"/>
    <w:rsid w:val="0038255E"/>
    <w:rsid w:val="003863C6"/>
    <w:rsid w:val="00390DE0"/>
    <w:rsid w:val="00390F83"/>
    <w:rsid w:val="00391648"/>
    <w:rsid w:val="0039304E"/>
    <w:rsid w:val="003A18A2"/>
    <w:rsid w:val="003A2723"/>
    <w:rsid w:val="003A6C8A"/>
    <w:rsid w:val="003B0EDA"/>
    <w:rsid w:val="003D2862"/>
    <w:rsid w:val="003E58B8"/>
    <w:rsid w:val="003F06D7"/>
    <w:rsid w:val="003F1E3A"/>
    <w:rsid w:val="004000E3"/>
    <w:rsid w:val="00403907"/>
    <w:rsid w:val="00424A28"/>
    <w:rsid w:val="0042785B"/>
    <w:rsid w:val="004316BB"/>
    <w:rsid w:val="00445638"/>
    <w:rsid w:val="00446432"/>
    <w:rsid w:val="00455042"/>
    <w:rsid w:val="00486098"/>
    <w:rsid w:val="004A3621"/>
    <w:rsid w:val="004B6925"/>
    <w:rsid w:val="004D20CB"/>
    <w:rsid w:val="0050467E"/>
    <w:rsid w:val="00526E01"/>
    <w:rsid w:val="00530E95"/>
    <w:rsid w:val="00531AA5"/>
    <w:rsid w:val="00542D47"/>
    <w:rsid w:val="00551061"/>
    <w:rsid w:val="0056297F"/>
    <w:rsid w:val="00571BAC"/>
    <w:rsid w:val="005E73E2"/>
    <w:rsid w:val="00610429"/>
    <w:rsid w:val="00615CC0"/>
    <w:rsid w:val="00622D7A"/>
    <w:rsid w:val="00683ECF"/>
    <w:rsid w:val="00691335"/>
    <w:rsid w:val="00707B4E"/>
    <w:rsid w:val="00710E4F"/>
    <w:rsid w:val="007243C1"/>
    <w:rsid w:val="007259CB"/>
    <w:rsid w:val="00731E69"/>
    <w:rsid w:val="0073759A"/>
    <w:rsid w:val="0075668F"/>
    <w:rsid w:val="0077106D"/>
    <w:rsid w:val="00784F37"/>
    <w:rsid w:val="007B40FB"/>
    <w:rsid w:val="007C3289"/>
    <w:rsid w:val="007D4A4B"/>
    <w:rsid w:val="007E24B2"/>
    <w:rsid w:val="00853691"/>
    <w:rsid w:val="008634E9"/>
    <w:rsid w:val="008716D7"/>
    <w:rsid w:val="008801B5"/>
    <w:rsid w:val="008B4AA1"/>
    <w:rsid w:val="008C053D"/>
    <w:rsid w:val="008C1C71"/>
    <w:rsid w:val="008C73DD"/>
    <w:rsid w:val="008E788D"/>
    <w:rsid w:val="00923C0C"/>
    <w:rsid w:val="009241FE"/>
    <w:rsid w:val="00934D07"/>
    <w:rsid w:val="00963185"/>
    <w:rsid w:val="00965AE9"/>
    <w:rsid w:val="00967284"/>
    <w:rsid w:val="009724F9"/>
    <w:rsid w:val="0098387D"/>
    <w:rsid w:val="009A4D56"/>
    <w:rsid w:val="009D68EC"/>
    <w:rsid w:val="009E09F7"/>
    <w:rsid w:val="009F6024"/>
    <w:rsid w:val="00A000DA"/>
    <w:rsid w:val="00A1736E"/>
    <w:rsid w:val="00A41255"/>
    <w:rsid w:val="00A8125A"/>
    <w:rsid w:val="00A81D9D"/>
    <w:rsid w:val="00A9665C"/>
    <w:rsid w:val="00AB081D"/>
    <w:rsid w:val="00AB3AE4"/>
    <w:rsid w:val="00AC1670"/>
    <w:rsid w:val="00AE6C5A"/>
    <w:rsid w:val="00B054D6"/>
    <w:rsid w:val="00B234BB"/>
    <w:rsid w:val="00B23794"/>
    <w:rsid w:val="00B36124"/>
    <w:rsid w:val="00B518C4"/>
    <w:rsid w:val="00B5243A"/>
    <w:rsid w:val="00B66E33"/>
    <w:rsid w:val="00B84170"/>
    <w:rsid w:val="00B97616"/>
    <w:rsid w:val="00BD0EF7"/>
    <w:rsid w:val="00BD487A"/>
    <w:rsid w:val="00BF07EF"/>
    <w:rsid w:val="00BF1756"/>
    <w:rsid w:val="00C06F93"/>
    <w:rsid w:val="00C15B5E"/>
    <w:rsid w:val="00C21399"/>
    <w:rsid w:val="00C5374B"/>
    <w:rsid w:val="00C560C4"/>
    <w:rsid w:val="00C6748F"/>
    <w:rsid w:val="00CA6831"/>
    <w:rsid w:val="00CD4E01"/>
    <w:rsid w:val="00D005F2"/>
    <w:rsid w:val="00D02791"/>
    <w:rsid w:val="00D074D7"/>
    <w:rsid w:val="00D11CA4"/>
    <w:rsid w:val="00D137F0"/>
    <w:rsid w:val="00D16F30"/>
    <w:rsid w:val="00D177D0"/>
    <w:rsid w:val="00D45122"/>
    <w:rsid w:val="00D56084"/>
    <w:rsid w:val="00D56A3A"/>
    <w:rsid w:val="00D631FA"/>
    <w:rsid w:val="00D72FCF"/>
    <w:rsid w:val="00D82356"/>
    <w:rsid w:val="00D83781"/>
    <w:rsid w:val="00D84EEE"/>
    <w:rsid w:val="00D90A61"/>
    <w:rsid w:val="00D9564A"/>
    <w:rsid w:val="00D9693D"/>
    <w:rsid w:val="00DB7C6F"/>
    <w:rsid w:val="00DC2D58"/>
    <w:rsid w:val="00E030DA"/>
    <w:rsid w:val="00E35616"/>
    <w:rsid w:val="00E37219"/>
    <w:rsid w:val="00E64D7C"/>
    <w:rsid w:val="00E72408"/>
    <w:rsid w:val="00E86F1E"/>
    <w:rsid w:val="00E90DF6"/>
    <w:rsid w:val="00EA6040"/>
    <w:rsid w:val="00EB2BEC"/>
    <w:rsid w:val="00EC0704"/>
    <w:rsid w:val="00ED3755"/>
    <w:rsid w:val="00ED6B5D"/>
    <w:rsid w:val="00EE4C99"/>
    <w:rsid w:val="00EF19F4"/>
    <w:rsid w:val="00F237BF"/>
    <w:rsid w:val="00F31A4B"/>
    <w:rsid w:val="00F418E0"/>
    <w:rsid w:val="00F41BBC"/>
    <w:rsid w:val="00F74FC9"/>
    <w:rsid w:val="00F77D3F"/>
    <w:rsid w:val="00FB74DC"/>
    <w:rsid w:val="00FC2FE1"/>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5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7764993686603796800msolistparagraph">
    <w:name w:val="gmail-m_7764993686603796800msolistparagraph"/>
    <w:basedOn w:val="Normlny"/>
    <w:rsid w:val="003863C6"/>
    <w:pPr>
      <w:spacing w:before="100" w:beforeAutospacing="1" w:after="100" w:afterAutospacing="1" w:line="240" w:lineRule="auto"/>
    </w:pPr>
    <w:rPr>
      <w:rFonts w:ascii="Times New Roman" w:hAnsi="Times New Roman" w:cs="Times New Roman"/>
      <w:sz w:val="24"/>
      <w:szCs w:val="24"/>
      <w:lang w:eastAsia="sk-SK"/>
    </w:rPr>
  </w:style>
  <w:style w:type="paragraph" w:styleId="Revzia">
    <w:name w:val="Revision"/>
    <w:hidden/>
    <w:uiPriority w:val="99"/>
    <w:semiHidden/>
    <w:rsid w:val="00ED3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2742">
      <w:bodyDiv w:val="1"/>
      <w:marLeft w:val="0"/>
      <w:marRight w:val="0"/>
      <w:marTop w:val="0"/>
      <w:marBottom w:val="0"/>
      <w:divBdr>
        <w:top w:val="none" w:sz="0" w:space="0" w:color="auto"/>
        <w:left w:val="none" w:sz="0" w:space="0" w:color="auto"/>
        <w:bottom w:val="none" w:sz="0" w:space="0" w:color="auto"/>
        <w:right w:val="none" w:sz="0" w:space="0" w:color="auto"/>
      </w:divBdr>
    </w:div>
    <w:div w:id="396325316">
      <w:bodyDiv w:val="1"/>
      <w:marLeft w:val="0"/>
      <w:marRight w:val="0"/>
      <w:marTop w:val="0"/>
      <w:marBottom w:val="0"/>
      <w:divBdr>
        <w:top w:val="none" w:sz="0" w:space="0" w:color="auto"/>
        <w:left w:val="none" w:sz="0" w:space="0" w:color="auto"/>
        <w:bottom w:val="none" w:sz="0" w:space="0" w:color="auto"/>
        <w:right w:val="none" w:sz="0" w:space="0" w:color="auto"/>
      </w:divBdr>
    </w:div>
    <w:div w:id="445852058">
      <w:bodyDiv w:val="1"/>
      <w:marLeft w:val="0"/>
      <w:marRight w:val="0"/>
      <w:marTop w:val="0"/>
      <w:marBottom w:val="0"/>
      <w:divBdr>
        <w:top w:val="none" w:sz="0" w:space="0" w:color="auto"/>
        <w:left w:val="none" w:sz="0" w:space="0" w:color="auto"/>
        <w:bottom w:val="none" w:sz="0" w:space="0" w:color="auto"/>
        <w:right w:val="none" w:sz="0" w:space="0" w:color="auto"/>
      </w:divBdr>
    </w:div>
    <w:div w:id="82813472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79005199">
      <w:bodyDiv w:val="1"/>
      <w:marLeft w:val="0"/>
      <w:marRight w:val="0"/>
      <w:marTop w:val="0"/>
      <w:marBottom w:val="0"/>
      <w:divBdr>
        <w:top w:val="none" w:sz="0" w:space="0" w:color="auto"/>
        <w:left w:val="none" w:sz="0" w:space="0" w:color="auto"/>
        <w:bottom w:val="none" w:sz="0" w:space="0" w:color="auto"/>
        <w:right w:val="none" w:sz="0" w:space="0" w:color="auto"/>
      </w:divBdr>
    </w:div>
    <w:div w:id="1179200702">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6558527">
      <w:bodyDiv w:val="1"/>
      <w:marLeft w:val="0"/>
      <w:marRight w:val="0"/>
      <w:marTop w:val="0"/>
      <w:marBottom w:val="0"/>
      <w:divBdr>
        <w:top w:val="none" w:sz="0" w:space="0" w:color="auto"/>
        <w:left w:val="none" w:sz="0" w:space="0" w:color="auto"/>
        <w:bottom w:val="none" w:sz="0" w:space="0" w:color="auto"/>
        <w:right w:val="none" w:sz="0" w:space="0" w:color="auto"/>
      </w:divBdr>
    </w:div>
    <w:div w:id="1385835322">
      <w:bodyDiv w:val="1"/>
      <w:marLeft w:val="0"/>
      <w:marRight w:val="0"/>
      <w:marTop w:val="0"/>
      <w:marBottom w:val="0"/>
      <w:divBdr>
        <w:top w:val="none" w:sz="0" w:space="0" w:color="auto"/>
        <w:left w:val="none" w:sz="0" w:space="0" w:color="auto"/>
        <w:bottom w:val="none" w:sz="0" w:space="0" w:color="auto"/>
        <w:right w:val="none" w:sz="0" w:space="0" w:color="auto"/>
      </w:divBdr>
    </w:div>
    <w:div w:id="1395158767">
      <w:bodyDiv w:val="1"/>
      <w:marLeft w:val="0"/>
      <w:marRight w:val="0"/>
      <w:marTop w:val="0"/>
      <w:marBottom w:val="0"/>
      <w:divBdr>
        <w:top w:val="none" w:sz="0" w:space="0" w:color="auto"/>
        <w:left w:val="none" w:sz="0" w:space="0" w:color="auto"/>
        <w:bottom w:val="none" w:sz="0" w:space="0" w:color="auto"/>
        <w:right w:val="none" w:sz="0" w:space="0" w:color="auto"/>
      </w:divBdr>
    </w:div>
    <w:div w:id="1436487506">
      <w:bodyDiv w:val="1"/>
      <w:marLeft w:val="0"/>
      <w:marRight w:val="0"/>
      <w:marTop w:val="0"/>
      <w:marBottom w:val="0"/>
      <w:divBdr>
        <w:top w:val="none" w:sz="0" w:space="0" w:color="auto"/>
        <w:left w:val="none" w:sz="0" w:space="0" w:color="auto"/>
        <w:bottom w:val="none" w:sz="0" w:space="0" w:color="auto"/>
        <w:right w:val="none" w:sz="0" w:space="0" w:color="auto"/>
      </w:divBdr>
    </w:div>
    <w:div w:id="1441338910">
      <w:bodyDiv w:val="1"/>
      <w:marLeft w:val="0"/>
      <w:marRight w:val="0"/>
      <w:marTop w:val="0"/>
      <w:marBottom w:val="0"/>
      <w:divBdr>
        <w:top w:val="none" w:sz="0" w:space="0" w:color="auto"/>
        <w:left w:val="none" w:sz="0" w:space="0" w:color="auto"/>
        <w:bottom w:val="none" w:sz="0" w:space="0" w:color="auto"/>
        <w:right w:val="none" w:sz="0" w:space="0" w:color="auto"/>
      </w:divBdr>
    </w:div>
    <w:div w:id="146816442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73483349">
      <w:bodyDiv w:val="1"/>
      <w:marLeft w:val="0"/>
      <w:marRight w:val="0"/>
      <w:marTop w:val="0"/>
      <w:marBottom w:val="0"/>
      <w:divBdr>
        <w:top w:val="none" w:sz="0" w:space="0" w:color="auto"/>
        <w:left w:val="none" w:sz="0" w:space="0" w:color="auto"/>
        <w:bottom w:val="none" w:sz="0" w:space="0" w:color="auto"/>
        <w:right w:val="none" w:sz="0" w:space="0" w:color="auto"/>
      </w:divBdr>
    </w:div>
    <w:div w:id="1719621941">
      <w:bodyDiv w:val="1"/>
      <w:marLeft w:val="0"/>
      <w:marRight w:val="0"/>
      <w:marTop w:val="0"/>
      <w:marBottom w:val="0"/>
      <w:divBdr>
        <w:top w:val="none" w:sz="0" w:space="0" w:color="auto"/>
        <w:left w:val="none" w:sz="0" w:space="0" w:color="auto"/>
        <w:bottom w:val="none" w:sz="0" w:space="0" w:color="auto"/>
        <w:right w:val="none" w:sz="0" w:space="0" w:color="auto"/>
      </w:divBdr>
    </w:div>
    <w:div w:id="1748574497">
      <w:bodyDiv w:val="1"/>
      <w:marLeft w:val="0"/>
      <w:marRight w:val="0"/>
      <w:marTop w:val="0"/>
      <w:marBottom w:val="0"/>
      <w:divBdr>
        <w:top w:val="none" w:sz="0" w:space="0" w:color="auto"/>
        <w:left w:val="none" w:sz="0" w:space="0" w:color="auto"/>
        <w:bottom w:val="none" w:sz="0" w:space="0" w:color="auto"/>
        <w:right w:val="none" w:sz="0" w:space="0" w:color="auto"/>
      </w:divBdr>
    </w:div>
    <w:div w:id="1834450583">
      <w:bodyDiv w:val="1"/>
      <w:marLeft w:val="0"/>
      <w:marRight w:val="0"/>
      <w:marTop w:val="0"/>
      <w:marBottom w:val="0"/>
      <w:divBdr>
        <w:top w:val="none" w:sz="0" w:space="0" w:color="auto"/>
        <w:left w:val="none" w:sz="0" w:space="0" w:color="auto"/>
        <w:bottom w:val="none" w:sz="0" w:space="0" w:color="auto"/>
        <w:right w:val="none" w:sz="0" w:space="0" w:color="auto"/>
      </w:divBdr>
    </w:div>
    <w:div w:id="2022975321">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14E9D9-F331-4AB4-A13B-A0FE7517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10000</Words>
  <Characters>57002</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2021-12-16T11:51:00Z</dcterms:created>
  <dcterms:modified xsi:type="dcterms:W3CDTF">2021-12-16T11:52:00Z</dcterms:modified>
</cp:coreProperties>
</file>