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5DE" w:rsidRPr="00CF38ED" w:rsidRDefault="00CD75DE" w:rsidP="00CD75DE">
      <w:pPr>
        <w:jc w:val="center"/>
        <w:rPr>
          <w:rFonts w:ascii="Times New Roman" w:eastAsia="Calibri" w:hAnsi="Times New Roman" w:cs="Times New Roman"/>
          <w:b/>
          <w:sz w:val="28"/>
          <w:szCs w:val="28"/>
        </w:rPr>
      </w:pPr>
      <w:r w:rsidRPr="00CF38ED">
        <w:rPr>
          <w:rFonts w:ascii="Times New Roman" w:eastAsia="Calibri" w:hAnsi="Times New Roman" w:cs="Times New Roman"/>
          <w:b/>
          <w:sz w:val="28"/>
          <w:szCs w:val="28"/>
        </w:rPr>
        <w:t>Analýza vplyvov na podnikateľské prostredie</w:t>
      </w:r>
    </w:p>
    <w:p w:rsidR="00CD75DE" w:rsidRPr="00CF38ED" w:rsidRDefault="00CD75DE" w:rsidP="00CD75DE">
      <w:pPr>
        <w:spacing w:after="0"/>
        <w:jc w:val="both"/>
        <w:rPr>
          <w:rFonts w:ascii="Times New Roman" w:eastAsia="Arial" w:hAnsi="Times New Roman" w:cs="Times New Roman"/>
          <w:bCs/>
          <w:sz w:val="24"/>
          <w:szCs w:val="24"/>
          <w:lang w:eastAsia="sk-SK"/>
        </w:rPr>
      </w:pPr>
      <w:r w:rsidRPr="00CF38ED">
        <w:rPr>
          <w:rFonts w:ascii="Times New Roman" w:eastAsia="Calibri" w:hAnsi="Times New Roman" w:cs="Times New Roman"/>
          <w:b/>
          <w:sz w:val="24"/>
          <w:szCs w:val="24"/>
        </w:rPr>
        <w:t xml:space="preserve">Názov materiálu: </w:t>
      </w:r>
      <w:r w:rsidRPr="00CF38ED">
        <w:rPr>
          <w:rFonts w:ascii="Times New Roman" w:eastAsia="Times New Roman" w:hAnsi="Times New Roman" w:cs="Times New Roman"/>
          <w:sz w:val="24"/>
          <w:szCs w:val="24"/>
          <w:lang w:eastAsia="sk-SK"/>
        </w:rPr>
        <w:t xml:space="preserve">Návrh zákona, ktorým sa mení a dopĺňa zákon č. 262/2014 Z. z. o pôsobnosti orgánov </w:t>
      </w:r>
      <w:r w:rsidRPr="00CF38ED">
        <w:rPr>
          <w:rFonts w:ascii="Times New Roman" w:eastAsia="Arial" w:hAnsi="Times New Roman" w:cs="Times New Roman"/>
          <w:bCs/>
          <w:sz w:val="24"/>
          <w:szCs w:val="24"/>
          <w:lang w:eastAsia="sk-SK"/>
        </w:rPr>
        <w:t>štátnej správy vo veciach prekurzorov výbušnín</w:t>
      </w:r>
      <w:bookmarkStart w:id="0" w:name="_GoBack"/>
      <w:bookmarkEnd w:id="0"/>
      <w:r w:rsidRPr="00CF38ED">
        <w:rPr>
          <w:rFonts w:ascii="Times New Roman" w:eastAsia="Arial" w:hAnsi="Times New Roman" w:cs="Times New Roman"/>
          <w:bCs/>
          <w:sz w:val="24"/>
          <w:szCs w:val="24"/>
          <w:lang w:eastAsia="sk-SK"/>
        </w:rPr>
        <w:t xml:space="preserve"> </w:t>
      </w:r>
      <w:r w:rsidRPr="002F35B5">
        <w:rPr>
          <w:rFonts w:ascii="Times New Roman" w:eastAsia="Arial" w:hAnsi="Times New Roman" w:cs="Times New Roman"/>
          <w:bCs/>
          <w:sz w:val="24"/>
          <w:szCs w:val="24"/>
          <w:lang w:eastAsia="sk-SK"/>
        </w:rPr>
        <w:t>a o zmene a doplnení niektorých zákonov</w:t>
      </w:r>
      <w:r w:rsidRPr="00CF38ED">
        <w:rPr>
          <w:rFonts w:ascii="Times New Roman" w:eastAsia="Arial" w:hAnsi="Times New Roman" w:cs="Times New Roman"/>
          <w:bCs/>
          <w:sz w:val="24"/>
          <w:szCs w:val="24"/>
          <w:lang w:eastAsia="sk-SK"/>
        </w:rPr>
        <w:t xml:space="preserve"> (ďalej len „</w:t>
      </w:r>
      <w:r w:rsidRPr="00CF38ED">
        <w:rPr>
          <w:rFonts w:ascii="Times New Roman" w:eastAsia="Times New Roman" w:hAnsi="Times New Roman" w:cs="Times New Roman"/>
          <w:sz w:val="24"/>
          <w:szCs w:val="24"/>
          <w:lang w:eastAsia="sk-SK"/>
        </w:rPr>
        <w:t>Návrh zákona, ktorým sa mení a dopĺňa zákon č. 262/2014 Z. z.“)</w:t>
      </w:r>
    </w:p>
    <w:p w:rsidR="00CD75DE" w:rsidRPr="00CF38ED" w:rsidRDefault="00CD75DE" w:rsidP="00CD75DE">
      <w:pPr>
        <w:spacing w:after="0"/>
        <w:jc w:val="both"/>
        <w:rPr>
          <w:rFonts w:ascii="Times New Roman" w:eastAsia="Arial" w:hAnsi="Times New Roman" w:cs="Times New Roman"/>
          <w:bCs/>
          <w:sz w:val="24"/>
          <w:szCs w:val="24"/>
          <w:lang w:eastAsia="sk-SK"/>
        </w:rPr>
      </w:pPr>
      <w:r w:rsidRPr="00CF38ED">
        <w:rPr>
          <w:rFonts w:ascii="Times New Roman" w:eastAsia="Calibri" w:hAnsi="Times New Roman" w:cs="Times New Roman"/>
          <w:b/>
          <w:sz w:val="24"/>
          <w:szCs w:val="24"/>
        </w:rPr>
        <w:t xml:space="preserve">Predkladateľ: </w:t>
      </w:r>
      <w:r w:rsidRPr="00CF38ED">
        <w:rPr>
          <w:rFonts w:ascii="Times New Roman" w:eastAsia="Arial" w:hAnsi="Times New Roman" w:cs="Times New Roman"/>
          <w:bCs/>
          <w:sz w:val="24"/>
          <w:szCs w:val="24"/>
          <w:lang w:eastAsia="sk-SK"/>
        </w:rPr>
        <w:t>Ministerstvo hospodárstva SR</w:t>
      </w:r>
    </w:p>
    <w:p w:rsidR="00F53AE8" w:rsidRDefault="00F53AE8" w:rsidP="00CD75DE">
      <w:pPr>
        <w:jc w:val="both"/>
        <w:rPr>
          <w:rFonts w:ascii="Times New Roman" w:eastAsia="Calibri" w:hAnsi="Times New Roman" w:cs="Times New Roman"/>
          <w:b/>
          <w:sz w:val="24"/>
          <w:szCs w:val="24"/>
        </w:rPr>
      </w:pPr>
    </w:p>
    <w:p w:rsidR="00CD75DE" w:rsidRPr="00CF38ED" w:rsidRDefault="00CD75DE" w:rsidP="00CD75DE">
      <w:pPr>
        <w:jc w:val="both"/>
        <w:rPr>
          <w:rFonts w:ascii="Times New Roman" w:eastAsia="Calibri" w:hAnsi="Times New Roman" w:cs="Times New Roman"/>
          <w:b/>
          <w:sz w:val="24"/>
          <w:szCs w:val="24"/>
        </w:rPr>
      </w:pPr>
      <w:r w:rsidRPr="00CF38ED">
        <w:rPr>
          <w:rFonts w:ascii="Times New Roman" w:eastAsia="Calibri" w:hAnsi="Times New Roman" w:cs="Times New Roman"/>
          <w:b/>
          <w:sz w:val="24"/>
          <w:szCs w:val="24"/>
        </w:rPr>
        <w:t>3.1 Náklady regulácie</w:t>
      </w:r>
    </w:p>
    <w:p w:rsidR="00CD75DE" w:rsidRPr="00CF38ED" w:rsidRDefault="00CD75DE" w:rsidP="00CD75DE">
      <w:pPr>
        <w:tabs>
          <w:tab w:val="left" w:pos="8025"/>
        </w:tabs>
        <w:rPr>
          <w:rFonts w:ascii="Times New Roman" w:eastAsia="Calibri" w:hAnsi="Times New Roman" w:cs="Times New Roman"/>
          <w:bCs/>
          <w:i/>
          <w:iCs/>
          <w:sz w:val="24"/>
          <w:szCs w:val="24"/>
        </w:rPr>
      </w:pPr>
      <w:r w:rsidRPr="00CF38ED">
        <w:rPr>
          <w:rFonts w:ascii="Times New Roman" w:eastAsia="Calibri" w:hAnsi="Times New Roman" w:cs="Times New Roman"/>
          <w:b/>
          <w:i/>
          <w:iCs/>
          <w:sz w:val="24"/>
          <w:szCs w:val="24"/>
        </w:rPr>
        <w:t xml:space="preserve">3.1.1 Súhrnná tabuľka nákladov regulácie </w:t>
      </w:r>
      <w:r w:rsidRPr="00CF38ED">
        <w:rPr>
          <w:rFonts w:ascii="Times New Roman" w:eastAsia="Calibri" w:hAnsi="Times New Roman" w:cs="Times New Roman"/>
          <w:b/>
          <w:i/>
          <w:iCs/>
          <w:sz w:val="24"/>
          <w:szCs w:val="24"/>
        </w:rPr>
        <w:tab/>
      </w:r>
    </w:p>
    <w:p w:rsidR="00CD75DE" w:rsidRPr="00CF38ED" w:rsidRDefault="00CD75DE" w:rsidP="00CD75DE">
      <w:pPr>
        <w:spacing w:after="0"/>
        <w:jc w:val="both"/>
        <w:rPr>
          <w:rFonts w:ascii="Times New Roman" w:eastAsia="Calibri" w:hAnsi="Times New Roman" w:cs="Times New Roman"/>
          <w:b/>
          <w:sz w:val="24"/>
          <w:szCs w:val="24"/>
        </w:rPr>
      </w:pPr>
    </w:p>
    <w:p w:rsidR="00CD75DE" w:rsidRPr="00CF38ED" w:rsidRDefault="00CD75DE" w:rsidP="00CD75DE">
      <w:pPr>
        <w:jc w:val="both"/>
        <w:rPr>
          <w:rFonts w:ascii="Times New Roman" w:eastAsia="Calibri" w:hAnsi="Times New Roman" w:cs="Times New Roman"/>
          <w:i/>
          <w:sz w:val="24"/>
          <w:szCs w:val="24"/>
        </w:rPr>
      </w:pPr>
      <w:r w:rsidRPr="00CF38ED">
        <w:rPr>
          <w:rFonts w:ascii="Times New Roman" w:eastAsia="Calibri" w:hAnsi="Times New Roman" w:cs="Times New Roman"/>
          <w:i/>
          <w:sz w:val="24"/>
          <w:szCs w:val="24"/>
        </w:rPr>
        <w:t xml:space="preserve">Tabuľka č. 1: Zmeny nákladov (ročne) v prepočte na podnikateľské prostredie (PP), vyhodnotenie mechanizmu znižovania byrokracie a nákladov. </w:t>
      </w:r>
    </w:p>
    <w:p w:rsidR="00CD75DE" w:rsidRPr="00CF38ED" w:rsidRDefault="00CD75DE" w:rsidP="00CD75DE">
      <w:pPr>
        <w:jc w:val="both"/>
        <w:rPr>
          <w:rFonts w:ascii="Times New Roman" w:eastAsia="Calibri" w:hAnsi="Times New Roman" w:cs="Times New Roman"/>
          <w:i/>
          <w:sz w:val="24"/>
          <w:szCs w:val="24"/>
        </w:rPr>
      </w:pPr>
      <w:r w:rsidRPr="00CF38ED">
        <w:rPr>
          <w:rFonts w:ascii="Times New Roman" w:eastAsia="Calibri" w:hAnsi="Times New Roman" w:cs="Times New Roman"/>
          <w:i/>
          <w:sz w:val="24"/>
          <w:szCs w:val="24"/>
        </w:rPr>
        <w:t xml:space="preserve">Nahraďte rovnakou tabuľkou po vyplnení Kalkulačky nákladov podnikateľského prostredia, ktorá je povinnou prílohou tejto analýzy a nájdete ju na </w:t>
      </w:r>
      <w:hyperlink r:id="rId6" w:history="1">
        <w:r w:rsidRPr="00CF38ED">
          <w:rPr>
            <w:rFonts w:ascii="Times New Roman" w:eastAsia="Calibri" w:hAnsi="Times New Roman" w:cs="Times New Roman"/>
            <w:i/>
            <w:color w:val="0563C1"/>
            <w:sz w:val="24"/>
            <w:szCs w:val="24"/>
            <w:u w:val="single"/>
          </w:rPr>
          <w:t>webovom sídle MH SR</w:t>
        </w:r>
      </w:hyperlink>
      <w:r w:rsidRPr="00CF38ED">
        <w:rPr>
          <w:rFonts w:ascii="Times New Roman" w:eastAsia="Calibri" w:hAnsi="Times New Roman" w:cs="Times New Roman"/>
          <w:i/>
          <w:sz w:val="24"/>
          <w:szCs w:val="24"/>
        </w:rPr>
        <w:t>, (ďalej len „Kalkulačka nákladov“):</w:t>
      </w:r>
    </w:p>
    <w:p w:rsidR="00CD75DE" w:rsidRPr="00CF38ED" w:rsidRDefault="00CD75DE" w:rsidP="00CD75DE">
      <w:pPr>
        <w:spacing w:after="0"/>
        <w:rPr>
          <w:rFonts w:ascii="Times New Roman" w:eastAsia="Calibri" w:hAnsi="Times New Roman" w:cs="Times New Roman"/>
          <w:i/>
        </w:rPr>
      </w:pPr>
    </w:p>
    <w:tbl>
      <w:tblPr>
        <w:tblStyle w:val="Mriekatabuky2"/>
        <w:tblW w:w="9067" w:type="dxa"/>
        <w:tblLook w:val="04A0" w:firstRow="1" w:lastRow="0" w:firstColumn="1" w:lastColumn="0" w:noHBand="0" w:noVBand="1"/>
      </w:tblPr>
      <w:tblGrid>
        <w:gridCol w:w="3681"/>
        <w:gridCol w:w="2693"/>
        <w:gridCol w:w="2693"/>
      </w:tblGrid>
      <w:tr w:rsidR="00CD75DE" w:rsidRPr="00CF38ED" w:rsidTr="008D3EB8">
        <w:tc>
          <w:tcPr>
            <w:tcW w:w="3681" w:type="dxa"/>
          </w:tcPr>
          <w:p w:rsidR="00CD75DE" w:rsidRPr="00CF38ED" w:rsidRDefault="00CD75DE" w:rsidP="008D3EB8">
            <w:pPr>
              <w:rPr>
                <w:rFonts w:ascii="Times New Roman" w:eastAsia="Calibri" w:hAnsi="Times New Roman" w:cs="Times New Roman"/>
                <w:b/>
                <w:bCs/>
                <w:i/>
                <w:sz w:val="20"/>
              </w:rPr>
            </w:pPr>
            <w:r w:rsidRPr="00CF38ED">
              <w:rPr>
                <w:rFonts w:ascii="Times New Roman" w:eastAsia="Calibri" w:hAnsi="Times New Roman" w:cs="Times New Roman"/>
                <w:b/>
                <w:bCs/>
                <w:i/>
                <w:sz w:val="20"/>
              </w:rPr>
              <w:t>TYP NÁKLADOV</w:t>
            </w:r>
          </w:p>
        </w:tc>
        <w:tc>
          <w:tcPr>
            <w:tcW w:w="2693" w:type="dxa"/>
            <w:shd w:val="clear" w:color="auto" w:fill="FFC000"/>
          </w:tcPr>
          <w:p w:rsidR="00CD75DE" w:rsidRPr="00CF38ED" w:rsidRDefault="00CD75DE" w:rsidP="008D3EB8">
            <w:pPr>
              <w:jc w:val="center"/>
              <w:rPr>
                <w:rFonts w:ascii="Times New Roman" w:eastAsia="Calibri" w:hAnsi="Times New Roman" w:cs="Times New Roman"/>
                <w:i/>
                <w:sz w:val="20"/>
              </w:rPr>
            </w:pPr>
            <w:r w:rsidRPr="00CF38ED">
              <w:rPr>
                <w:rFonts w:ascii="Times New Roman" w:eastAsia="Calibri" w:hAnsi="Times New Roman" w:cs="Times New Roman"/>
                <w:b/>
                <w:bCs/>
                <w:color w:val="000000"/>
                <w:sz w:val="20"/>
              </w:rPr>
              <w:t>Zvýšenie nákladov v € na PP</w:t>
            </w:r>
          </w:p>
        </w:tc>
        <w:tc>
          <w:tcPr>
            <w:tcW w:w="2693" w:type="dxa"/>
            <w:shd w:val="clear" w:color="auto" w:fill="92D050"/>
          </w:tcPr>
          <w:p w:rsidR="00CD75DE" w:rsidRPr="00CF38ED" w:rsidRDefault="00CD75DE" w:rsidP="008D3EB8">
            <w:pPr>
              <w:jc w:val="center"/>
              <w:rPr>
                <w:rFonts w:ascii="Times New Roman" w:eastAsia="Calibri" w:hAnsi="Times New Roman" w:cs="Times New Roman"/>
                <w:b/>
                <w:bCs/>
                <w:color w:val="000000"/>
                <w:sz w:val="20"/>
              </w:rPr>
            </w:pPr>
            <w:r w:rsidRPr="00CF38ED">
              <w:rPr>
                <w:rFonts w:ascii="Times New Roman" w:eastAsia="Calibri" w:hAnsi="Times New Roman" w:cs="Times New Roman"/>
                <w:b/>
                <w:bCs/>
                <w:color w:val="000000"/>
                <w:sz w:val="20"/>
              </w:rPr>
              <w:t>Zníženie nákladov v € na PP</w:t>
            </w:r>
          </w:p>
        </w:tc>
      </w:tr>
      <w:tr w:rsidR="00CD75DE" w:rsidRPr="00CF38ED" w:rsidTr="008D3EB8">
        <w:trPr>
          <w:trHeight w:val="227"/>
        </w:trPr>
        <w:tc>
          <w:tcPr>
            <w:tcW w:w="3681" w:type="dxa"/>
          </w:tcPr>
          <w:p w:rsidR="00CD75DE" w:rsidRPr="00CF38ED" w:rsidRDefault="00CD75DE" w:rsidP="008D3EB8">
            <w:pPr>
              <w:rPr>
                <w:rFonts w:ascii="Times New Roman" w:eastAsia="Calibri" w:hAnsi="Times New Roman" w:cs="Times New Roman"/>
                <w:i/>
                <w:iCs/>
                <w:sz w:val="20"/>
              </w:rPr>
            </w:pPr>
            <w:r w:rsidRPr="00CF38ED">
              <w:rPr>
                <w:rFonts w:ascii="Times New Roman" w:eastAsia="Calibri" w:hAnsi="Times New Roman" w:cs="Times New Roman"/>
                <w:i/>
                <w:iCs/>
                <w:color w:val="000000"/>
                <w:sz w:val="20"/>
              </w:rPr>
              <w:t>A. Dane, odvody, clá a poplatky</w:t>
            </w:r>
            <w:r w:rsidRPr="00CF38ED">
              <w:rPr>
                <w:rFonts w:ascii="Times New Roman" w:eastAsia="Calibri" w:hAnsi="Times New Roman" w:cs="Times New Roman"/>
                <w:sz w:val="24"/>
                <w:szCs w:val="24"/>
              </w:rPr>
              <w:t>,</w:t>
            </w:r>
            <w:r w:rsidRPr="00CF38ED">
              <w:rPr>
                <w:rFonts w:ascii="Times New Roman" w:eastAsia="Calibri" w:hAnsi="Times New Roman" w:cs="Times New Roman"/>
                <w:b/>
                <w:bCs/>
                <w:sz w:val="24"/>
                <w:szCs w:val="24"/>
              </w:rPr>
              <w:t xml:space="preserve"> </w:t>
            </w:r>
            <w:r w:rsidRPr="00CF38ED">
              <w:rPr>
                <w:rFonts w:ascii="Times New Roman" w:eastAsia="Calibri" w:hAnsi="Times New Roman" w:cs="Times New Roman"/>
                <w:i/>
                <w:iCs/>
                <w:color w:val="000000"/>
                <w:sz w:val="20"/>
              </w:rPr>
              <w:t xml:space="preserve">ktorých cieľom je znižovať negatívne </w:t>
            </w:r>
            <w:proofErr w:type="spellStart"/>
            <w:r w:rsidRPr="00CF38ED">
              <w:rPr>
                <w:rFonts w:ascii="Times New Roman" w:eastAsia="Calibri" w:hAnsi="Times New Roman" w:cs="Times New Roman"/>
                <w:i/>
                <w:iCs/>
                <w:color w:val="000000"/>
                <w:sz w:val="20"/>
              </w:rPr>
              <w:t>externality</w:t>
            </w:r>
            <w:proofErr w:type="spellEnd"/>
          </w:p>
        </w:tc>
        <w:tc>
          <w:tcPr>
            <w:tcW w:w="2693" w:type="dxa"/>
            <w:shd w:val="clear" w:color="auto" w:fill="FFC000"/>
          </w:tcPr>
          <w:p w:rsidR="00CD75DE" w:rsidRPr="00CF38ED" w:rsidRDefault="00CD75DE" w:rsidP="008D3EB8">
            <w:pPr>
              <w:jc w:val="center"/>
              <w:rPr>
                <w:rFonts w:ascii="Times New Roman" w:eastAsia="Calibri" w:hAnsi="Times New Roman" w:cs="Times New Roman"/>
                <w:i/>
                <w:sz w:val="20"/>
              </w:rPr>
            </w:pPr>
            <w:r w:rsidRPr="00CF38ED">
              <w:rPr>
                <w:rFonts w:ascii="Times New Roman" w:eastAsia="Calibri" w:hAnsi="Times New Roman" w:cs="Times New Roman"/>
                <w:i/>
                <w:sz w:val="20"/>
              </w:rPr>
              <w:t>0</w:t>
            </w:r>
          </w:p>
        </w:tc>
        <w:tc>
          <w:tcPr>
            <w:tcW w:w="2693" w:type="dxa"/>
            <w:shd w:val="clear" w:color="auto" w:fill="92D050"/>
          </w:tcPr>
          <w:p w:rsidR="00CD75DE" w:rsidRPr="00CF38ED" w:rsidRDefault="00CD75DE" w:rsidP="008D3EB8">
            <w:pPr>
              <w:jc w:val="center"/>
              <w:rPr>
                <w:rFonts w:ascii="Times New Roman" w:eastAsia="Calibri" w:hAnsi="Times New Roman" w:cs="Times New Roman"/>
                <w:i/>
                <w:sz w:val="20"/>
              </w:rPr>
            </w:pPr>
            <w:r w:rsidRPr="00CF38ED">
              <w:rPr>
                <w:rFonts w:ascii="Times New Roman" w:eastAsia="Calibri" w:hAnsi="Times New Roman" w:cs="Times New Roman"/>
                <w:i/>
                <w:sz w:val="20"/>
              </w:rPr>
              <w:t>0</w:t>
            </w:r>
          </w:p>
        </w:tc>
      </w:tr>
      <w:tr w:rsidR="00CD75DE" w:rsidRPr="00CF38ED" w:rsidTr="008D3EB8">
        <w:tc>
          <w:tcPr>
            <w:tcW w:w="3681" w:type="dxa"/>
          </w:tcPr>
          <w:p w:rsidR="00CD75DE" w:rsidRPr="00CF38ED" w:rsidRDefault="00CD75DE" w:rsidP="008D3EB8">
            <w:pPr>
              <w:rPr>
                <w:rFonts w:ascii="Times New Roman" w:eastAsia="Calibri" w:hAnsi="Times New Roman" w:cs="Times New Roman"/>
                <w:i/>
                <w:sz w:val="20"/>
              </w:rPr>
            </w:pPr>
            <w:r w:rsidRPr="00CF38ED">
              <w:rPr>
                <w:rFonts w:ascii="Times New Roman" w:eastAsia="Calibri" w:hAnsi="Times New Roman" w:cs="Times New Roman"/>
                <w:i/>
                <w:sz w:val="20"/>
              </w:rPr>
              <w:t>B. Iné poplatky</w:t>
            </w:r>
          </w:p>
        </w:tc>
        <w:tc>
          <w:tcPr>
            <w:tcW w:w="2693" w:type="dxa"/>
            <w:shd w:val="clear" w:color="auto" w:fill="FFC000"/>
          </w:tcPr>
          <w:p w:rsidR="00CD75DE" w:rsidRPr="00CF38ED" w:rsidRDefault="00CD75DE" w:rsidP="008D3EB8">
            <w:pPr>
              <w:jc w:val="center"/>
              <w:rPr>
                <w:rFonts w:ascii="Times New Roman" w:eastAsia="Calibri" w:hAnsi="Times New Roman" w:cs="Times New Roman"/>
                <w:i/>
                <w:sz w:val="20"/>
              </w:rPr>
            </w:pPr>
            <w:r w:rsidRPr="00CF38ED">
              <w:rPr>
                <w:rFonts w:ascii="Times New Roman" w:eastAsia="Calibri" w:hAnsi="Times New Roman" w:cs="Times New Roman"/>
                <w:i/>
                <w:sz w:val="20"/>
              </w:rPr>
              <w:t>0</w:t>
            </w:r>
          </w:p>
        </w:tc>
        <w:tc>
          <w:tcPr>
            <w:tcW w:w="2693" w:type="dxa"/>
            <w:shd w:val="clear" w:color="auto" w:fill="92D050"/>
          </w:tcPr>
          <w:p w:rsidR="00CD75DE" w:rsidRPr="00CF38ED" w:rsidRDefault="00CD75DE" w:rsidP="008D3EB8">
            <w:pPr>
              <w:jc w:val="center"/>
              <w:rPr>
                <w:rFonts w:ascii="Times New Roman" w:eastAsia="Calibri" w:hAnsi="Times New Roman" w:cs="Times New Roman"/>
                <w:i/>
                <w:sz w:val="20"/>
              </w:rPr>
            </w:pPr>
            <w:r w:rsidRPr="00CF38ED">
              <w:rPr>
                <w:rFonts w:ascii="Times New Roman" w:eastAsia="Calibri" w:hAnsi="Times New Roman" w:cs="Times New Roman"/>
                <w:i/>
                <w:sz w:val="20"/>
              </w:rPr>
              <w:t>0</w:t>
            </w:r>
          </w:p>
        </w:tc>
      </w:tr>
      <w:tr w:rsidR="00CD75DE" w:rsidRPr="00CF38ED" w:rsidTr="008D3EB8">
        <w:tc>
          <w:tcPr>
            <w:tcW w:w="3681" w:type="dxa"/>
          </w:tcPr>
          <w:p w:rsidR="00CD75DE" w:rsidRPr="00CF38ED" w:rsidRDefault="00CD75DE" w:rsidP="008D3EB8">
            <w:pPr>
              <w:rPr>
                <w:rFonts w:ascii="Times New Roman" w:eastAsia="Calibri" w:hAnsi="Times New Roman" w:cs="Times New Roman"/>
                <w:i/>
                <w:sz w:val="20"/>
              </w:rPr>
            </w:pPr>
            <w:r w:rsidRPr="00CF38ED">
              <w:rPr>
                <w:rFonts w:ascii="Times New Roman" w:eastAsia="Calibri" w:hAnsi="Times New Roman" w:cs="Times New Roman"/>
                <w:i/>
                <w:sz w:val="20"/>
              </w:rPr>
              <w:t>C. Nepriame finančné náklady</w:t>
            </w:r>
          </w:p>
        </w:tc>
        <w:tc>
          <w:tcPr>
            <w:tcW w:w="2693" w:type="dxa"/>
            <w:shd w:val="clear" w:color="auto" w:fill="FFC000"/>
          </w:tcPr>
          <w:p w:rsidR="00CD75DE" w:rsidRPr="000B36A0" w:rsidRDefault="000B36A0" w:rsidP="000B36A0">
            <w:pPr>
              <w:jc w:val="center"/>
              <w:rPr>
                <w:rFonts w:ascii="Times New Roman" w:hAnsi="Times New Roman" w:cs="Times New Roman"/>
                <w:bCs/>
                <w:i/>
                <w:color w:val="000000"/>
                <w:sz w:val="20"/>
                <w:szCs w:val="20"/>
              </w:rPr>
            </w:pPr>
            <w:r w:rsidRPr="000B36A0">
              <w:rPr>
                <w:rFonts w:ascii="Times New Roman" w:hAnsi="Times New Roman" w:cs="Times New Roman"/>
                <w:bCs/>
                <w:i/>
                <w:color w:val="000000"/>
                <w:sz w:val="20"/>
                <w:szCs w:val="20"/>
              </w:rPr>
              <w:t>223 209,7 €</w:t>
            </w:r>
          </w:p>
        </w:tc>
        <w:tc>
          <w:tcPr>
            <w:tcW w:w="2693" w:type="dxa"/>
            <w:shd w:val="clear" w:color="auto" w:fill="92D050"/>
          </w:tcPr>
          <w:p w:rsidR="00CD75DE" w:rsidRPr="00CF38ED" w:rsidRDefault="00CD75DE" w:rsidP="008D3EB8">
            <w:pPr>
              <w:jc w:val="center"/>
              <w:rPr>
                <w:rFonts w:ascii="Times New Roman" w:eastAsia="Calibri" w:hAnsi="Times New Roman" w:cs="Times New Roman"/>
                <w:i/>
                <w:sz w:val="20"/>
              </w:rPr>
            </w:pPr>
            <w:r>
              <w:rPr>
                <w:rFonts w:ascii="Times New Roman" w:eastAsia="Calibri" w:hAnsi="Times New Roman" w:cs="Times New Roman"/>
                <w:i/>
                <w:sz w:val="20"/>
              </w:rPr>
              <w:t>0</w:t>
            </w:r>
          </w:p>
        </w:tc>
      </w:tr>
      <w:tr w:rsidR="00CD75DE" w:rsidRPr="00CF38ED" w:rsidTr="008D3EB8">
        <w:tc>
          <w:tcPr>
            <w:tcW w:w="3681" w:type="dxa"/>
          </w:tcPr>
          <w:p w:rsidR="00CD75DE" w:rsidRPr="00CF38ED" w:rsidRDefault="00CD75DE" w:rsidP="008D3EB8">
            <w:pPr>
              <w:rPr>
                <w:rFonts w:ascii="Times New Roman" w:eastAsia="Calibri" w:hAnsi="Times New Roman" w:cs="Times New Roman"/>
                <w:i/>
                <w:sz w:val="20"/>
              </w:rPr>
            </w:pPr>
            <w:r w:rsidRPr="00CF38ED">
              <w:rPr>
                <w:rFonts w:ascii="Times New Roman" w:eastAsia="Calibri" w:hAnsi="Times New Roman" w:cs="Times New Roman"/>
                <w:i/>
                <w:sz w:val="20"/>
              </w:rPr>
              <w:t>D. Administratívne náklady</w:t>
            </w:r>
          </w:p>
        </w:tc>
        <w:tc>
          <w:tcPr>
            <w:tcW w:w="2693" w:type="dxa"/>
            <w:shd w:val="clear" w:color="auto" w:fill="FFC000"/>
          </w:tcPr>
          <w:p w:rsidR="00CD75DE" w:rsidRPr="00CF38ED" w:rsidRDefault="00CD75DE" w:rsidP="008D3EB8">
            <w:pPr>
              <w:jc w:val="center"/>
              <w:rPr>
                <w:rFonts w:ascii="Times New Roman" w:eastAsia="Calibri" w:hAnsi="Times New Roman" w:cs="Times New Roman"/>
                <w:i/>
                <w:sz w:val="20"/>
              </w:rPr>
            </w:pPr>
            <w:r w:rsidRPr="00CF38ED">
              <w:rPr>
                <w:rFonts w:ascii="Times New Roman" w:eastAsia="Calibri" w:hAnsi="Times New Roman" w:cs="Times New Roman"/>
                <w:i/>
                <w:sz w:val="20"/>
              </w:rPr>
              <w:t>0</w:t>
            </w:r>
          </w:p>
        </w:tc>
        <w:tc>
          <w:tcPr>
            <w:tcW w:w="2693" w:type="dxa"/>
            <w:shd w:val="clear" w:color="auto" w:fill="92D050"/>
          </w:tcPr>
          <w:p w:rsidR="00CD75DE" w:rsidRPr="00CF38ED" w:rsidRDefault="000B36A0" w:rsidP="000B36A0">
            <w:pPr>
              <w:jc w:val="center"/>
              <w:rPr>
                <w:rFonts w:ascii="Times New Roman" w:eastAsia="Calibri" w:hAnsi="Times New Roman" w:cs="Times New Roman"/>
                <w:i/>
                <w:sz w:val="20"/>
              </w:rPr>
            </w:pPr>
            <w:r>
              <w:rPr>
                <w:rFonts w:ascii="Times New Roman" w:eastAsia="Calibri" w:hAnsi="Times New Roman" w:cs="Times New Roman"/>
                <w:i/>
                <w:sz w:val="20"/>
              </w:rPr>
              <w:t>1  436,1</w:t>
            </w:r>
            <w:r w:rsidR="00CD75DE" w:rsidRPr="00EA4C8E">
              <w:rPr>
                <w:rFonts w:ascii="Times New Roman" w:eastAsia="Calibri" w:hAnsi="Times New Roman" w:cs="Times New Roman"/>
                <w:i/>
                <w:sz w:val="20"/>
              </w:rPr>
              <w:t xml:space="preserve"> €</w:t>
            </w:r>
          </w:p>
        </w:tc>
      </w:tr>
      <w:tr w:rsidR="00CD75DE" w:rsidRPr="00CF38ED" w:rsidTr="008D3EB8">
        <w:tc>
          <w:tcPr>
            <w:tcW w:w="3681" w:type="dxa"/>
          </w:tcPr>
          <w:p w:rsidR="00CD75DE" w:rsidRPr="00CF38ED" w:rsidRDefault="00CD75DE" w:rsidP="008D3EB8">
            <w:pPr>
              <w:rPr>
                <w:rFonts w:ascii="Times New Roman" w:eastAsia="Calibri" w:hAnsi="Times New Roman" w:cs="Times New Roman"/>
                <w:b/>
                <w:i/>
                <w:sz w:val="20"/>
              </w:rPr>
            </w:pPr>
            <w:r w:rsidRPr="00CF38ED">
              <w:rPr>
                <w:rFonts w:ascii="Times New Roman" w:eastAsia="Calibri" w:hAnsi="Times New Roman" w:cs="Times New Roman"/>
                <w:b/>
                <w:i/>
                <w:sz w:val="20"/>
              </w:rPr>
              <w:t>Spolu = A+B+C+D</w:t>
            </w:r>
          </w:p>
        </w:tc>
        <w:tc>
          <w:tcPr>
            <w:tcW w:w="2693" w:type="dxa"/>
            <w:shd w:val="clear" w:color="auto" w:fill="FFC000"/>
          </w:tcPr>
          <w:p w:rsidR="00CD75DE" w:rsidRPr="000B36A0" w:rsidRDefault="000B36A0" w:rsidP="008D3EB8">
            <w:pPr>
              <w:jc w:val="center"/>
              <w:rPr>
                <w:rFonts w:ascii="Times New Roman" w:eastAsia="Calibri" w:hAnsi="Times New Roman" w:cs="Times New Roman"/>
                <w:b/>
                <w:i/>
                <w:sz w:val="20"/>
              </w:rPr>
            </w:pPr>
            <w:r w:rsidRPr="000B36A0">
              <w:rPr>
                <w:rFonts w:ascii="Times New Roman" w:hAnsi="Times New Roman" w:cs="Times New Roman"/>
                <w:b/>
                <w:bCs/>
                <w:i/>
                <w:color w:val="000000"/>
                <w:sz w:val="20"/>
                <w:szCs w:val="20"/>
              </w:rPr>
              <w:t>223 209,7 €</w:t>
            </w:r>
          </w:p>
        </w:tc>
        <w:tc>
          <w:tcPr>
            <w:tcW w:w="2693" w:type="dxa"/>
            <w:shd w:val="clear" w:color="auto" w:fill="92D050"/>
          </w:tcPr>
          <w:p w:rsidR="00CD75DE" w:rsidRPr="00CF38ED" w:rsidRDefault="000B36A0" w:rsidP="008D3EB8">
            <w:pPr>
              <w:jc w:val="center"/>
              <w:rPr>
                <w:rFonts w:ascii="Times New Roman" w:eastAsia="Calibri" w:hAnsi="Times New Roman" w:cs="Times New Roman"/>
                <w:b/>
                <w:i/>
                <w:sz w:val="20"/>
              </w:rPr>
            </w:pPr>
            <w:r>
              <w:rPr>
                <w:rFonts w:ascii="Times New Roman" w:eastAsia="Calibri" w:hAnsi="Times New Roman" w:cs="Times New Roman"/>
                <w:b/>
                <w:i/>
                <w:sz w:val="20"/>
              </w:rPr>
              <w:t>1</w:t>
            </w:r>
            <w:r w:rsidR="00A5166D">
              <w:rPr>
                <w:rFonts w:ascii="Times New Roman" w:eastAsia="Calibri" w:hAnsi="Times New Roman" w:cs="Times New Roman"/>
                <w:b/>
                <w:i/>
                <w:sz w:val="20"/>
              </w:rPr>
              <w:t xml:space="preserve"> </w:t>
            </w:r>
            <w:r>
              <w:rPr>
                <w:rFonts w:ascii="Times New Roman" w:eastAsia="Calibri" w:hAnsi="Times New Roman" w:cs="Times New Roman"/>
                <w:b/>
                <w:i/>
                <w:sz w:val="20"/>
              </w:rPr>
              <w:t>436,1 €</w:t>
            </w:r>
          </w:p>
        </w:tc>
      </w:tr>
      <w:tr w:rsidR="00CD75DE" w:rsidRPr="00CF38ED" w:rsidTr="008D3EB8">
        <w:tc>
          <w:tcPr>
            <w:tcW w:w="3681" w:type="dxa"/>
          </w:tcPr>
          <w:p w:rsidR="00CD75DE" w:rsidRPr="00CF38ED" w:rsidRDefault="00CD75DE" w:rsidP="008D3EB8">
            <w:pPr>
              <w:rPr>
                <w:rFonts w:ascii="Times New Roman" w:eastAsia="Calibri" w:hAnsi="Times New Roman" w:cs="Times New Roman"/>
                <w:b/>
                <w:i/>
                <w:sz w:val="20"/>
              </w:rPr>
            </w:pPr>
            <w:r w:rsidRPr="00CF38ED">
              <w:rPr>
                <w:rFonts w:ascii="Times New Roman" w:eastAsia="Calibri" w:hAnsi="Times New Roman" w:cs="Times New Roman"/>
                <w:b/>
                <w:i/>
                <w:sz w:val="20"/>
              </w:rPr>
              <w:t xml:space="preserve"> z toho</w:t>
            </w:r>
          </w:p>
        </w:tc>
        <w:tc>
          <w:tcPr>
            <w:tcW w:w="2693" w:type="dxa"/>
            <w:shd w:val="clear" w:color="auto" w:fill="FFC000"/>
          </w:tcPr>
          <w:p w:rsidR="00CD75DE" w:rsidRPr="00CF38ED" w:rsidRDefault="00CD75DE" w:rsidP="008D3EB8">
            <w:pPr>
              <w:jc w:val="center"/>
              <w:rPr>
                <w:rFonts w:ascii="Times New Roman" w:eastAsia="Calibri" w:hAnsi="Times New Roman" w:cs="Times New Roman"/>
                <w:b/>
                <w:i/>
                <w:sz w:val="20"/>
              </w:rPr>
            </w:pPr>
          </w:p>
        </w:tc>
        <w:tc>
          <w:tcPr>
            <w:tcW w:w="2693" w:type="dxa"/>
            <w:shd w:val="clear" w:color="auto" w:fill="92D050"/>
          </w:tcPr>
          <w:p w:rsidR="00CD75DE" w:rsidRPr="00CF38ED" w:rsidRDefault="00CD75DE" w:rsidP="008D3EB8">
            <w:pPr>
              <w:jc w:val="center"/>
              <w:rPr>
                <w:rFonts w:ascii="Times New Roman" w:eastAsia="Calibri" w:hAnsi="Times New Roman" w:cs="Times New Roman"/>
                <w:b/>
                <w:i/>
                <w:sz w:val="20"/>
              </w:rPr>
            </w:pPr>
          </w:p>
        </w:tc>
      </w:tr>
      <w:tr w:rsidR="00CD75DE" w:rsidRPr="00CF38ED" w:rsidTr="008D3EB8">
        <w:tc>
          <w:tcPr>
            <w:tcW w:w="3681" w:type="dxa"/>
          </w:tcPr>
          <w:p w:rsidR="00CD75DE" w:rsidRPr="00CF38ED" w:rsidRDefault="00CD75DE" w:rsidP="008D3EB8">
            <w:pPr>
              <w:rPr>
                <w:rFonts w:ascii="Times New Roman" w:eastAsia="Calibri" w:hAnsi="Times New Roman" w:cs="Times New Roman"/>
                <w:i/>
                <w:sz w:val="20"/>
              </w:rPr>
            </w:pPr>
            <w:r w:rsidRPr="00CF38ED">
              <w:rPr>
                <w:rFonts w:ascii="Times New Roman" w:eastAsia="Calibri" w:hAnsi="Times New Roman" w:cs="Times New Roman"/>
                <w:i/>
                <w:sz w:val="20"/>
              </w:rPr>
              <w:t xml:space="preserve">E. Vplyv na </w:t>
            </w:r>
            <w:proofErr w:type="spellStart"/>
            <w:r w:rsidRPr="00CF38ED">
              <w:rPr>
                <w:rFonts w:ascii="Times New Roman" w:eastAsia="Calibri" w:hAnsi="Times New Roman" w:cs="Times New Roman"/>
                <w:i/>
                <w:sz w:val="20"/>
              </w:rPr>
              <w:t>mikro</w:t>
            </w:r>
            <w:proofErr w:type="spellEnd"/>
            <w:r w:rsidRPr="00CF38ED">
              <w:rPr>
                <w:rFonts w:ascii="Times New Roman" w:eastAsia="Calibri" w:hAnsi="Times New Roman" w:cs="Times New Roman"/>
                <w:i/>
                <w:sz w:val="20"/>
              </w:rPr>
              <w:t>, malé a stredné podniky</w:t>
            </w:r>
          </w:p>
        </w:tc>
        <w:tc>
          <w:tcPr>
            <w:tcW w:w="2693" w:type="dxa"/>
            <w:shd w:val="clear" w:color="auto" w:fill="FFC000"/>
          </w:tcPr>
          <w:p w:rsidR="00CD75DE" w:rsidRPr="00CF38ED" w:rsidRDefault="00CD75DE" w:rsidP="008D3EB8">
            <w:pPr>
              <w:jc w:val="center"/>
              <w:rPr>
                <w:rFonts w:ascii="Times New Roman" w:eastAsia="Calibri" w:hAnsi="Times New Roman" w:cs="Times New Roman"/>
                <w:b/>
                <w:i/>
                <w:sz w:val="20"/>
              </w:rPr>
            </w:pPr>
            <w:r w:rsidRPr="00CF38ED">
              <w:rPr>
                <w:rFonts w:ascii="Times New Roman" w:eastAsia="Calibri" w:hAnsi="Times New Roman" w:cs="Times New Roman"/>
                <w:i/>
                <w:sz w:val="20"/>
              </w:rPr>
              <w:t>0</w:t>
            </w:r>
          </w:p>
        </w:tc>
        <w:tc>
          <w:tcPr>
            <w:tcW w:w="2693" w:type="dxa"/>
            <w:shd w:val="clear" w:color="auto" w:fill="92D050"/>
          </w:tcPr>
          <w:p w:rsidR="00CD75DE" w:rsidRPr="00CF38ED" w:rsidRDefault="00CD75DE" w:rsidP="008D3EB8">
            <w:pPr>
              <w:jc w:val="center"/>
              <w:rPr>
                <w:rFonts w:ascii="Times New Roman" w:eastAsia="Calibri" w:hAnsi="Times New Roman" w:cs="Times New Roman"/>
                <w:b/>
                <w:i/>
                <w:sz w:val="20"/>
              </w:rPr>
            </w:pPr>
            <w:r w:rsidRPr="00CF38ED">
              <w:rPr>
                <w:rFonts w:ascii="Times New Roman" w:eastAsia="Calibri" w:hAnsi="Times New Roman" w:cs="Times New Roman"/>
                <w:i/>
                <w:sz w:val="20"/>
              </w:rPr>
              <w:t>0</w:t>
            </w:r>
          </w:p>
        </w:tc>
      </w:tr>
      <w:tr w:rsidR="00CD75DE" w:rsidRPr="00CF38ED" w:rsidTr="008D3EB8">
        <w:tc>
          <w:tcPr>
            <w:tcW w:w="3681" w:type="dxa"/>
          </w:tcPr>
          <w:p w:rsidR="00CD75DE" w:rsidRPr="00CF38ED" w:rsidRDefault="00CD75DE" w:rsidP="008D3EB8">
            <w:pPr>
              <w:rPr>
                <w:rFonts w:ascii="Times New Roman" w:eastAsia="Calibri" w:hAnsi="Times New Roman" w:cs="Times New Roman"/>
                <w:i/>
                <w:sz w:val="20"/>
              </w:rPr>
            </w:pPr>
            <w:r w:rsidRPr="00CF38ED">
              <w:rPr>
                <w:rFonts w:ascii="Times New Roman" w:eastAsia="Calibri" w:hAnsi="Times New Roman" w:cs="Times New Roman"/>
                <w:i/>
                <w:sz w:val="20"/>
              </w:rPr>
              <w:t>F. Úplná harmonizácia práva EÚ</w:t>
            </w:r>
          </w:p>
        </w:tc>
        <w:tc>
          <w:tcPr>
            <w:tcW w:w="2693" w:type="dxa"/>
            <w:shd w:val="clear" w:color="auto" w:fill="FFC000"/>
          </w:tcPr>
          <w:p w:rsidR="00CD75DE" w:rsidRPr="000B36A0" w:rsidRDefault="000B36A0" w:rsidP="008D3EB8">
            <w:pPr>
              <w:jc w:val="center"/>
              <w:rPr>
                <w:rFonts w:ascii="Times New Roman" w:eastAsia="Calibri" w:hAnsi="Times New Roman" w:cs="Times New Roman"/>
                <w:i/>
                <w:sz w:val="20"/>
              </w:rPr>
            </w:pPr>
            <w:r w:rsidRPr="000B36A0">
              <w:rPr>
                <w:rFonts w:ascii="Times New Roman" w:hAnsi="Times New Roman" w:cs="Times New Roman"/>
                <w:bCs/>
                <w:i/>
                <w:color w:val="000000"/>
                <w:sz w:val="20"/>
                <w:szCs w:val="20"/>
              </w:rPr>
              <w:t>223 209,7 €</w:t>
            </w:r>
          </w:p>
        </w:tc>
        <w:tc>
          <w:tcPr>
            <w:tcW w:w="2693" w:type="dxa"/>
            <w:shd w:val="clear" w:color="auto" w:fill="92D050"/>
          </w:tcPr>
          <w:p w:rsidR="00CD75DE" w:rsidRPr="00CF38ED" w:rsidRDefault="000B36A0" w:rsidP="000B36A0">
            <w:pPr>
              <w:jc w:val="center"/>
              <w:rPr>
                <w:rFonts w:ascii="Times New Roman" w:eastAsia="Calibri" w:hAnsi="Times New Roman" w:cs="Times New Roman"/>
                <w:b/>
                <w:i/>
                <w:sz w:val="20"/>
              </w:rPr>
            </w:pPr>
            <w:r>
              <w:rPr>
                <w:rFonts w:ascii="Times New Roman" w:eastAsia="Calibri" w:hAnsi="Times New Roman" w:cs="Times New Roman"/>
                <w:i/>
                <w:sz w:val="20"/>
              </w:rPr>
              <w:t>1</w:t>
            </w:r>
            <w:r w:rsidR="00A5166D">
              <w:rPr>
                <w:rFonts w:ascii="Times New Roman" w:eastAsia="Calibri" w:hAnsi="Times New Roman" w:cs="Times New Roman"/>
                <w:i/>
                <w:sz w:val="20"/>
              </w:rPr>
              <w:t xml:space="preserve"> </w:t>
            </w:r>
            <w:r>
              <w:rPr>
                <w:rFonts w:ascii="Times New Roman" w:eastAsia="Calibri" w:hAnsi="Times New Roman" w:cs="Times New Roman"/>
                <w:i/>
                <w:sz w:val="20"/>
              </w:rPr>
              <w:t>436,1 €</w:t>
            </w:r>
          </w:p>
        </w:tc>
      </w:tr>
      <w:tr w:rsidR="00CD75DE" w:rsidRPr="00CF38ED" w:rsidTr="008D3EB8">
        <w:tc>
          <w:tcPr>
            <w:tcW w:w="9067" w:type="dxa"/>
            <w:gridSpan w:val="3"/>
            <w:shd w:val="clear" w:color="auto" w:fill="auto"/>
          </w:tcPr>
          <w:p w:rsidR="00CD75DE" w:rsidRPr="00CF38ED" w:rsidRDefault="00CD75DE" w:rsidP="008D3EB8">
            <w:pPr>
              <w:jc w:val="center"/>
              <w:rPr>
                <w:rFonts w:ascii="Times New Roman" w:eastAsia="Calibri" w:hAnsi="Times New Roman" w:cs="Times New Roman"/>
                <w:b/>
                <w:bCs/>
                <w:i/>
                <w:sz w:val="20"/>
              </w:rPr>
            </w:pPr>
          </w:p>
        </w:tc>
      </w:tr>
      <w:tr w:rsidR="00CD75DE" w:rsidRPr="00CF38ED" w:rsidTr="008D3EB8">
        <w:tc>
          <w:tcPr>
            <w:tcW w:w="3681" w:type="dxa"/>
          </w:tcPr>
          <w:p w:rsidR="00CD75DE" w:rsidRPr="00CF38ED" w:rsidRDefault="00CD75DE" w:rsidP="008D3EB8">
            <w:pPr>
              <w:rPr>
                <w:rFonts w:ascii="Times New Roman" w:eastAsia="Calibri" w:hAnsi="Times New Roman" w:cs="Times New Roman"/>
                <w:b/>
                <w:i/>
                <w:sz w:val="20"/>
              </w:rPr>
            </w:pPr>
            <w:r w:rsidRPr="00CF38ED">
              <w:rPr>
                <w:rFonts w:ascii="Times New Roman" w:eastAsia="Calibri" w:hAnsi="Times New Roman" w:cs="Times New Roman"/>
                <w:b/>
                <w:bCs/>
                <w:i/>
                <w:sz w:val="20"/>
              </w:rPr>
              <w:t>VÝPOČET mechanizmu znižovania byrokracie a nákladov</w:t>
            </w:r>
          </w:p>
        </w:tc>
        <w:tc>
          <w:tcPr>
            <w:tcW w:w="2693" w:type="dxa"/>
            <w:shd w:val="clear" w:color="auto" w:fill="FFC000"/>
          </w:tcPr>
          <w:p w:rsidR="00CD75DE" w:rsidRPr="00CF38ED" w:rsidRDefault="00CD75DE" w:rsidP="008D3EB8">
            <w:pPr>
              <w:jc w:val="center"/>
              <w:rPr>
                <w:rFonts w:ascii="Times New Roman" w:eastAsia="Calibri" w:hAnsi="Times New Roman" w:cs="Times New Roman"/>
                <w:b/>
                <w:bCs/>
                <w:i/>
                <w:sz w:val="20"/>
              </w:rPr>
            </w:pPr>
            <w:r w:rsidRPr="00CF38ED">
              <w:rPr>
                <w:rFonts w:ascii="Times New Roman" w:eastAsia="Calibri" w:hAnsi="Times New Roman" w:cs="Times New Roman"/>
                <w:b/>
                <w:bCs/>
                <w:i/>
                <w:sz w:val="20"/>
              </w:rPr>
              <w:t>IN</w:t>
            </w:r>
          </w:p>
        </w:tc>
        <w:tc>
          <w:tcPr>
            <w:tcW w:w="2693" w:type="dxa"/>
            <w:shd w:val="clear" w:color="auto" w:fill="92D050"/>
          </w:tcPr>
          <w:p w:rsidR="00CD75DE" w:rsidRPr="00CF38ED" w:rsidRDefault="00CD75DE" w:rsidP="008D3EB8">
            <w:pPr>
              <w:jc w:val="center"/>
              <w:rPr>
                <w:rFonts w:ascii="Times New Roman" w:eastAsia="Calibri" w:hAnsi="Times New Roman" w:cs="Times New Roman"/>
                <w:b/>
                <w:bCs/>
                <w:i/>
                <w:sz w:val="20"/>
              </w:rPr>
            </w:pPr>
            <w:r w:rsidRPr="00CF38ED">
              <w:rPr>
                <w:rFonts w:ascii="Times New Roman" w:eastAsia="Calibri" w:hAnsi="Times New Roman" w:cs="Times New Roman"/>
                <w:b/>
                <w:bCs/>
                <w:i/>
                <w:sz w:val="20"/>
              </w:rPr>
              <w:t>OUT</w:t>
            </w:r>
          </w:p>
        </w:tc>
      </w:tr>
      <w:tr w:rsidR="00CD75DE" w:rsidRPr="00CF38ED" w:rsidTr="008D3EB8">
        <w:tc>
          <w:tcPr>
            <w:tcW w:w="3681" w:type="dxa"/>
          </w:tcPr>
          <w:p w:rsidR="00CD75DE" w:rsidRPr="00CF38ED" w:rsidRDefault="00CD75DE" w:rsidP="008D3EB8">
            <w:pPr>
              <w:rPr>
                <w:rFonts w:ascii="Times New Roman" w:eastAsia="Calibri" w:hAnsi="Times New Roman" w:cs="Times New Roman"/>
                <w:b/>
                <w:i/>
                <w:sz w:val="20"/>
              </w:rPr>
            </w:pPr>
            <w:r w:rsidRPr="00CF38ED">
              <w:rPr>
                <w:rFonts w:ascii="Times New Roman" w:eastAsia="Calibri" w:hAnsi="Times New Roman" w:cs="Times New Roman"/>
                <w:b/>
                <w:i/>
                <w:sz w:val="20"/>
              </w:rPr>
              <w:t>G. Náklady okrem výnimiek = B+C+D-F</w:t>
            </w:r>
          </w:p>
        </w:tc>
        <w:tc>
          <w:tcPr>
            <w:tcW w:w="2693" w:type="dxa"/>
            <w:shd w:val="clear" w:color="auto" w:fill="FFC000"/>
          </w:tcPr>
          <w:p w:rsidR="00CD75DE" w:rsidRPr="00EA4C8E" w:rsidRDefault="000B36A0" w:rsidP="008D3EB8">
            <w:pPr>
              <w:jc w:val="center"/>
              <w:rPr>
                <w:rFonts w:ascii="Times New Roman" w:eastAsia="Calibri" w:hAnsi="Times New Roman" w:cs="Times New Roman"/>
                <w:b/>
                <w:bCs/>
                <w:i/>
                <w:sz w:val="20"/>
              </w:rPr>
            </w:pPr>
            <w:r>
              <w:rPr>
                <w:rFonts w:ascii="Times New Roman" w:eastAsia="Calibri" w:hAnsi="Times New Roman" w:cs="Times New Roman"/>
                <w:b/>
                <w:bCs/>
                <w:i/>
                <w:sz w:val="20"/>
              </w:rPr>
              <w:t>0</w:t>
            </w:r>
          </w:p>
        </w:tc>
        <w:tc>
          <w:tcPr>
            <w:tcW w:w="2693" w:type="dxa"/>
            <w:shd w:val="clear" w:color="auto" w:fill="92D050"/>
          </w:tcPr>
          <w:p w:rsidR="00CD75DE" w:rsidRPr="00EA4C8E" w:rsidRDefault="000B36A0" w:rsidP="000B36A0">
            <w:pPr>
              <w:jc w:val="center"/>
              <w:rPr>
                <w:rFonts w:ascii="Times New Roman" w:eastAsia="Calibri" w:hAnsi="Times New Roman" w:cs="Times New Roman"/>
                <w:b/>
                <w:bCs/>
                <w:i/>
                <w:sz w:val="20"/>
              </w:rPr>
            </w:pPr>
            <w:r>
              <w:rPr>
                <w:rFonts w:ascii="Times New Roman" w:eastAsia="Calibri" w:hAnsi="Times New Roman" w:cs="Times New Roman"/>
                <w:b/>
                <w:bCs/>
                <w:i/>
                <w:sz w:val="20"/>
              </w:rPr>
              <w:t>0</w:t>
            </w:r>
          </w:p>
        </w:tc>
      </w:tr>
    </w:tbl>
    <w:p w:rsidR="00CD75DE" w:rsidRPr="00CF38ED" w:rsidRDefault="00CD75DE" w:rsidP="00CD75DE">
      <w:pPr>
        <w:spacing w:after="0"/>
        <w:rPr>
          <w:rFonts w:ascii="Times New Roman" w:eastAsia="Calibri" w:hAnsi="Times New Roman" w:cs="Times New Roman"/>
          <w:i/>
        </w:rPr>
      </w:pPr>
    </w:p>
    <w:p w:rsidR="00CD75DE" w:rsidRPr="00CF38ED" w:rsidRDefault="00CD75DE" w:rsidP="00CD75DE">
      <w:pPr>
        <w:spacing w:after="0"/>
        <w:rPr>
          <w:rFonts w:ascii="Times New Roman" w:eastAsia="Calibri" w:hAnsi="Times New Roman" w:cs="Times New Roman"/>
          <w:i/>
        </w:rPr>
      </w:pPr>
    </w:p>
    <w:p w:rsidR="00CD75DE" w:rsidRPr="00CF38ED" w:rsidRDefault="00CD75DE" w:rsidP="00CD75DE">
      <w:pPr>
        <w:rPr>
          <w:rFonts w:ascii="Times New Roman" w:eastAsia="Calibri" w:hAnsi="Times New Roman" w:cs="Times New Roman"/>
          <w:b/>
          <w:sz w:val="24"/>
          <w:szCs w:val="24"/>
        </w:rPr>
      </w:pPr>
    </w:p>
    <w:p w:rsidR="00CD75DE" w:rsidRPr="00CF38ED" w:rsidRDefault="00CD75DE" w:rsidP="00CD75DE">
      <w:pPr>
        <w:rPr>
          <w:rFonts w:ascii="Times New Roman" w:eastAsia="Calibri" w:hAnsi="Times New Roman" w:cs="Times New Roman"/>
          <w:b/>
          <w:sz w:val="24"/>
          <w:szCs w:val="24"/>
        </w:rPr>
        <w:sectPr w:rsidR="00CD75DE" w:rsidRPr="00CF38ED" w:rsidSect="00AB3845">
          <w:pgSz w:w="11906" w:h="16838"/>
          <w:pgMar w:top="993" w:right="1417" w:bottom="1417" w:left="1417" w:header="708" w:footer="708" w:gutter="0"/>
          <w:pgNumType w:start="1"/>
          <w:cols w:space="708"/>
          <w:docGrid w:linePitch="360"/>
        </w:sectPr>
      </w:pPr>
    </w:p>
    <w:p w:rsidR="00CD75DE" w:rsidRPr="00CF38ED" w:rsidRDefault="00CD75DE" w:rsidP="00CD75DE">
      <w:pPr>
        <w:rPr>
          <w:rFonts w:ascii="Times New Roman" w:eastAsia="Calibri" w:hAnsi="Times New Roman" w:cs="Times New Roman"/>
          <w:b/>
          <w:i/>
          <w:iCs/>
          <w:sz w:val="24"/>
          <w:szCs w:val="24"/>
        </w:rPr>
      </w:pPr>
      <w:r w:rsidRPr="00CF38ED">
        <w:rPr>
          <w:rFonts w:ascii="Times New Roman" w:eastAsia="Calibri" w:hAnsi="Times New Roman" w:cs="Times New Roman"/>
          <w:b/>
          <w:i/>
          <w:iCs/>
          <w:sz w:val="24"/>
          <w:szCs w:val="24"/>
        </w:rPr>
        <w:lastRenderedPageBreak/>
        <w:t>3.1.2 Výpočty vplyvov jednotlivých regulácií na zmeny v nákladoch podnikateľov</w:t>
      </w:r>
    </w:p>
    <w:p w:rsidR="00CD75DE" w:rsidRPr="00CF38ED" w:rsidRDefault="00CD75DE" w:rsidP="00CD75DE">
      <w:pPr>
        <w:jc w:val="both"/>
        <w:rPr>
          <w:rFonts w:ascii="Times New Roman" w:eastAsia="Calibri" w:hAnsi="Times New Roman" w:cs="Times New Roman"/>
          <w:i/>
          <w:sz w:val="24"/>
          <w:szCs w:val="24"/>
        </w:rPr>
      </w:pPr>
      <w:r w:rsidRPr="00CF38ED">
        <w:rPr>
          <w:rFonts w:ascii="Times New Roman" w:eastAsia="Calibri" w:hAnsi="Times New Roman" w:cs="Times New Roman"/>
          <w:i/>
          <w:sz w:val="24"/>
          <w:szCs w:val="24"/>
        </w:rPr>
        <w:t>Tabuľka č. 2: Výpočet vplyvov jednotlivých regulácií (nahraďte rovnakou tabuľkou po vyplnení Kalkulačky nákladov):</w:t>
      </w:r>
    </w:p>
    <w:tbl>
      <w:tblPr>
        <w:tblW w:w="13892" w:type="dxa"/>
        <w:tblCellMar>
          <w:left w:w="70" w:type="dxa"/>
          <w:right w:w="70" w:type="dxa"/>
        </w:tblCellMar>
        <w:tblLook w:val="04A0" w:firstRow="1" w:lastRow="0" w:firstColumn="1" w:lastColumn="0" w:noHBand="0" w:noVBand="1"/>
      </w:tblPr>
      <w:tblGrid>
        <w:gridCol w:w="452"/>
        <w:gridCol w:w="1618"/>
        <w:gridCol w:w="790"/>
        <w:gridCol w:w="1129"/>
        <w:gridCol w:w="1072"/>
        <w:gridCol w:w="934"/>
        <w:gridCol w:w="1613"/>
        <w:gridCol w:w="991"/>
        <w:gridCol w:w="1037"/>
        <w:gridCol w:w="854"/>
        <w:gridCol w:w="1134"/>
        <w:gridCol w:w="2268"/>
      </w:tblGrid>
      <w:tr w:rsidR="00CD75DE" w:rsidRPr="00CF38ED" w:rsidTr="008D3EB8">
        <w:trPr>
          <w:trHeight w:val="315"/>
        </w:trPr>
        <w:tc>
          <w:tcPr>
            <w:tcW w:w="11624" w:type="dxa"/>
            <w:gridSpan w:val="11"/>
            <w:tcBorders>
              <w:top w:val="nil"/>
              <w:left w:val="nil"/>
              <w:bottom w:val="nil"/>
              <w:right w:val="nil"/>
            </w:tcBorders>
            <w:shd w:val="clear" w:color="auto" w:fill="auto"/>
            <w:vAlign w:val="center"/>
            <w:hideMark/>
          </w:tcPr>
          <w:p w:rsidR="00CD75DE" w:rsidRPr="00CF38ED" w:rsidRDefault="00CD75DE" w:rsidP="008D3EB8">
            <w:pPr>
              <w:spacing w:after="0" w:line="240" w:lineRule="auto"/>
              <w:rPr>
                <w:rFonts w:ascii="Times New Roman" w:eastAsia="Times New Roman" w:hAnsi="Times New Roman" w:cs="Times New Roman"/>
                <w:b/>
                <w:bCs/>
                <w:color w:val="000000"/>
                <w:sz w:val="24"/>
                <w:szCs w:val="24"/>
                <w:lang w:eastAsia="sk-SK"/>
              </w:rPr>
            </w:pPr>
            <w:r w:rsidRPr="00CF38ED">
              <w:rPr>
                <w:rFonts w:ascii="Times New Roman" w:eastAsia="Times New Roman" w:hAnsi="Times New Roman" w:cs="Times New Roman"/>
                <w:b/>
                <w:bCs/>
                <w:color w:val="000000"/>
                <w:sz w:val="24"/>
                <w:szCs w:val="24"/>
                <w:lang w:eastAsia="sk-SK"/>
              </w:rPr>
              <w:t xml:space="preserve">Tabuľka č. 2: Výpočet vplyvov jednotlivých regulácií </w:t>
            </w:r>
          </w:p>
        </w:tc>
        <w:tc>
          <w:tcPr>
            <w:tcW w:w="2268" w:type="dxa"/>
            <w:tcBorders>
              <w:top w:val="nil"/>
              <w:left w:val="nil"/>
              <w:bottom w:val="nil"/>
              <w:right w:val="nil"/>
            </w:tcBorders>
            <w:shd w:val="clear" w:color="auto" w:fill="auto"/>
            <w:noWrap/>
            <w:vAlign w:val="bottom"/>
            <w:hideMark/>
          </w:tcPr>
          <w:p w:rsidR="00CD75DE" w:rsidRPr="00CF38ED" w:rsidRDefault="00CD75DE" w:rsidP="008D3EB8">
            <w:pPr>
              <w:spacing w:after="0" w:line="240" w:lineRule="auto"/>
              <w:rPr>
                <w:rFonts w:ascii="Times New Roman" w:eastAsia="Times New Roman" w:hAnsi="Times New Roman" w:cs="Times New Roman"/>
                <w:b/>
                <w:bCs/>
                <w:color w:val="000000"/>
                <w:sz w:val="24"/>
                <w:szCs w:val="24"/>
                <w:lang w:eastAsia="sk-SK"/>
              </w:rPr>
            </w:pPr>
          </w:p>
        </w:tc>
      </w:tr>
      <w:tr w:rsidR="00CD75DE" w:rsidRPr="00CF38ED" w:rsidTr="008D3EB8">
        <w:trPr>
          <w:trHeight w:val="450"/>
        </w:trPr>
        <w:tc>
          <w:tcPr>
            <w:tcW w:w="452"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CD75DE" w:rsidRPr="00CF38ED" w:rsidRDefault="00CD75DE" w:rsidP="008D3EB8">
            <w:pPr>
              <w:spacing w:after="0" w:line="240" w:lineRule="auto"/>
              <w:jc w:val="center"/>
              <w:rPr>
                <w:rFonts w:ascii="Times New Roman" w:eastAsia="Times New Roman" w:hAnsi="Times New Roman" w:cs="Times New Roman"/>
                <w:b/>
                <w:bCs/>
                <w:color w:val="000000"/>
                <w:sz w:val="20"/>
                <w:szCs w:val="20"/>
                <w:lang w:eastAsia="sk-SK"/>
              </w:rPr>
            </w:pPr>
            <w:proofErr w:type="spellStart"/>
            <w:r w:rsidRPr="00CF38ED">
              <w:rPr>
                <w:rFonts w:ascii="Times New Roman" w:eastAsia="Times New Roman" w:hAnsi="Times New Roman" w:cs="Times New Roman"/>
                <w:b/>
                <w:bCs/>
                <w:color w:val="000000"/>
                <w:sz w:val="20"/>
                <w:szCs w:val="20"/>
                <w:lang w:eastAsia="sk-SK"/>
              </w:rPr>
              <w:t>P.č</w:t>
            </w:r>
            <w:proofErr w:type="spellEnd"/>
            <w:r w:rsidRPr="00CF38ED">
              <w:rPr>
                <w:rFonts w:ascii="Times New Roman" w:eastAsia="Times New Roman" w:hAnsi="Times New Roman" w:cs="Times New Roman"/>
                <w:b/>
                <w:bCs/>
                <w:color w:val="000000"/>
                <w:sz w:val="20"/>
                <w:szCs w:val="20"/>
                <w:lang w:eastAsia="sk-SK"/>
              </w:rPr>
              <w:t>.</w:t>
            </w:r>
          </w:p>
        </w:tc>
        <w:tc>
          <w:tcPr>
            <w:tcW w:w="1618"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CD75DE" w:rsidRPr="00CF38ED" w:rsidRDefault="00CD75DE" w:rsidP="008D3EB8">
            <w:pPr>
              <w:spacing w:after="0" w:line="240" w:lineRule="auto"/>
              <w:jc w:val="center"/>
              <w:rPr>
                <w:rFonts w:ascii="Times New Roman" w:eastAsia="Times New Roman" w:hAnsi="Times New Roman" w:cs="Times New Roman"/>
                <w:b/>
                <w:bCs/>
                <w:color w:val="000000"/>
                <w:sz w:val="20"/>
                <w:szCs w:val="20"/>
                <w:lang w:eastAsia="sk-SK"/>
              </w:rPr>
            </w:pPr>
            <w:r w:rsidRPr="00CF38ED">
              <w:rPr>
                <w:rFonts w:ascii="Times New Roman" w:eastAsia="Times New Roman" w:hAnsi="Times New Roman" w:cs="Times New Roman"/>
                <w:b/>
                <w:bCs/>
                <w:color w:val="000000"/>
                <w:sz w:val="20"/>
                <w:szCs w:val="20"/>
                <w:lang w:eastAsia="sk-SK"/>
              </w:rPr>
              <w:t xml:space="preserve">Zrozumiteľný a stručný opis regulácie </w:t>
            </w:r>
            <w:r w:rsidRPr="00CF38ED">
              <w:rPr>
                <w:rFonts w:ascii="Times New Roman" w:eastAsia="Times New Roman" w:hAnsi="Times New Roman" w:cs="Times New Roman"/>
                <w:b/>
                <w:bCs/>
                <w:color w:val="000000"/>
                <w:sz w:val="20"/>
                <w:szCs w:val="20"/>
                <w:lang w:eastAsia="sk-SK"/>
              </w:rPr>
              <w:br/>
              <w:t>(dôvod zvýšenia/zníženia nákladov na PP)</w:t>
            </w:r>
          </w:p>
        </w:tc>
        <w:tc>
          <w:tcPr>
            <w:tcW w:w="790"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rsidR="00CD75DE" w:rsidRPr="00CF38ED" w:rsidRDefault="00CD75DE" w:rsidP="008D3EB8">
            <w:pPr>
              <w:spacing w:after="0" w:line="240" w:lineRule="auto"/>
              <w:jc w:val="center"/>
              <w:rPr>
                <w:rFonts w:ascii="Times New Roman" w:eastAsia="Times New Roman" w:hAnsi="Times New Roman" w:cs="Times New Roman"/>
                <w:b/>
                <w:bCs/>
                <w:color w:val="000000"/>
                <w:sz w:val="20"/>
                <w:szCs w:val="20"/>
                <w:lang w:eastAsia="sk-SK"/>
              </w:rPr>
            </w:pPr>
            <w:r w:rsidRPr="00CF38ED">
              <w:rPr>
                <w:rFonts w:ascii="Times New Roman" w:eastAsia="Times New Roman" w:hAnsi="Times New Roman" w:cs="Times New Roman"/>
                <w:b/>
                <w:bCs/>
                <w:color w:val="000000"/>
                <w:sz w:val="20"/>
                <w:szCs w:val="20"/>
                <w:lang w:eastAsia="sk-SK"/>
              </w:rPr>
              <w:t>Číslo normy</w:t>
            </w:r>
            <w:r w:rsidRPr="00CF38ED">
              <w:rPr>
                <w:rFonts w:ascii="Times New Roman" w:eastAsia="Times New Roman" w:hAnsi="Times New Roman" w:cs="Times New Roman"/>
                <w:b/>
                <w:bCs/>
                <w:color w:val="000000"/>
                <w:sz w:val="20"/>
                <w:szCs w:val="20"/>
                <w:lang w:eastAsia="sk-SK"/>
              </w:rPr>
              <w:br/>
            </w:r>
            <w:r w:rsidRPr="00CF38ED">
              <w:rPr>
                <w:rFonts w:ascii="Times New Roman" w:eastAsia="Times New Roman" w:hAnsi="Times New Roman" w:cs="Times New Roman"/>
                <w:color w:val="000000"/>
                <w:sz w:val="18"/>
                <w:szCs w:val="18"/>
                <w:lang w:eastAsia="sk-SK"/>
              </w:rPr>
              <w:t>(zákona, vyhlášky a pod.)</w:t>
            </w:r>
          </w:p>
        </w:tc>
        <w:tc>
          <w:tcPr>
            <w:tcW w:w="1129"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rsidR="00CD75DE" w:rsidRPr="00CF38ED" w:rsidRDefault="00CD75DE" w:rsidP="008D3EB8">
            <w:pPr>
              <w:spacing w:after="0" w:line="240" w:lineRule="auto"/>
              <w:jc w:val="center"/>
              <w:rPr>
                <w:rFonts w:ascii="Times New Roman" w:eastAsia="Times New Roman" w:hAnsi="Times New Roman" w:cs="Times New Roman"/>
                <w:b/>
                <w:bCs/>
                <w:color w:val="000000"/>
                <w:sz w:val="20"/>
                <w:szCs w:val="20"/>
                <w:lang w:eastAsia="sk-SK"/>
              </w:rPr>
            </w:pPr>
            <w:r w:rsidRPr="00CF38ED">
              <w:rPr>
                <w:rFonts w:ascii="Times New Roman" w:eastAsia="Times New Roman" w:hAnsi="Times New Roman" w:cs="Times New Roman"/>
                <w:b/>
                <w:bCs/>
                <w:color w:val="000000"/>
                <w:sz w:val="20"/>
                <w:szCs w:val="20"/>
                <w:lang w:eastAsia="sk-SK"/>
              </w:rPr>
              <w:t>Lokalizácia</w:t>
            </w:r>
            <w:r w:rsidRPr="00CF38ED">
              <w:rPr>
                <w:rFonts w:ascii="Times New Roman" w:eastAsia="Times New Roman" w:hAnsi="Times New Roman" w:cs="Times New Roman"/>
                <w:b/>
                <w:bCs/>
                <w:color w:val="000000"/>
                <w:sz w:val="20"/>
                <w:szCs w:val="20"/>
                <w:lang w:eastAsia="sk-SK"/>
              </w:rPr>
              <w:br/>
            </w:r>
            <w:r w:rsidRPr="00CF38ED">
              <w:rPr>
                <w:rFonts w:ascii="Times New Roman" w:eastAsia="Times New Roman" w:hAnsi="Times New Roman" w:cs="Times New Roman"/>
                <w:b/>
                <w:bCs/>
                <w:color w:val="000000"/>
                <w:sz w:val="18"/>
                <w:szCs w:val="18"/>
                <w:lang w:eastAsia="sk-SK"/>
              </w:rPr>
              <w:t>(§, ods.)</w:t>
            </w:r>
          </w:p>
        </w:tc>
        <w:tc>
          <w:tcPr>
            <w:tcW w:w="1072"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CD75DE" w:rsidRPr="00CF38ED" w:rsidRDefault="00CD75DE" w:rsidP="008D3EB8">
            <w:pPr>
              <w:spacing w:after="0" w:line="240" w:lineRule="auto"/>
              <w:jc w:val="center"/>
              <w:rPr>
                <w:rFonts w:ascii="Times New Roman" w:eastAsia="Times New Roman" w:hAnsi="Times New Roman" w:cs="Times New Roman"/>
                <w:b/>
                <w:bCs/>
                <w:color w:val="000000"/>
                <w:sz w:val="20"/>
                <w:szCs w:val="20"/>
                <w:lang w:eastAsia="sk-SK"/>
              </w:rPr>
            </w:pPr>
            <w:r w:rsidRPr="00CF38ED">
              <w:rPr>
                <w:rFonts w:ascii="Times New Roman" w:eastAsia="Times New Roman" w:hAnsi="Times New Roman" w:cs="Times New Roman"/>
                <w:b/>
                <w:bCs/>
                <w:color w:val="000000"/>
                <w:sz w:val="20"/>
                <w:szCs w:val="20"/>
                <w:lang w:eastAsia="sk-SK"/>
              </w:rPr>
              <w:t xml:space="preserve">Pôvod regulácie: </w:t>
            </w:r>
            <w:r w:rsidRPr="00CF38ED">
              <w:rPr>
                <w:rFonts w:ascii="Times New Roman" w:eastAsia="Times New Roman" w:hAnsi="Times New Roman" w:cs="Times New Roman"/>
                <w:b/>
                <w:bCs/>
                <w:color w:val="000000"/>
                <w:sz w:val="20"/>
                <w:szCs w:val="20"/>
                <w:lang w:eastAsia="sk-SK"/>
              </w:rPr>
              <w:br/>
            </w:r>
            <w:r w:rsidRPr="00CF38ED">
              <w:rPr>
                <w:rFonts w:ascii="Times New Roman" w:eastAsia="Times New Roman" w:hAnsi="Times New Roman" w:cs="Times New Roman"/>
                <w:color w:val="000000"/>
                <w:sz w:val="18"/>
                <w:szCs w:val="18"/>
                <w:lang w:eastAsia="sk-SK"/>
              </w:rPr>
              <w:t xml:space="preserve">SR/EÚ úplná </w:t>
            </w:r>
            <w:proofErr w:type="spellStart"/>
            <w:r w:rsidRPr="00CF38ED">
              <w:rPr>
                <w:rFonts w:ascii="Times New Roman" w:eastAsia="Times New Roman" w:hAnsi="Times New Roman" w:cs="Times New Roman"/>
                <w:color w:val="000000"/>
                <w:sz w:val="18"/>
                <w:szCs w:val="18"/>
                <w:lang w:eastAsia="sk-SK"/>
              </w:rPr>
              <w:t>harm</w:t>
            </w:r>
            <w:proofErr w:type="spellEnd"/>
            <w:r w:rsidRPr="00CF38ED">
              <w:rPr>
                <w:rFonts w:ascii="Times New Roman" w:eastAsia="Times New Roman" w:hAnsi="Times New Roman" w:cs="Times New Roman"/>
                <w:color w:val="000000"/>
                <w:sz w:val="18"/>
                <w:szCs w:val="18"/>
                <w:lang w:eastAsia="sk-SK"/>
              </w:rPr>
              <w:t xml:space="preserve">./EÚ </w:t>
            </w:r>
            <w:proofErr w:type="spellStart"/>
            <w:r w:rsidRPr="00CF38ED">
              <w:rPr>
                <w:rFonts w:ascii="Times New Roman" w:eastAsia="Times New Roman" w:hAnsi="Times New Roman" w:cs="Times New Roman"/>
                <w:color w:val="000000"/>
                <w:sz w:val="18"/>
                <w:szCs w:val="18"/>
                <w:lang w:eastAsia="sk-SK"/>
              </w:rPr>
              <w:t>harm</w:t>
            </w:r>
            <w:proofErr w:type="spellEnd"/>
            <w:r w:rsidRPr="00CF38ED">
              <w:rPr>
                <w:rFonts w:ascii="Times New Roman" w:eastAsia="Times New Roman" w:hAnsi="Times New Roman" w:cs="Times New Roman"/>
                <w:color w:val="000000"/>
                <w:sz w:val="18"/>
                <w:szCs w:val="18"/>
                <w:lang w:eastAsia="sk-SK"/>
              </w:rPr>
              <w:t>. s možnosťou voľby</w:t>
            </w:r>
          </w:p>
        </w:tc>
        <w:tc>
          <w:tcPr>
            <w:tcW w:w="934"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CD75DE" w:rsidRPr="00CF38ED" w:rsidRDefault="00CD75DE" w:rsidP="008D3EB8">
            <w:pPr>
              <w:spacing w:after="0" w:line="240" w:lineRule="auto"/>
              <w:jc w:val="center"/>
              <w:rPr>
                <w:rFonts w:ascii="Times New Roman" w:eastAsia="Times New Roman" w:hAnsi="Times New Roman" w:cs="Times New Roman"/>
                <w:b/>
                <w:bCs/>
                <w:color w:val="000000"/>
                <w:sz w:val="20"/>
                <w:szCs w:val="20"/>
                <w:lang w:eastAsia="sk-SK"/>
              </w:rPr>
            </w:pPr>
            <w:r w:rsidRPr="00CF38ED">
              <w:rPr>
                <w:rFonts w:ascii="Times New Roman" w:eastAsia="Times New Roman" w:hAnsi="Times New Roman" w:cs="Times New Roman"/>
                <w:b/>
                <w:bCs/>
                <w:color w:val="000000"/>
                <w:sz w:val="20"/>
                <w:szCs w:val="20"/>
                <w:lang w:eastAsia="sk-SK"/>
              </w:rPr>
              <w:t>Účinnosť regulácie</w:t>
            </w:r>
          </w:p>
        </w:tc>
        <w:tc>
          <w:tcPr>
            <w:tcW w:w="1613"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CD75DE" w:rsidRPr="00CF38ED" w:rsidRDefault="00CD75DE" w:rsidP="008D3EB8">
            <w:pPr>
              <w:spacing w:after="0" w:line="240" w:lineRule="auto"/>
              <w:jc w:val="center"/>
              <w:rPr>
                <w:rFonts w:ascii="Times New Roman" w:eastAsia="Times New Roman" w:hAnsi="Times New Roman" w:cs="Times New Roman"/>
                <w:b/>
                <w:bCs/>
                <w:color w:val="000000"/>
                <w:sz w:val="20"/>
                <w:szCs w:val="20"/>
                <w:lang w:eastAsia="sk-SK"/>
              </w:rPr>
            </w:pPr>
            <w:r w:rsidRPr="00CF38ED">
              <w:rPr>
                <w:rFonts w:ascii="Times New Roman" w:eastAsia="Times New Roman" w:hAnsi="Times New Roman" w:cs="Times New Roman"/>
                <w:b/>
                <w:bCs/>
                <w:color w:val="000000"/>
                <w:sz w:val="20"/>
                <w:szCs w:val="20"/>
                <w:lang w:eastAsia="sk-SK"/>
              </w:rPr>
              <w:t xml:space="preserve">Kategória </w:t>
            </w:r>
            <w:proofErr w:type="spellStart"/>
            <w:r w:rsidRPr="00CF38ED">
              <w:rPr>
                <w:rFonts w:ascii="Times New Roman" w:eastAsia="Times New Roman" w:hAnsi="Times New Roman" w:cs="Times New Roman"/>
                <w:b/>
                <w:bCs/>
                <w:color w:val="000000"/>
                <w:sz w:val="20"/>
                <w:szCs w:val="20"/>
                <w:lang w:eastAsia="sk-SK"/>
              </w:rPr>
              <w:t>dotk</w:t>
            </w:r>
            <w:proofErr w:type="spellEnd"/>
            <w:r w:rsidRPr="00CF38ED">
              <w:rPr>
                <w:rFonts w:ascii="Times New Roman" w:eastAsia="Times New Roman" w:hAnsi="Times New Roman" w:cs="Times New Roman"/>
                <w:b/>
                <w:bCs/>
                <w:color w:val="000000"/>
                <w:sz w:val="20"/>
                <w:szCs w:val="20"/>
                <w:lang w:eastAsia="sk-SK"/>
              </w:rPr>
              <w:t>. subjektov</w:t>
            </w:r>
          </w:p>
        </w:tc>
        <w:tc>
          <w:tcPr>
            <w:tcW w:w="991"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CD75DE" w:rsidRPr="00CF38ED" w:rsidRDefault="00CD75DE" w:rsidP="008D3EB8">
            <w:pPr>
              <w:spacing w:after="0" w:line="240" w:lineRule="auto"/>
              <w:jc w:val="center"/>
              <w:rPr>
                <w:rFonts w:ascii="Times New Roman" w:eastAsia="Times New Roman" w:hAnsi="Times New Roman" w:cs="Times New Roman"/>
                <w:b/>
                <w:bCs/>
                <w:color w:val="000000"/>
                <w:sz w:val="20"/>
                <w:szCs w:val="20"/>
                <w:lang w:eastAsia="sk-SK"/>
              </w:rPr>
            </w:pPr>
            <w:r w:rsidRPr="00CF38ED">
              <w:rPr>
                <w:rFonts w:ascii="Times New Roman" w:eastAsia="Times New Roman" w:hAnsi="Times New Roman" w:cs="Times New Roman"/>
                <w:b/>
                <w:bCs/>
                <w:color w:val="000000"/>
                <w:sz w:val="20"/>
                <w:szCs w:val="20"/>
                <w:lang w:eastAsia="sk-SK"/>
              </w:rPr>
              <w:t xml:space="preserve">Počet subjektov spolu </w:t>
            </w:r>
          </w:p>
        </w:tc>
        <w:tc>
          <w:tcPr>
            <w:tcW w:w="1037"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CD75DE" w:rsidRPr="00CF38ED" w:rsidRDefault="00CD75DE" w:rsidP="008D3EB8">
            <w:pPr>
              <w:spacing w:after="0" w:line="240" w:lineRule="auto"/>
              <w:jc w:val="center"/>
              <w:rPr>
                <w:rFonts w:ascii="Times New Roman" w:eastAsia="Times New Roman" w:hAnsi="Times New Roman" w:cs="Times New Roman"/>
                <w:b/>
                <w:bCs/>
                <w:color w:val="000000"/>
                <w:sz w:val="20"/>
                <w:szCs w:val="20"/>
                <w:lang w:eastAsia="sk-SK"/>
              </w:rPr>
            </w:pPr>
            <w:r w:rsidRPr="00CF38ED">
              <w:rPr>
                <w:rFonts w:ascii="Times New Roman" w:eastAsia="Times New Roman" w:hAnsi="Times New Roman" w:cs="Times New Roman"/>
                <w:b/>
                <w:bCs/>
                <w:color w:val="000000"/>
                <w:sz w:val="20"/>
                <w:szCs w:val="20"/>
                <w:lang w:eastAsia="sk-SK"/>
              </w:rPr>
              <w:t>Počet subjektov MSP</w:t>
            </w:r>
          </w:p>
        </w:tc>
        <w:tc>
          <w:tcPr>
            <w:tcW w:w="854"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CD75DE" w:rsidRPr="00CF38ED" w:rsidRDefault="00CD75DE" w:rsidP="008D3EB8">
            <w:pPr>
              <w:spacing w:after="0" w:line="240" w:lineRule="auto"/>
              <w:jc w:val="center"/>
              <w:rPr>
                <w:rFonts w:ascii="Times New Roman" w:eastAsia="Times New Roman" w:hAnsi="Times New Roman" w:cs="Times New Roman"/>
                <w:b/>
                <w:bCs/>
                <w:color w:val="000000"/>
                <w:sz w:val="20"/>
                <w:szCs w:val="20"/>
                <w:lang w:eastAsia="sk-SK"/>
              </w:rPr>
            </w:pPr>
            <w:r w:rsidRPr="00CF38ED">
              <w:rPr>
                <w:rFonts w:ascii="Times New Roman" w:eastAsia="Times New Roman" w:hAnsi="Times New Roman" w:cs="Times New Roman"/>
                <w:b/>
                <w:bCs/>
                <w:color w:val="000000"/>
                <w:sz w:val="20"/>
                <w:szCs w:val="20"/>
                <w:lang w:eastAsia="sk-SK"/>
              </w:rPr>
              <w:t>Vplyv na 1 podnik. v €</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CD75DE" w:rsidRPr="00CF38ED" w:rsidRDefault="00CD75DE" w:rsidP="008D3EB8">
            <w:pPr>
              <w:spacing w:after="0" w:line="240" w:lineRule="auto"/>
              <w:jc w:val="center"/>
              <w:rPr>
                <w:rFonts w:ascii="Times New Roman" w:eastAsia="Times New Roman" w:hAnsi="Times New Roman" w:cs="Times New Roman"/>
                <w:b/>
                <w:bCs/>
                <w:color w:val="000000"/>
                <w:sz w:val="20"/>
                <w:szCs w:val="20"/>
                <w:lang w:eastAsia="sk-SK"/>
              </w:rPr>
            </w:pPr>
            <w:r w:rsidRPr="00CF38ED">
              <w:rPr>
                <w:rFonts w:ascii="Times New Roman" w:eastAsia="Times New Roman" w:hAnsi="Times New Roman" w:cs="Times New Roman"/>
                <w:b/>
                <w:bCs/>
                <w:color w:val="000000"/>
                <w:sz w:val="20"/>
                <w:szCs w:val="20"/>
                <w:lang w:eastAsia="sk-SK"/>
              </w:rPr>
              <w:t xml:space="preserve">Vplyv na kategóriu </w:t>
            </w:r>
            <w:proofErr w:type="spellStart"/>
            <w:r w:rsidRPr="00CF38ED">
              <w:rPr>
                <w:rFonts w:ascii="Times New Roman" w:eastAsia="Times New Roman" w:hAnsi="Times New Roman" w:cs="Times New Roman"/>
                <w:b/>
                <w:bCs/>
                <w:color w:val="000000"/>
                <w:sz w:val="20"/>
                <w:szCs w:val="20"/>
                <w:lang w:eastAsia="sk-SK"/>
              </w:rPr>
              <w:t>dotk</w:t>
            </w:r>
            <w:proofErr w:type="spellEnd"/>
            <w:r w:rsidRPr="00CF38ED">
              <w:rPr>
                <w:rFonts w:ascii="Times New Roman" w:eastAsia="Times New Roman" w:hAnsi="Times New Roman" w:cs="Times New Roman"/>
                <w:b/>
                <w:bCs/>
                <w:color w:val="000000"/>
                <w:sz w:val="20"/>
                <w:szCs w:val="20"/>
                <w:lang w:eastAsia="sk-SK"/>
              </w:rPr>
              <w:t>. subjektov v €</w:t>
            </w:r>
          </w:p>
        </w:tc>
        <w:tc>
          <w:tcPr>
            <w:tcW w:w="2268"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CD75DE" w:rsidRPr="00CF38ED" w:rsidRDefault="00CD75DE" w:rsidP="008D3EB8">
            <w:pPr>
              <w:spacing w:after="0" w:line="240" w:lineRule="auto"/>
              <w:jc w:val="center"/>
              <w:rPr>
                <w:rFonts w:ascii="Times New Roman" w:eastAsia="Times New Roman" w:hAnsi="Times New Roman" w:cs="Times New Roman"/>
                <w:b/>
                <w:bCs/>
                <w:color w:val="000000"/>
                <w:sz w:val="20"/>
                <w:szCs w:val="20"/>
                <w:lang w:eastAsia="sk-SK"/>
              </w:rPr>
            </w:pPr>
            <w:r w:rsidRPr="00CF38ED">
              <w:rPr>
                <w:rFonts w:ascii="Times New Roman" w:eastAsia="Times New Roman" w:hAnsi="Times New Roman" w:cs="Times New Roman"/>
                <w:b/>
                <w:bCs/>
                <w:color w:val="000000"/>
                <w:sz w:val="20"/>
                <w:szCs w:val="20"/>
                <w:lang w:eastAsia="sk-SK"/>
              </w:rPr>
              <w:t>Druh vplyvu</w:t>
            </w:r>
            <w:r w:rsidRPr="00CF38ED">
              <w:rPr>
                <w:rFonts w:ascii="Times New Roman" w:eastAsia="Times New Roman" w:hAnsi="Times New Roman" w:cs="Times New Roman"/>
                <w:b/>
                <w:bCs/>
                <w:color w:val="000000"/>
                <w:sz w:val="20"/>
                <w:szCs w:val="20"/>
                <w:lang w:eastAsia="sk-SK"/>
              </w:rPr>
              <w:br/>
            </w:r>
            <w:r w:rsidRPr="00CF38ED">
              <w:rPr>
                <w:rFonts w:ascii="Times New Roman" w:eastAsia="Times New Roman" w:hAnsi="Times New Roman" w:cs="Times New Roman"/>
                <w:color w:val="000000"/>
                <w:sz w:val="18"/>
                <w:szCs w:val="18"/>
                <w:lang w:eastAsia="sk-SK"/>
              </w:rPr>
              <w:t xml:space="preserve">In (zvyšuje náklady) / </w:t>
            </w:r>
            <w:r w:rsidRPr="00CF38ED">
              <w:rPr>
                <w:rFonts w:ascii="Times New Roman" w:eastAsia="Times New Roman" w:hAnsi="Times New Roman" w:cs="Times New Roman"/>
                <w:color w:val="000000"/>
                <w:sz w:val="18"/>
                <w:szCs w:val="18"/>
                <w:lang w:eastAsia="sk-SK"/>
              </w:rPr>
              <w:br/>
            </w:r>
            <w:proofErr w:type="spellStart"/>
            <w:r w:rsidRPr="00CF38ED">
              <w:rPr>
                <w:rFonts w:ascii="Times New Roman" w:eastAsia="Times New Roman" w:hAnsi="Times New Roman" w:cs="Times New Roman"/>
                <w:color w:val="000000"/>
                <w:sz w:val="18"/>
                <w:szCs w:val="18"/>
                <w:lang w:eastAsia="sk-SK"/>
              </w:rPr>
              <w:t>Out</w:t>
            </w:r>
            <w:proofErr w:type="spellEnd"/>
            <w:r w:rsidRPr="00CF38ED">
              <w:rPr>
                <w:rFonts w:ascii="Times New Roman" w:eastAsia="Times New Roman" w:hAnsi="Times New Roman" w:cs="Times New Roman"/>
                <w:color w:val="000000"/>
                <w:sz w:val="18"/>
                <w:szCs w:val="18"/>
                <w:lang w:eastAsia="sk-SK"/>
              </w:rPr>
              <w:t xml:space="preserve"> (znižuje náklady)</w:t>
            </w:r>
          </w:p>
        </w:tc>
      </w:tr>
      <w:tr w:rsidR="00CD75DE" w:rsidRPr="00CF38ED" w:rsidTr="008D3EB8">
        <w:trPr>
          <w:trHeight w:val="450"/>
        </w:trPr>
        <w:tc>
          <w:tcPr>
            <w:tcW w:w="452" w:type="dxa"/>
            <w:vMerge/>
            <w:tcBorders>
              <w:top w:val="single" w:sz="4" w:space="0" w:color="auto"/>
              <w:left w:val="single" w:sz="4" w:space="0" w:color="auto"/>
              <w:bottom w:val="single" w:sz="4" w:space="0" w:color="auto"/>
              <w:right w:val="single" w:sz="4" w:space="0" w:color="auto"/>
            </w:tcBorders>
            <w:vAlign w:val="center"/>
            <w:hideMark/>
          </w:tcPr>
          <w:p w:rsidR="00CD75DE" w:rsidRPr="00CF38ED" w:rsidRDefault="00CD75DE" w:rsidP="008D3EB8">
            <w:pPr>
              <w:spacing w:after="0" w:line="240" w:lineRule="auto"/>
              <w:rPr>
                <w:rFonts w:ascii="Times New Roman" w:eastAsia="Times New Roman" w:hAnsi="Times New Roman" w:cs="Times New Roman"/>
                <w:b/>
                <w:bCs/>
                <w:color w:val="000000"/>
                <w:sz w:val="20"/>
                <w:szCs w:val="20"/>
                <w:lang w:eastAsia="sk-SK"/>
              </w:rPr>
            </w:pPr>
          </w:p>
        </w:tc>
        <w:tc>
          <w:tcPr>
            <w:tcW w:w="1618" w:type="dxa"/>
            <w:vMerge/>
            <w:tcBorders>
              <w:top w:val="single" w:sz="4" w:space="0" w:color="auto"/>
              <w:left w:val="single" w:sz="4" w:space="0" w:color="auto"/>
              <w:bottom w:val="single" w:sz="4" w:space="0" w:color="auto"/>
              <w:right w:val="single" w:sz="4" w:space="0" w:color="auto"/>
            </w:tcBorders>
            <w:vAlign w:val="center"/>
            <w:hideMark/>
          </w:tcPr>
          <w:p w:rsidR="00CD75DE" w:rsidRPr="00CF38ED" w:rsidRDefault="00CD75DE" w:rsidP="008D3EB8">
            <w:pPr>
              <w:spacing w:after="0" w:line="240" w:lineRule="auto"/>
              <w:rPr>
                <w:rFonts w:ascii="Times New Roman" w:eastAsia="Times New Roman" w:hAnsi="Times New Roman" w:cs="Times New Roman"/>
                <w:b/>
                <w:bCs/>
                <w:color w:val="000000"/>
                <w:sz w:val="20"/>
                <w:szCs w:val="20"/>
                <w:lang w:eastAsia="sk-SK"/>
              </w:rPr>
            </w:pPr>
          </w:p>
        </w:tc>
        <w:tc>
          <w:tcPr>
            <w:tcW w:w="790" w:type="dxa"/>
            <w:vMerge/>
            <w:tcBorders>
              <w:top w:val="single" w:sz="4" w:space="0" w:color="auto"/>
              <w:left w:val="single" w:sz="4" w:space="0" w:color="auto"/>
              <w:bottom w:val="single" w:sz="4" w:space="0" w:color="000000"/>
              <w:right w:val="single" w:sz="4" w:space="0" w:color="auto"/>
            </w:tcBorders>
            <w:vAlign w:val="center"/>
            <w:hideMark/>
          </w:tcPr>
          <w:p w:rsidR="00CD75DE" w:rsidRPr="00CF38ED" w:rsidRDefault="00CD75DE" w:rsidP="008D3EB8">
            <w:pPr>
              <w:spacing w:after="0" w:line="240" w:lineRule="auto"/>
              <w:rPr>
                <w:rFonts w:ascii="Times New Roman" w:eastAsia="Times New Roman" w:hAnsi="Times New Roman" w:cs="Times New Roman"/>
                <w:b/>
                <w:bCs/>
                <w:color w:val="000000"/>
                <w:sz w:val="20"/>
                <w:szCs w:val="20"/>
                <w:lang w:eastAsia="sk-SK"/>
              </w:rPr>
            </w:pPr>
          </w:p>
        </w:tc>
        <w:tc>
          <w:tcPr>
            <w:tcW w:w="1129" w:type="dxa"/>
            <w:vMerge/>
            <w:tcBorders>
              <w:top w:val="single" w:sz="4" w:space="0" w:color="auto"/>
              <w:left w:val="single" w:sz="4" w:space="0" w:color="auto"/>
              <w:bottom w:val="single" w:sz="4" w:space="0" w:color="000000"/>
              <w:right w:val="single" w:sz="4" w:space="0" w:color="auto"/>
            </w:tcBorders>
            <w:vAlign w:val="center"/>
            <w:hideMark/>
          </w:tcPr>
          <w:p w:rsidR="00CD75DE" w:rsidRPr="00CF38ED" w:rsidRDefault="00CD75DE" w:rsidP="008D3EB8">
            <w:pPr>
              <w:spacing w:after="0" w:line="240" w:lineRule="auto"/>
              <w:rPr>
                <w:rFonts w:ascii="Times New Roman" w:eastAsia="Times New Roman" w:hAnsi="Times New Roman" w:cs="Times New Roman"/>
                <w:b/>
                <w:bCs/>
                <w:color w:val="000000"/>
                <w:sz w:val="20"/>
                <w:szCs w:val="20"/>
                <w:lang w:eastAsia="sk-SK"/>
              </w:rPr>
            </w:pPr>
          </w:p>
        </w:tc>
        <w:tc>
          <w:tcPr>
            <w:tcW w:w="1072" w:type="dxa"/>
            <w:vMerge/>
            <w:tcBorders>
              <w:top w:val="single" w:sz="4" w:space="0" w:color="auto"/>
              <w:left w:val="single" w:sz="4" w:space="0" w:color="auto"/>
              <w:bottom w:val="single" w:sz="4" w:space="0" w:color="auto"/>
              <w:right w:val="single" w:sz="4" w:space="0" w:color="auto"/>
            </w:tcBorders>
            <w:vAlign w:val="center"/>
            <w:hideMark/>
          </w:tcPr>
          <w:p w:rsidR="00CD75DE" w:rsidRPr="00CF38ED" w:rsidRDefault="00CD75DE" w:rsidP="008D3EB8">
            <w:pPr>
              <w:spacing w:after="0" w:line="240" w:lineRule="auto"/>
              <w:rPr>
                <w:rFonts w:ascii="Times New Roman" w:eastAsia="Times New Roman" w:hAnsi="Times New Roman" w:cs="Times New Roman"/>
                <w:b/>
                <w:bCs/>
                <w:color w:val="000000"/>
                <w:sz w:val="20"/>
                <w:szCs w:val="20"/>
                <w:lang w:eastAsia="sk-SK"/>
              </w:rPr>
            </w:pPr>
          </w:p>
        </w:tc>
        <w:tc>
          <w:tcPr>
            <w:tcW w:w="934" w:type="dxa"/>
            <w:vMerge/>
            <w:tcBorders>
              <w:top w:val="single" w:sz="4" w:space="0" w:color="auto"/>
              <w:left w:val="single" w:sz="4" w:space="0" w:color="auto"/>
              <w:bottom w:val="single" w:sz="4" w:space="0" w:color="auto"/>
              <w:right w:val="single" w:sz="4" w:space="0" w:color="auto"/>
            </w:tcBorders>
            <w:vAlign w:val="center"/>
            <w:hideMark/>
          </w:tcPr>
          <w:p w:rsidR="00CD75DE" w:rsidRPr="00CF38ED" w:rsidRDefault="00CD75DE" w:rsidP="008D3EB8">
            <w:pPr>
              <w:spacing w:after="0" w:line="240" w:lineRule="auto"/>
              <w:rPr>
                <w:rFonts w:ascii="Times New Roman" w:eastAsia="Times New Roman" w:hAnsi="Times New Roman" w:cs="Times New Roman"/>
                <w:b/>
                <w:bCs/>
                <w:color w:val="000000"/>
                <w:sz w:val="20"/>
                <w:szCs w:val="20"/>
                <w:lang w:eastAsia="sk-SK"/>
              </w:rPr>
            </w:pPr>
          </w:p>
        </w:tc>
        <w:tc>
          <w:tcPr>
            <w:tcW w:w="1613" w:type="dxa"/>
            <w:vMerge/>
            <w:tcBorders>
              <w:top w:val="single" w:sz="4" w:space="0" w:color="auto"/>
              <w:left w:val="single" w:sz="4" w:space="0" w:color="auto"/>
              <w:bottom w:val="single" w:sz="4" w:space="0" w:color="auto"/>
              <w:right w:val="single" w:sz="4" w:space="0" w:color="auto"/>
            </w:tcBorders>
            <w:vAlign w:val="center"/>
            <w:hideMark/>
          </w:tcPr>
          <w:p w:rsidR="00CD75DE" w:rsidRPr="00CF38ED" w:rsidRDefault="00CD75DE" w:rsidP="008D3EB8">
            <w:pPr>
              <w:spacing w:after="0" w:line="240" w:lineRule="auto"/>
              <w:rPr>
                <w:rFonts w:ascii="Times New Roman" w:eastAsia="Times New Roman" w:hAnsi="Times New Roman" w:cs="Times New Roman"/>
                <w:b/>
                <w:bCs/>
                <w:color w:val="000000"/>
                <w:sz w:val="20"/>
                <w:szCs w:val="20"/>
                <w:lang w:eastAsia="sk-SK"/>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rsidR="00CD75DE" w:rsidRPr="00CF38ED" w:rsidRDefault="00CD75DE" w:rsidP="008D3EB8">
            <w:pPr>
              <w:spacing w:after="0" w:line="240" w:lineRule="auto"/>
              <w:rPr>
                <w:rFonts w:ascii="Times New Roman" w:eastAsia="Times New Roman" w:hAnsi="Times New Roman" w:cs="Times New Roman"/>
                <w:b/>
                <w:bCs/>
                <w:color w:val="000000"/>
                <w:sz w:val="20"/>
                <w:szCs w:val="20"/>
                <w:lang w:eastAsia="sk-SK"/>
              </w:rPr>
            </w:pPr>
          </w:p>
        </w:tc>
        <w:tc>
          <w:tcPr>
            <w:tcW w:w="1037" w:type="dxa"/>
            <w:vMerge/>
            <w:tcBorders>
              <w:top w:val="single" w:sz="4" w:space="0" w:color="auto"/>
              <w:left w:val="single" w:sz="4" w:space="0" w:color="auto"/>
              <w:bottom w:val="single" w:sz="4" w:space="0" w:color="auto"/>
              <w:right w:val="single" w:sz="4" w:space="0" w:color="auto"/>
            </w:tcBorders>
            <w:vAlign w:val="center"/>
            <w:hideMark/>
          </w:tcPr>
          <w:p w:rsidR="00CD75DE" w:rsidRPr="00CF38ED" w:rsidRDefault="00CD75DE" w:rsidP="008D3EB8">
            <w:pPr>
              <w:spacing w:after="0" w:line="240" w:lineRule="auto"/>
              <w:rPr>
                <w:rFonts w:ascii="Times New Roman" w:eastAsia="Times New Roman" w:hAnsi="Times New Roman" w:cs="Times New Roman"/>
                <w:b/>
                <w:bCs/>
                <w:color w:val="000000"/>
                <w:sz w:val="20"/>
                <w:szCs w:val="20"/>
                <w:lang w:eastAsia="sk-SK"/>
              </w:rPr>
            </w:pPr>
          </w:p>
        </w:tc>
        <w:tc>
          <w:tcPr>
            <w:tcW w:w="854" w:type="dxa"/>
            <w:vMerge/>
            <w:tcBorders>
              <w:top w:val="single" w:sz="4" w:space="0" w:color="auto"/>
              <w:left w:val="single" w:sz="4" w:space="0" w:color="auto"/>
              <w:bottom w:val="single" w:sz="4" w:space="0" w:color="auto"/>
              <w:right w:val="single" w:sz="4" w:space="0" w:color="auto"/>
            </w:tcBorders>
            <w:vAlign w:val="center"/>
            <w:hideMark/>
          </w:tcPr>
          <w:p w:rsidR="00CD75DE" w:rsidRPr="00CF38ED" w:rsidRDefault="00CD75DE" w:rsidP="008D3EB8">
            <w:pPr>
              <w:spacing w:after="0" w:line="240" w:lineRule="auto"/>
              <w:rPr>
                <w:rFonts w:ascii="Times New Roman" w:eastAsia="Times New Roman" w:hAnsi="Times New Roman" w:cs="Times New Roman"/>
                <w:b/>
                <w:bCs/>
                <w:color w:val="000000"/>
                <w:sz w:val="20"/>
                <w:szCs w:val="20"/>
                <w:lang w:eastAsia="sk-SK"/>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D75DE" w:rsidRPr="00CF38ED" w:rsidRDefault="00CD75DE" w:rsidP="008D3EB8">
            <w:pPr>
              <w:spacing w:after="0" w:line="240" w:lineRule="auto"/>
              <w:rPr>
                <w:rFonts w:ascii="Times New Roman" w:eastAsia="Times New Roman" w:hAnsi="Times New Roman" w:cs="Times New Roman"/>
                <w:b/>
                <w:bCs/>
                <w:color w:val="000000"/>
                <w:sz w:val="20"/>
                <w:szCs w:val="20"/>
                <w:lang w:eastAsia="sk-SK"/>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CD75DE" w:rsidRPr="00CF38ED" w:rsidRDefault="00CD75DE" w:rsidP="008D3EB8">
            <w:pPr>
              <w:spacing w:after="0" w:line="240" w:lineRule="auto"/>
              <w:rPr>
                <w:rFonts w:ascii="Times New Roman" w:eastAsia="Times New Roman" w:hAnsi="Times New Roman" w:cs="Times New Roman"/>
                <w:b/>
                <w:bCs/>
                <w:color w:val="000000"/>
                <w:sz w:val="20"/>
                <w:szCs w:val="20"/>
                <w:lang w:eastAsia="sk-SK"/>
              </w:rPr>
            </w:pPr>
          </w:p>
        </w:tc>
      </w:tr>
      <w:tr w:rsidR="00CD75DE" w:rsidRPr="00CF38ED" w:rsidTr="008D3EB8">
        <w:trPr>
          <w:trHeight w:val="450"/>
        </w:trPr>
        <w:tc>
          <w:tcPr>
            <w:tcW w:w="452" w:type="dxa"/>
            <w:vMerge/>
            <w:tcBorders>
              <w:top w:val="single" w:sz="4" w:space="0" w:color="auto"/>
              <w:left w:val="single" w:sz="4" w:space="0" w:color="auto"/>
              <w:bottom w:val="single" w:sz="4" w:space="0" w:color="auto"/>
              <w:right w:val="single" w:sz="4" w:space="0" w:color="auto"/>
            </w:tcBorders>
            <w:vAlign w:val="center"/>
            <w:hideMark/>
          </w:tcPr>
          <w:p w:rsidR="00CD75DE" w:rsidRPr="00CF38ED" w:rsidRDefault="00CD75DE" w:rsidP="008D3EB8">
            <w:pPr>
              <w:spacing w:after="0" w:line="240" w:lineRule="auto"/>
              <w:rPr>
                <w:rFonts w:ascii="Times New Roman" w:eastAsia="Times New Roman" w:hAnsi="Times New Roman" w:cs="Times New Roman"/>
                <w:b/>
                <w:bCs/>
                <w:color w:val="000000"/>
                <w:sz w:val="20"/>
                <w:szCs w:val="20"/>
                <w:lang w:eastAsia="sk-SK"/>
              </w:rPr>
            </w:pPr>
          </w:p>
        </w:tc>
        <w:tc>
          <w:tcPr>
            <w:tcW w:w="1618" w:type="dxa"/>
            <w:vMerge/>
            <w:tcBorders>
              <w:top w:val="single" w:sz="4" w:space="0" w:color="auto"/>
              <w:left w:val="single" w:sz="4" w:space="0" w:color="auto"/>
              <w:bottom w:val="single" w:sz="4" w:space="0" w:color="auto"/>
              <w:right w:val="single" w:sz="4" w:space="0" w:color="auto"/>
            </w:tcBorders>
            <w:vAlign w:val="center"/>
            <w:hideMark/>
          </w:tcPr>
          <w:p w:rsidR="00CD75DE" w:rsidRPr="00CF38ED" w:rsidRDefault="00CD75DE" w:rsidP="008D3EB8">
            <w:pPr>
              <w:spacing w:after="0" w:line="240" w:lineRule="auto"/>
              <w:rPr>
                <w:rFonts w:ascii="Times New Roman" w:eastAsia="Times New Roman" w:hAnsi="Times New Roman" w:cs="Times New Roman"/>
                <w:b/>
                <w:bCs/>
                <w:color w:val="000000"/>
                <w:sz w:val="20"/>
                <w:szCs w:val="20"/>
                <w:lang w:eastAsia="sk-SK"/>
              </w:rPr>
            </w:pPr>
          </w:p>
        </w:tc>
        <w:tc>
          <w:tcPr>
            <w:tcW w:w="790" w:type="dxa"/>
            <w:vMerge/>
            <w:tcBorders>
              <w:top w:val="single" w:sz="4" w:space="0" w:color="auto"/>
              <w:left w:val="single" w:sz="4" w:space="0" w:color="auto"/>
              <w:bottom w:val="single" w:sz="4" w:space="0" w:color="000000"/>
              <w:right w:val="single" w:sz="4" w:space="0" w:color="auto"/>
            </w:tcBorders>
            <w:vAlign w:val="center"/>
            <w:hideMark/>
          </w:tcPr>
          <w:p w:rsidR="00CD75DE" w:rsidRPr="00CF38ED" w:rsidRDefault="00CD75DE" w:rsidP="008D3EB8">
            <w:pPr>
              <w:spacing w:after="0" w:line="240" w:lineRule="auto"/>
              <w:rPr>
                <w:rFonts w:ascii="Times New Roman" w:eastAsia="Times New Roman" w:hAnsi="Times New Roman" w:cs="Times New Roman"/>
                <w:b/>
                <w:bCs/>
                <w:color w:val="000000"/>
                <w:sz w:val="20"/>
                <w:szCs w:val="20"/>
                <w:lang w:eastAsia="sk-SK"/>
              </w:rPr>
            </w:pPr>
          </w:p>
        </w:tc>
        <w:tc>
          <w:tcPr>
            <w:tcW w:w="1129" w:type="dxa"/>
            <w:vMerge/>
            <w:tcBorders>
              <w:top w:val="single" w:sz="4" w:space="0" w:color="auto"/>
              <w:left w:val="single" w:sz="4" w:space="0" w:color="auto"/>
              <w:bottom w:val="single" w:sz="4" w:space="0" w:color="000000"/>
              <w:right w:val="single" w:sz="4" w:space="0" w:color="auto"/>
            </w:tcBorders>
            <w:vAlign w:val="center"/>
            <w:hideMark/>
          </w:tcPr>
          <w:p w:rsidR="00CD75DE" w:rsidRPr="00CF38ED" w:rsidRDefault="00CD75DE" w:rsidP="008D3EB8">
            <w:pPr>
              <w:spacing w:after="0" w:line="240" w:lineRule="auto"/>
              <w:rPr>
                <w:rFonts w:ascii="Times New Roman" w:eastAsia="Times New Roman" w:hAnsi="Times New Roman" w:cs="Times New Roman"/>
                <w:b/>
                <w:bCs/>
                <w:color w:val="000000"/>
                <w:sz w:val="20"/>
                <w:szCs w:val="20"/>
                <w:lang w:eastAsia="sk-SK"/>
              </w:rPr>
            </w:pPr>
          </w:p>
        </w:tc>
        <w:tc>
          <w:tcPr>
            <w:tcW w:w="1072" w:type="dxa"/>
            <w:vMerge/>
            <w:tcBorders>
              <w:top w:val="single" w:sz="4" w:space="0" w:color="auto"/>
              <w:left w:val="single" w:sz="4" w:space="0" w:color="auto"/>
              <w:bottom w:val="single" w:sz="4" w:space="0" w:color="auto"/>
              <w:right w:val="single" w:sz="4" w:space="0" w:color="auto"/>
            </w:tcBorders>
            <w:vAlign w:val="center"/>
            <w:hideMark/>
          </w:tcPr>
          <w:p w:rsidR="00CD75DE" w:rsidRPr="00CF38ED" w:rsidRDefault="00CD75DE" w:rsidP="008D3EB8">
            <w:pPr>
              <w:spacing w:after="0" w:line="240" w:lineRule="auto"/>
              <w:rPr>
                <w:rFonts w:ascii="Times New Roman" w:eastAsia="Times New Roman" w:hAnsi="Times New Roman" w:cs="Times New Roman"/>
                <w:b/>
                <w:bCs/>
                <w:color w:val="000000"/>
                <w:sz w:val="20"/>
                <w:szCs w:val="20"/>
                <w:lang w:eastAsia="sk-SK"/>
              </w:rPr>
            </w:pPr>
          </w:p>
        </w:tc>
        <w:tc>
          <w:tcPr>
            <w:tcW w:w="934" w:type="dxa"/>
            <w:vMerge/>
            <w:tcBorders>
              <w:top w:val="single" w:sz="4" w:space="0" w:color="auto"/>
              <w:left w:val="single" w:sz="4" w:space="0" w:color="auto"/>
              <w:bottom w:val="single" w:sz="4" w:space="0" w:color="auto"/>
              <w:right w:val="single" w:sz="4" w:space="0" w:color="auto"/>
            </w:tcBorders>
            <w:vAlign w:val="center"/>
            <w:hideMark/>
          </w:tcPr>
          <w:p w:rsidR="00CD75DE" w:rsidRPr="00CF38ED" w:rsidRDefault="00CD75DE" w:rsidP="008D3EB8">
            <w:pPr>
              <w:spacing w:after="0" w:line="240" w:lineRule="auto"/>
              <w:rPr>
                <w:rFonts w:ascii="Times New Roman" w:eastAsia="Times New Roman" w:hAnsi="Times New Roman" w:cs="Times New Roman"/>
                <w:b/>
                <w:bCs/>
                <w:color w:val="000000"/>
                <w:sz w:val="20"/>
                <w:szCs w:val="20"/>
                <w:lang w:eastAsia="sk-SK"/>
              </w:rPr>
            </w:pPr>
          </w:p>
        </w:tc>
        <w:tc>
          <w:tcPr>
            <w:tcW w:w="1613" w:type="dxa"/>
            <w:vMerge/>
            <w:tcBorders>
              <w:top w:val="single" w:sz="4" w:space="0" w:color="auto"/>
              <w:left w:val="single" w:sz="4" w:space="0" w:color="auto"/>
              <w:bottom w:val="single" w:sz="4" w:space="0" w:color="auto"/>
              <w:right w:val="single" w:sz="4" w:space="0" w:color="auto"/>
            </w:tcBorders>
            <w:vAlign w:val="center"/>
            <w:hideMark/>
          </w:tcPr>
          <w:p w:rsidR="00CD75DE" w:rsidRPr="00CF38ED" w:rsidRDefault="00CD75DE" w:rsidP="008D3EB8">
            <w:pPr>
              <w:spacing w:after="0" w:line="240" w:lineRule="auto"/>
              <w:rPr>
                <w:rFonts w:ascii="Times New Roman" w:eastAsia="Times New Roman" w:hAnsi="Times New Roman" w:cs="Times New Roman"/>
                <w:b/>
                <w:bCs/>
                <w:color w:val="000000"/>
                <w:sz w:val="20"/>
                <w:szCs w:val="20"/>
                <w:lang w:eastAsia="sk-SK"/>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rsidR="00CD75DE" w:rsidRPr="00CF38ED" w:rsidRDefault="00CD75DE" w:rsidP="008D3EB8">
            <w:pPr>
              <w:spacing w:after="0" w:line="240" w:lineRule="auto"/>
              <w:rPr>
                <w:rFonts w:ascii="Times New Roman" w:eastAsia="Times New Roman" w:hAnsi="Times New Roman" w:cs="Times New Roman"/>
                <w:b/>
                <w:bCs/>
                <w:color w:val="000000"/>
                <w:sz w:val="20"/>
                <w:szCs w:val="20"/>
                <w:lang w:eastAsia="sk-SK"/>
              </w:rPr>
            </w:pPr>
          </w:p>
        </w:tc>
        <w:tc>
          <w:tcPr>
            <w:tcW w:w="1037" w:type="dxa"/>
            <w:vMerge/>
            <w:tcBorders>
              <w:top w:val="single" w:sz="4" w:space="0" w:color="auto"/>
              <w:left w:val="single" w:sz="4" w:space="0" w:color="auto"/>
              <w:bottom w:val="single" w:sz="4" w:space="0" w:color="auto"/>
              <w:right w:val="single" w:sz="4" w:space="0" w:color="auto"/>
            </w:tcBorders>
            <w:vAlign w:val="center"/>
            <w:hideMark/>
          </w:tcPr>
          <w:p w:rsidR="00CD75DE" w:rsidRPr="00CF38ED" w:rsidRDefault="00CD75DE" w:rsidP="008D3EB8">
            <w:pPr>
              <w:spacing w:after="0" w:line="240" w:lineRule="auto"/>
              <w:rPr>
                <w:rFonts w:ascii="Times New Roman" w:eastAsia="Times New Roman" w:hAnsi="Times New Roman" w:cs="Times New Roman"/>
                <w:b/>
                <w:bCs/>
                <w:color w:val="000000"/>
                <w:sz w:val="20"/>
                <w:szCs w:val="20"/>
                <w:lang w:eastAsia="sk-SK"/>
              </w:rPr>
            </w:pPr>
          </w:p>
        </w:tc>
        <w:tc>
          <w:tcPr>
            <w:tcW w:w="854" w:type="dxa"/>
            <w:vMerge/>
            <w:tcBorders>
              <w:top w:val="single" w:sz="4" w:space="0" w:color="auto"/>
              <w:left w:val="single" w:sz="4" w:space="0" w:color="auto"/>
              <w:bottom w:val="single" w:sz="4" w:space="0" w:color="auto"/>
              <w:right w:val="single" w:sz="4" w:space="0" w:color="auto"/>
            </w:tcBorders>
            <w:vAlign w:val="center"/>
            <w:hideMark/>
          </w:tcPr>
          <w:p w:rsidR="00CD75DE" w:rsidRPr="00CF38ED" w:rsidRDefault="00CD75DE" w:rsidP="008D3EB8">
            <w:pPr>
              <w:spacing w:after="0" w:line="240" w:lineRule="auto"/>
              <w:rPr>
                <w:rFonts w:ascii="Times New Roman" w:eastAsia="Times New Roman" w:hAnsi="Times New Roman" w:cs="Times New Roman"/>
                <w:b/>
                <w:bCs/>
                <w:color w:val="000000"/>
                <w:sz w:val="20"/>
                <w:szCs w:val="20"/>
                <w:lang w:eastAsia="sk-SK"/>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D75DE" w:rsidRPr="00CF38ED" w:rsidRDefault="00CD75DE" w:rsidP="008D3EB8">
            <w:pPr>
              <w:spacing w:after="0" w:line="240" w:lineRule="auto"/>
              <w:rPr>
                <w:rFonts w:ascii="Times New Roman" w:eastAsia="Times New Roman" w:hAnsi="Times New Roman" w:cs="Times New Roman"/>
                <w:b/>
                <w:bCs/>
                <w:color w:val="000000"/>
                <w:sz w:val="20"/>
                <w:szCs w:val="20"/>
                <w:lang w:eastAsia="sk-SK"/>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CD75DE" w:rsidRPr="00CF38ED" w:rsidRDefault="00CD75DE" w:rsidP="008D3EB8">
            <w:pPr>
              <w:spacing w:after="0" w:line="240" w:lineRule="auto"/>
              <w:rPr>
                <w:rFonts w:ascii="Times New Roman" w:eastAsia="Times New Roman" w:hAnsi="Times New Roman" w:cs="Times New Roman"/>
                <w:b/>
                <w:bCs/>
                <w:color w:val="000000"/>
                <w:sz w:val="20"/>
                <w:szCs w:val="20"/>
                <w:lang w:eastAsia="sk-SK"/>
              </w:rPr>
            </w:pPr>
          </w:p>
        </w:tc>
      </w:tr>
      <w:tr w:rsidR="00CD75DE" w:rsidRPr="00CF38ED" w:rsidTr="008D3EB8">
        <w:trPr>
          <w:trHeight w:val="450"/>
        </w:trPr>
        <w:tc>
          <w:tcPr>
            <w:tcW w:w="452" w:type="dxa"/>
            <w:vMerge/>
            <w:tcBorders>
              <w:top w:val="single" w:sz="4" w:space="0" w:color="auto"/>
              <w:left w:val="single" w:sz="4" w:space="0" w:color="auto"/>
              <w:bottom w:val="single" w:sz="4" w:space="0" w:color="auto"/>
              <w:right w:val="single" w:sz="4" w:space="0" w:color="auto"/>
            </w:tcBorders>
            <w:vAlign w:val="center"/>
            <w:hideMark/>
          </w:tcPr>
          <w:p w:rsidR="00CD75DE" w:rsidRPr="00CF38ED" w:rsidRDefault="00CD75DE" w:rsidP="008D3EB8">
            <w:pPr>
              <w:spacing w:after="0" w:line="240" w:lineRule="auto"/>
              <w:rPr>
                <w:rFonts w:ascii="Times New Roman" w:eastAsia="Times New Roman" w:hAnsi="Times New Roman" w:cs="Times New Roman"/>
                <w:b/>
                <w:bCs/>
                <w:color w:val="000000"/>
                <w:sz w:val="20"/>
                <w:szCs w:val="20"/>
                <w:lang w:eastAsia="sk-SK"/>
              </w:rPr>
            </w:pPr>
          </w:p>
        </w:tc>
        <w:tc>
          <w:tcPr>
            <w:tcW w:w="1618" w:type="dxa"/>
            <w:vMerge/>
            <w:tcBorders>
              <w:top w:val="single" w:sz="4" w:space="0" w:color="auto"/>
              <w:left w:val="single" w:sz="4" w:space="0" w:color="auto"/>
              <w:bottom w:val="single" w:sz="4" w:space="0" w:color="auto"/>
              <w:right w:val="single" w:sz="4" w:space="0" w:color="auto"/>
            </w:tcBorders>
            <w:vAlign w:val="center"/>
            <w:hideMark/>
          </w:tcPr>
          <w:p w:rsidR="00CD75DE" w:rsidRPr="00CF38ED" w:rsidRDefault="00CD75DE" w:rsidP="008D3EB8">
            <w:pPr>
              <w:spacing w:after="0" w:line="240" w:lineRule="auto"/>
              <w:rPr>
                <w:rFonts w:ascii="Times New Roman" w:eastAsia="Times New Roman" w:hAnsi="Times New Roman" w:cs="Times New Roman"/>
                <w:b/>
                <w:bCs/>
                <w:color w:val="000000"/>
                <w:sz w:val="20"/>
                <w:szCs w:val="20"/>
                <w:lang w:eastAsia="sk-SK"/>
              </w:rPr>
            </w:pPr>
          </w:p>
        </w:tc>
        <w:tc>
          <w:tcPr>
            <w:tcW w:w="790" w:type="dxa"/>
            <w:vMerge/>
            <w:tcBorders>
              <w:top w:val="single" w:sz="4" w:space="0" w:color="auto"/>
              <w:left w:val="single" w:sz="4" w:space="0" w:color="auto"/>
              <w:bottom w:val="single" w:sz="4" w:space="0" w:color="000000"/>
              <w:right w:val="single" w:sz="4" w:space="0" w:color="auto"/>
            </w:tcBorders>
            <w:vAlign w:val="center"/>
            <w:hideMark/>
          </w:tcPr>
          <w:p w:rsidR="00CD75DE" w:rsidRPr="00CF38ED" w:rsidRDefault="00CD75DE" w:rsidP="008D3EB8">
            <w:pPr>
              <w:spacing w:after="0" w:line="240" w:lineRule="auto"/>
              <w:rPr>
                <w:rFonts w:ascii="Times New Roman" w:eastAsia="Times New Roman" w:hAnsi="Times New Roman" w:cs="Times New Roman"/>
                <w:b/>
                <w:bCs/>
                <w:color w:val="000000"/>
                <w:sz w:val="20"/>
                <w:szCs w:val="20"/>
                <w:lang w:eastAsia="sk-SK"/>
              </w:rPr>
            </w:pPr>
          </w:p>
        </w:tc>
        <w:tc>
          <w:tcPr>
            <w:tcW w:w="1129" w:type="dxa"/>
            <w:vMerge/>
            <w:tcBorders>
              <w:top w:val="single" w:sz="4" w:space="0" w:color="auto"/>
              <w:left w:val="single" w:sz="4" w:space="0" w:color="auto"/>
              <w:bottom w:val="single" w:sz="4" w:space="0" w:color="000000"/>
              <w:right w:val="single" w:sz="4" w:space="0" w:color="auto"/>
            </w:tcBorders>
            <w:vAlign w:val="center"/>
            <w:hideMark/>
          </w:tcPr>
          <w:p w:rsidR="00CD75DE" w:rsidRPr="00CF38ED" w:rsidRDefault="00CD75DE" w:rsidP="008D3EB8">
            <w:pPr>
              <w:spacing w:after="0" w:line="240" w:lineRule="auto"/>
              <w:rPr>
                <w:rFonts w:ascii="Times New Roman" w:eastAsia="Times New Roman" w:hAnsi="Times New Roman" w:cs="Times New Roman"/>
                <w:b/>
                <w:bCs/>
                <w:color w:val="000000"/>
                <w:sz w:val="20"/>
                <w:szCs w:val="20"/>
                <w:lang w:eastAsia="sk-SK"/>
              </w:rPr>
            </w:pPr>
          </w:p>
        </w:tc>
        <w:tc>
          <w:tcPr>
            <w:tcW w:w="1072" w:type="dxa"/>
            <w:vMerge/>
            <w:tcBorders>
              <w:top w:val="single" w:sz="4" w:space="0" w:color="auto"/>
              <w:left w:val="single" w:sz="4" w:space="0" w:color="auto"/>
              <w:bottom w:val="single" w:sz="4" w:space="0" w:color="auto"/>
              <w:right w:val="single" w:sz="4" w:space="0" w:color="auto"/>
            </w:tcBorders>
            <w:vAlign w:val="center"/>
            <w:hideMark/>
          </w:tcPr>
          <w:p w:rsidR="00CD75DE" w:rsidRPr="00CF38ED" w:rsidRDefault="00CD75DE" w:rsidP="008D3EB8">
            <w:pPr>
              <w:spacing w:after="0" w:line="240" w:lineRule="auto"/>
              <w:rPr>
                <w:rFonts w:ascii="Times New Roman" w:eastAsia="Times New Roman" w:hAnsi="Times New Roman" w:cs="Times New Roman"/>
                <w:b/>
                <w:bCs/>
                <w:color w:val="000000"/>
                <w:sz w:val="20"/>
                <w:szCs w:val="20"/>
                <w:lang w:eastAsia="sk-SK"/>
              </w:rPr>
            </w:pPr>
          </w:p>
        </w:tc>
        <w:tc>
          <w:tcPr>
            <w:tcW w:w="934" w:type="dxa"/>
            <w:vMerge/>
            <w:tcBorders>
              <w:top w:val="single" w:sz="4" w:space="0" w:color="auto"/>
              <w:left w:val="single" w:sz="4" w:space="0" w:color="auto"/>
              <w:bottom w:val="single" w:sz="4" w:space="0" w:color="auto"/>
              <w:right w:val="single" w:sz="4" w:space="0" w:color="auto"/>
            </w:tcBorders>
            <w:vAlign w:val="center"/>
            <w:hideMark/>
          </w:tcPr>
          <w:p w:rsidR="00CD75DE" w:rsidRPr="00CF38ED" w:rsidRDefault="00CD75DE" w:rsidP="008D3EB8">
            <w:pPr>
              <w:spacing w:after="0" w:line="240" w:lineRule="auto"/>
              <w:rPr>
                <w:rFonts w:ascii="Times New Roman" w:eastAsia="Times New Roman" w:hAnsi="Times New Roman" w:cs="Times New Roman"/>
                <w:b/>
                <w:bCs/>
                <w:color w:val="000000"/>
                <w:sz w:val="20"/>
                <w:szCs w:val="20"/>
                <w:lang w:eastAsia="sk-SK"/>
              </w:rPr>
            </w:pPr>
          </w:p>
        </w:tc>
        <w:tc>
          <w:tcPr>
            <w:tcW w:w="1613" w:type="dxa"/>
            <w:vMerge/>
            <w:tcBorders>
              <w:top w:val="single" w:sz="4" w:space="0" w:color="auto"/>
              <w:left w:val="single" w:sz="4" w:space="0" w:color="auto"/>
              <w:bottom w:val="single" w:sz="4" w:space="0" w:color="auto"/>
              <w:right w:val="single" w:sz="4" w:space="0" w:color="auto"/>
            </w:tcBorders>
            <w:vAlign w:val="center"/>
            <w:hideMark/>
          </w:tcPr>
          <w:p w:rsidR="00CD75DE" w:rsidRPr="00CF38ED" w:rsidRDefault="00CD75DE" w:rsidP="008D3EB8">
            <w:pPr>
              <w:spacing w:after="0" w:line="240" w:lineRule="auto"/>
              <w:rPr>
                <w:rFonts w:ascii="Times New Roman" w:eastAsia="Times New Roman" w:hAnsi="Times New Roman" w:cs="Times New Roman"/>
                <w:b/>
                <w:bCs/>
                <w:color w:val="000000"/>
                <w:sz w:val="20"/>
                <w:szCs w:val="20"/>
                <w:lang w:eastAsia="sk-SK"/>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rsidR="00CD75DE" w:rsidRPr="00CF38ED" w:rsidRDefault="00CD75DE" w:rsidP="008D3EB8">
            <w:pPr>
              <w:spacing w:after="0" w:line="240" w:lineRule="auto"/>
              <w:rPr>
                <w:rFonts w:ascii="Times New Roman" w:eastAsia="Times New Roman" w:hAnsi="Times New Roman" w:cs="Times New Roman"/>
                <w:b/>
                <w:bCs/>
                <w:color w:val="000000"/>
                <w:sz w:val="20"/>
                <w:szCs w:val="20"/>
                <w:lang w:eastAsia="sk-SK"/>
              </w:rPr>
            </w:pPr>
          </w:p>
        </w:tc>
        <w:tc>
          <w:tcPr>
            <w:tcW w:w="1037" w:type="dxa"/>
            <w:vMerge/>
            <w:tcBorders>
              <w:top w:val="single" w:sz="4" w:space="0" w:color="auto"/>
              <w:left w:val="single" w:sz="4" w:space="0" w:color="auto"/>
              <w:bottom w:val="single" w:sz="4" w:space="0" w:color="auto"/>
              <w:right w:val="single" w:sz="4" w:space="0" w:color="auto"/>
            </w:tcBorders>
            <w:vAlign w:val="center"/>
            <w:hideMark/>
          </w:tcPr>
          <w:p w:rsidR="00CD75DE" w:rsidRPr="00CF38ED" w:rsidRDefault="00CD75DE" w:rsidP="008D3EB8">
            <w:pPr>
              <w:spacing w:after="0" w:line="240" w:lineRule="auto"/>
              <w:rPr>
                <w:rFonts w:ascii="Times New Roman" w:eastAsia="Times New Roman" w:hAnsi="Times New Roman" w:cs="Times New Roman"/>
                <w:b/>
                <w:bCs/>
                <w:color w:val="000000"/>
                <w:sz w:val="20"/>
                <w:szCs w:val="20"/>
                <w:lang w:eastAsia="sk-SK"/>
              </w:rPr>
            </w:pPr>
          </w:p>
        </w:tc>
        <w:tc>
          <w:tcPr>
            <w:tcW w:w="854" w:type="dxa"/>
            <w:vMerge/>
            <w:tcBorders>
              <w:top w:val="single" w:sz="4" w:space="0" w:color="auto"/>
              <w:left w:val="single" w:sz="4" w:space="0" w:color="auto"/>
              <w:bottom w:val="single" w:sz="4" w:space="0" w:color="auto"/>
              <w:right w:val="single" w:sz="4" w:space="0" w:color="auto"/>
            </w:tcBorders>
            <w:vAlign w:val="center"/>
            <w:hideMark/>
          </w:tcPr>
          <w:p w:rsidR="00CD75DE" w:rsidRPr="00CF38ED" w:rsidRDefault="00CD75DE" w:rsidP="008D3EB8">
            <w:pPr>
              <w:spacing w:after="0" w:line="240" w:lineRule="auto"/>
              <w:rPr>
                <w:rFonts w:ascii="Times New Roman" w:eastAsia="Times New Roman" w:hAnsi="Times New Roman" w:cs="Times New Roman"/>
                <w:b/>
                <w:bCs/>
                <w:color w:val="000000"/>
                <w:sz w:val="20"/>
                <w:szCs w:val="20"/>
                <w:lang w:eastAsia="sk-SK"/>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D75DE" w:rsidRPr="00CF38ED" w:rsidRDefault="00CD75DE" w:rsidP="008D3EB8">
            <w:pPr>
              <w:spacing w:after="0" w:line="240" w:lineRule="auto"/>
              <w:rPr>
                <w:rFonts w:ascii="Times New Roman" w:eastAsia="Times New Roman" w:hAnsi="Times New Roman" w:cs="Times New Roman"/>
                <w:b/>
                <w:bCs/>
                <w:color w:val="000000"/>
                <w:sz w:val="20"/>
                <w:szCs w:val="20"/>
                <w:lang w:eastAsia="sk-SK"/>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CD75DE" w:rsidRPr="00CF38ED" w:rsidRDefault="00CD75DE" w:rsidP="008D3EB8">
            <w:pPr>
              <w:spacing w:after="0" w:line="240" w:lineRule="auto"/>
              <w:rPr>
                <w:rFonts w:ascii="Times New Roman" w:eastAsia="Times New Roman" w:hAnsi="Times New Roman" w:cs="Times New Roman"/>
                <w:b/>
                <w:bCs/>
                <w:color w:val="000000"/>
                <w:sz w:val="20"/>
                <w:szCs w:val="20"/>
                <w:lang w:eastAsia="sk-SK"/>
              </w:rPr>
            </w:pPr>
          </w:p>
        </w:tc>
      </w:tr>
      <w:tr w:rsidR="00CD75DE" w:rsidRPr="00CF38ED" w:rsidTr="008D3EB8">
        <w:trPr>
          <w:trHeight w:val="450"/>
        </w:trPr>
        <w:tc>
          <w:tcPr>
            <w:tcW w:w="452" w:type="dxa"/>
            <w:vMerge/>
            <w:tcBorders>
              <w:top w:val="single" w:sz="4" w:space="0" w:color="auto"/>
              <w:left w:val="single" w:sz="4" w:space="0" w:color="auto"/>
              <w:bottom w:val="single" w:sz="4" w:space="0" w:color="auto"/>
              <w:right w:val="single" w:sz="4" w:space="0" w:color="auto"/>
            </w:tcBorders>
            <w:vAlign w:val="center"/>
            <w:hideMark/>
          </w:tcPr>
          <w:p w:rsidR="00CD75DE" w:rsidRPr="00CF38ED" w:rsidRDefault="00CD75DE" w:rsidP="008D3EB8">
            <w:pPr>
              <w:spacing w:after="0" w:line="240" w:lineRule="auto"/>
              <w:rPr>
                <w:rFonts w:ascii="Times New Roman" w:eastAsia="Times New Roman" w:hAnsi="Times New Roman" w:cs="Times New Roman"/>
                <w:b/>
                <w:bCs/>
                <w:color w:val="000000"/>
                <w:sz w:val="20"/>
                <w:szCs w:val="20"/>
                <w:lang w:eastAsia="sk-SK"/>
              </w:rPr>
            </w:pPr>
          </w:p>
        </w:tc>
        <w:tc>
          <w:tcPr>
            <w:tcW w:w="1618" w:type="dxa"/>
            <w:vMerge/>
            <w:tcBorders>
              <w:top w:val="single" w:sz="4" w:space="0" w:color="auto"/>
              <w:left w:val="single" w:sz="4" w:space="0" w:color="auto"/>
              <w:bottom w:val="single" w:sz="4" w:space="0" w:color="auto"/>
              <w:right w:val="single" w:sz="4" w:space="0" w:color="auto"/>
            </w:tcBorders>
            <w:vAlign w:val="center"/>
            <w:hideMark/>
          </w:tcPr>
          <w:p w:rsidR="00CD75DE" w:rsidRPr="00CF38ED" w:rsidRDefault="00CD75DE" w:rsidP="008D3EB8">
            <w:pPr>
              <w:spacing w:after="0" w:line="240" w:lineRule="auto"/>
              <w:rPr>
                <w:rFonts w:ascii="Times New Roman" w:eastAsia="Times New Roman" w:hAnsi="Times New Roman" w:cs="Times New Roman"/>
                <w:b/>
                <w:bCs/>
                <w:color w:val="000000"/>
                <w:sz w:val="20"/>
                <w:szCs w:val="20"/>
                <w:lang w:eastAsia="sk-SK"/>
              </w:rPr>
            </w:pPr>
          </w:p>
        </w:tc>
        <w:tc>
          <w:tcPr>
            <w:tcW w:w="790" w:type="dxa"/>
            <w:vMerge/>
            <w:tcBorders>
              <w:top w:val="single" w:sz="4" w:space="0" w:color="auto"/>
              <w:left w:val="single" w:sz="4" w:space="0" w:color="auto"/>
              <w:bottom w:val="single" w:sz="4" w:space="0" w:color="000000"/>
              <w:right w:val="single" w:sz="4" w:space="0" w:color="auto"/>
            </w:tcBorders>
            <w:vAlign w:val="center"/>
            <w:hideMark/>
          </w:tcPr>
          <w:p w:rsidR="00CD75DE" w:rsidRPr="00CF38ED" w:rsidRDefault="00CD75DE" w:rsidP="008D3EB8">
            <w:pPr>
              <w:spacing w:after="0" w:line="240" w:lineRule="auto"/>
              <w:rPr>
                <w:rFonts w:ascii="Times New Roman" w:eastAsia="Times New Roman" w:hAnsi="Times New Roman" w:cs="Times New Roman"/>
                <w:b/>
                <w:bCs/>
                <w:color w:val="000000"/>
                <w:sz w:val="20"/>
                <w:szCs w:val="20"/>
                <w:lang w:eastAsia="sk-SK"/>
              </w:rPr>
            </w:pPr>
          </w:p>
        </w:tc>
        <w:tc>
          <w:tcPr>
            <w:tcW w:w="1129" w:type="dxa"/>
            <w:vMerge/>
            <w:tcBorders>
              <w:top w:val="single" w:sz="4" w:space="0" w:color="auto"/>
              <w:left w:val="single" w:sz="4" w:space="0" w:color="auto"/>
              <w:bottom w:val="single" w:sz="4" w:space="0" w:color="000000"/>
              <w:right w:val="single" w:sz="4" w:space="0" w:color="auto"/>
            </w:tcBorders>
            <w:vAlign w:val="center"/>
            <w:hideMark/>
          </w:tcPr>
          <w:p w:rsidR="00CD75DE" w:rsidRPr="00CF38ED" w:rsidRDefault="00CD75DE" w:rsidP="008D3EB8">
            <w:pPr>
              <w:spacing w:after="0" w:line="240" w:lineRule="auto"/>
              <w:rPr>
                <w:rFonts w:ascii="Times New Roman" w:eastAsia="Times New Roman" w:hAnsi="Times New Roman" w:cs="Times New Roman"/>
                <w:b/>
                <w:bCs/>
                <w:color w:val="000000"/>
                <w:sz w:val="20"/>
                <w:szCs w:val="20"/>
                <w:lang w:eastAsia="sk-SK"/>
              </w:rPr>
            </w:pPr>
          </w:p>
        </w:tc>
        <w:tc>
          <w:tcPr>
            <w:tcW w:w="1072" w:type="dxa"/>
            <w:vMerge/>
            <w:tcBorders>
              <w:top w:val="single" w:sz="4" w:space="0" w:color="auto"/>
              <w:left w:val="single" w:sz="4" w:space="0" w:color="auto"/>
              <w:bottom w:val="single" w:sz="4" w:space="0" w:color="auto"/>
              <w:right w:val="single" w:sz="4" w:space="0" w:color="auto"/>
            </w:tcBorders>
            <w:vAlign w:val="center"/>
            <w:hideMark/>
          </w:tcPr>
          <w:p w:rsidR="00CD75DE" w:rsidRPr="00CF38ED" w:rsidRDefault="00CD75DE" w:rsidP="008D3EB8">
            <w:pPr>
              <w:spacing w:after="0" w:line="240" w:lineRule="auto"/>
              <w:rPr>
                <w:rFonts w:ascii="Times New Roman" w:eastAsia="Times New Roman" w:hAnsi="Times New Roman" w:cs="Times New Roman"/>
                <w:b/>
                <w:bCs/>
                <w:color w:val="000000"/>
                <w:sz w:val="20"/>
                <w:szCs w:val="20"/>
                <w:lang w:eastAsia="sk-SK"/>
              </w:rPr>
            </w:pPr>
          </w:p>
        </w:tc>
        <w:tc>
          <w:tcPr>
            <w:tcW w:w="934" w:type="dxa"/>
            <w:vMerge/>
            <w:tcBorders>
              <w:top w:val="single" w:sz="4" w:space="0" w:color="auto"/>
              <w:left w:val="single" w:sz="4" w:space="0" w:color="auto"/>
              <w:bottom w:val="single" w:sz="4" w:space="0" w:color="auto"/>
              <w:right w:val="single" w:sz="4" w:space="0" w:color="auto"/>
            </w:tcBorders>
            <w:vAlign w:val="center"/>
            <w:hideMark/>
          </w:tcPr>
          <w:p w:rsidR="00CD75DE" w:rsidRPr="00CF38ED" w:rsidRDefault="00CD75DE" w:rsidP="008D3EB8">
            <w:pPr>
              <w:spacing w:after="0" w:line="240" w:lineRule="auto"/>
              <w:rPr>
                <w:rFonts w:ascii="Times New Roman" w:eastAsia="Times New Roman" w:hAnsi="Times New Roman" w:cs="Times New Roman"/>
                <w:b/>
                <w:bCs/>
                <w:color w:val="000000"/>
                <w:sz w:val="20"/>
                <w:szCs w:val="20"/>
                <w:lang w:eastAsia="sk-SK"/>
              </w:rPr>
            </w:pPr>
          </w:p>
        </w:tc>
        <w:tc>
          <w:tcPr>
            <w:tcW w:w="1613" w:type="dxa"/>
            <w:vMerge/>
            <w:tcBorders>
              <w:top w:val="single" w:sz="4" w:space="0" w:color="auto"/>
              <w:left w:val="single" w:sz="4" w:space="0" w:color="auto"/>
              <w:bottom w:val="single" w:sz="4" w:space="0" w:color="auto"/>
              <w:right w:val="single" w:sz="4" w:space="0" w:color="auto"/>
            </w:tcBorders>
            <w:vAlign w:val="center"/>
            <w:hideMark/>
          </w:tcPr>
          <w:p w:rsidR="00CD75DE" w:rsidRPr="00CF38ED" w:rsidRDefault="00CD75DE" w:rsidP="008D3EB8">
            <w:pPr>
              <w:spacing w:after="0" w:line="240" w:lineRule="auto"/>
              <w:rPr>
                <w:rFonts w:ascii="Times New Roman" w:eastAsia="Times New Roman" w:hAnsi="Times New Roman" w:cs="Times New Roman"/>
                <w:b/>
                <w:bCs/>
                <w:color w:val="000000"/>
                <w:sz w:val="20"/>
                <w:szCs w:val="20"/>
                <w:lang w:eastAsia="sk-SK"/>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rsidR="00CD75DE" w:rsidRPr="00CF38ED" w:rsidRDefault="00CD75DE" w:rsidP="008D3EB8">
            <w:pPr>
              <w:spacing w:after="0" w:line="240" w:lineRule="auto"/>
              <w:rPr>
                <w:rFonts w:ascii="Times New Roman" w:eastAsia="Times New Roman" w:hAnsi="Times New Roman" w:cs="Times New Roman"/>
                <w:b/>
                <w:bCs/>
                <w:color w:val="000000"/>
                <w:sz w:val="20"/>
                <w:szCs w:val="20"/>
                <w:lang w:eastAsia="sk-SK"/>
              </w:rPr>
            </w:pPr>
          </w:p>
        </w:tc>
        <w:tc>
          <w:tcPr>
            <w:tcW w:w="1037" w:type="dxa"/>
            <w:vMerge/>
            <w:tcBorders>
              <w:top w:val="single" w:sz="4" w:space="0" w:color="auto"/>
              <w:left w:val="single" w:sz="4" w:space="0" w:color="auto"/>
              <w:bottom w:val="single" w:sz="4" w:space="0" w:color="auto"/>
              <w:right w:val="single" w:sz="4" w:space="0" w:color="auto"/>
            </w:tcBorders>
            <w:vAlign w:val="center"/>
            <w:hideMark/>
          </w:tcPr>
          <w:p w:rsidR="00CD75DE" w:rsidRPr="00CF38ED" w:rsidRDefault="00CD75DE" w:rsidP="008D3EB8">
            <w:pPr>
              <w:spacing w:after="0" w:line="240" w:lineRule="auto"/>
              <w:rPr>
                <w:rFonts w:ascii="Times New Roman" w:eastAsia="Times New Roman" w:hAnsi="Times New Roman" w:cs="Times New Roman"/>
                <w:b/>
                <w:bCs/>
                <w:color w:val="000000"/>
                <w:sz w:val="20"/>
                <w:szCs w:val="20"/>
                <w:lang w:eastAsia="sk-SK"/>
              </w:rPr>
            </w:pPr>
          </w:p>
        </w:tc>
        <w:tc>
          <w:tcPr>
            <w:tcW w:w="854" w:type="dxa"/>
            <w:vMerge/>
            <w:tcBorders>
              <w:top w:val="single" w:sz="4" w:space="0" w:color="auto"/>
              <w:left w:val="single" w:sz="4" w:space="0" w:color="auto"/>
              <w:bottom w:val="single" w:sz="4" w:space="0" w:color="auto"/>
              <w:right w:val="single" w:sz="4" w:space="0" w:color="auto"/>
            </w:tcBorders>
            <w:vAlign w:val="center"/>
            <w:hideMark/>
          </w:tcPr>
          <w:p w:rsidR="00CD75DE" w:rsidRPr="00CF38ED" w:rsidRDefault="00CD75DE" w:rsidP="008D3EB8">
            <w:pPr>
              <w:spacing w:after="0" w:line="240" w:lineRule="auto"/>
              <w:rPr>
                <w:rFonts w:ascii="Times New Roman" w:eastAsia="Times New Roman" w:hAnsi="Times New Roman" w:cs="Times New Roman"/>
                <w:b/>
                <w:bCs/>
                <w:color w:val="000000"/>
                <w:sz w:val="20"/>
                <w:szCs w:val="20"/>
                <w:lang w:eastAsia="sk-SK"/>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D75DE" w:rsidRPr="00CF38ED" w:rsidRDefault="00CD75DE" w:rsidP="008D3EB8">
            <w:pPr>
              <w:spacing w:after="0" w:line="240" w:lineRule="auto"/>
              <w:rPr>
                <w:rFonts w:ascii="Times New Roman" w:eastAsia="Times New Roman" w:hAnsi="Times New Roman" w:cs="Times New Roman"/>
                <w:b/>
                <w:bCs/>
                <w:color w:val="000000"/>
                <w:sz w:val="20"/>
                <w:szCs w:val="20"/>
                <w:lang w:eastAsia="sk-SK"/>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CD75DE" w:rsidRPr="00CF38ED" w:rsidRDefault="00CD75DE" w:rsidP="008D3EB8">
            <w:pPr>
              <w:spacing w:after="0" w:line="240" w:lineRule="auto"/>
              <w:rPr>
                <w:rFonts w:ascii="Times New Roman" w:eastAsia="Times New Roman" w:hAnsi="Times New Roman" w:cs="Times New Roman"/>
                <w:b/>
                <w:bCs/>
                <w:color w:val="000000"/>
                <w:sz w:val="20"/>
                <w:szCs w:val="20"/>
                <w:lang w:eastAsia="sk-SK"/>
              </w:rPr>
            </w:pPr>
          </w:p>
        </w:tc>
      </w:tr>
      <w:tr w:rsidR="00CD75DE" w:rsidRPr="00CF38ED" w:rsidTr="008D3EB8">
        <w:trPr>
          <w:trHeight w:val="688"/>
        </w:trPr>
        <w:tc>
          <w:tcPr>
            <w:tcW w:w="452" w:type="dxa"/>
            <w:vMerge/>
            <w:tcBorders>
              <w:top w:val="single" w:sz="4" w:space="0" w:color="auto"/>
              <w:left w:val="single" w:sz="4" w:space="0" w:color="auto"/>
              <w:bottom w:val="single" w:sz="4" w:space="0" w:color="auto"/>
              <w:right w:val="single" w:sz="4" w:space="0" w:color="auto"/>
            </w:tcBorders>
            <w:vAlign w:val="center"/>
            <w:hideMark/>
          </w:tcPr>
          <w:p w:rsidR="00CD75DE" w:rsidRPr="00CF38ED" w:rsidRDefault="00CD75DE" w:rsidP="008D3EB8">
            <w:pPr>
              <w:spacing w:after="0" w:line="240" w:lineRule="auto"/>
              <w:rPr>
                <w:rFonts w:ascii="Times New Roman" w:eastAsia="Times New Roman" w:hAnsi="Times New Roman" w:cs="Times New Roman"/>
                <w:b/>
                <w:bCs/>
                <w:color w:val="000000"/>
                <w:sz w:val="20"/>
                <w:szCs w:val="20"/>
                <w:lang w:eastAsia="sk-SK"/>
              </w:rPr>
            </w:pPr>
          </w:p>
        </w:tc>
        <w:tc>
          <w:tcPr>
            <w:tcW w:w="1618" w:type="dxa"/>
            <w:vMerge/>
            <w:tcBorders>
              <w:top w:val="single" w:sz="4" w:space="0" w:color="auto"/>
              <w:left w:val="single" w:sz="4" w:space="0" w:color="auto"/>
              <w:bottom w:val="single" w:sz="4" w:space="0" w:color="auto"/>
              <w:right w:val="single" w:sz="4" w:space="0" w:color="auto"/>
            </w:tcBorders>
            <w:vAlign w:val="center"/>
            <w:hideMark/>
          </w:tcPr>
          <w:p w:rsidR="00CD75DE" w:rsidRPr="00CF38ED" w:rsidRDefault="00CD75DE" w:rsidP="008D3EB8">
            <w:pPr>
              <w:spacing w:after="0" w:line="240" w:lineRule="auto"/>
              <w:rPr>
                <w:rFonts w:ascii="Times New Roman" w:eastAsia="Times New Roman" w:hAnsi="Times New Roman" w:cs="Times New Roman"/>
                <w:b/>
                <w:bCs/>
                <w:color w:val="000000"/>
                <w:sz w:val="20"/>
                <w:szCs w:val="20"/>
                <w:lang w:eastAsia="sk-SK"/>
              </w:rPr>
            </w:pPr>
          </w:p>
        </w:tc>
        <w:tc>
          <w:tcPr>
            <w:tcW w:w="790" w:type="dxa"/>
            <w:vMerge/>
            <w:tcBorders>
              <w:top w:val="single" w:sz="4" w:space="0" w:color="auto"/>
              <w:left w:val="single" w:sz="4" w:space="0" w:color="auto"/>
              <w:bottom w:val="single" w:sz="4" w:space="0" w:color="000000"/>
              <w:right w:val="single" w:sz="4" w:space="0" w:color="auto"/>
            </w:tcBorders>
            <w:vAlign w:val="center"/>
            <w:hideMark/>
          </w:tcPr>
          <w:p w:rsidR="00CD75DE" w:rsidRPr="00CF38ED" w:rsidRDefault="00CD75DE" w:rsidP="008D3EB8">
            <w:pPr>
              <w:spacing w:after="0" w:line="240" w:lineRule="auto"/>
              <w:rPr>
                <w:rFonts w:ascii="Times New Roman" w:eastAsia="Times New Roman" w:hAnsi="Times New Roman" w:cs="Times New Roman"/>
                <w:b/>
                <w:bCs/>
                <w:color w:val="000000"/>
                <w:sz w:val="20"/>
                <w:szCs w:val="20"/>
                <w:lang w:eastAsia="sk-SK"/>
              </w:rPr>
            </w:pPr>
          </w:p>
        </w:tc>
        <w:tc>
          <w:tcPr>
            <w:tcW w:w="1129" w:type="dxa"/>
            <w:vMerge/>
            <w:tcBorders>
              <w:top w:val="single" w:sz="4" w:space="0" w:color="auto"/>
              <w:left w:val="single" w:sz="4" w:space="0" w:color="auto"/>
              <w:bottom w:val="single" w:sz="4" w:space="0" w:color="000000"/>
              <w:right w:val="single" w:sz="4" w:space="0" w:color="auto"/>
            </w:tcBorders>
            <w:vAlign w:val="center"/>
            <w:hideMark/>
          </w:tcPr>
          <w:p w:rsidR="00CD75DE" w:rsidRPr="00CF38ED" w:rsidRDefault="00CD75DE" w:rsidP="008D3EB8">
            <w:pPr>
              <w:spacing w:after="0" w:line="240" w:lineRule="auto"/>
              <w:rPr>
                <w:rFonts w:ascii="Times New Roman" w:eastAsia="Times New Roman" w:hAnsi="Times New Roman" w:cs="Times New Roman"/>
                <w:b/>
                <w:bCs/>
                <w:color w:val="000000"/>
                <w:sz w:val="20"/>
                <w:szCs w:val="20"/>
                <w:lang w:eastAsia="sk-SK"/>
              </w:rPr>
            </w:pPr>
          </w:p>
        </w:tc>
        <w:tc>
          <w:tcPr>
            <w:tcW w:w="1072" w:type="dxa"/>
            <w:vMerge/>
            <w:tcBorders>
              <w:top w:val="single" w:sz="4" w:space="0" w:color="auto"/>
              <w:left w:val="single" w:sz="4" w:space="0" w:color="auto"/>
              <w:bottom w:val="single" w:sz="4" w:space="0" w:color="auto"/>
              <w:right w:val="single" w:sz="4" w:space="0" w:color="auto"/>
            </w:tcBorders>
            <w:vAlign w:val="center"/>
            <w:hideMark/>
          </w:tcPr>
          <w:p w:rsidR="00CD75DE" w:rsidRPr="00CF38ED" w:rsidRDefault="00CD75DE" w:rsidP="008D3EB8">
            <w:pPr>
              <w:spacing w:after="0" w:line="240" w:lineRule="auto"/>
              <w:rPr>
                <w:rFonts w:ascii="Times New Roman" w:eastAsia="Times New Roman" w:hAnsi="Times New Roman" w:cs="Times New Roman"/>
                <w:b/>
                <w:bCs/>
                <w:color w:val="000000"/>
                <w:sz w:val="20"/>
                <w:szCs w:val="20"/>
                <w:lang w:eastAsia="sk-SK"/>
              </w:rPr>
            </w:pPr>
          </w:p>
        </w:tc>
        <w:tc>
          <w:tcPr>
            <w:tcW w:w="934" w:type="dxa"/>
            <w:vMerge/>
            <w:tcBorders>
              <w:top w:val="single" w:sz="4" w:space="0" w:color="auto"/>
              <w:left w:val="single" w:sz="4" w:space="0" w:color="auto"/>
              <w:bottom w:val="single" w:sz="4" w:space="0" w:color="auto"/>
              <w:right w:val="single" w:sz="4" w:space="0" w:color="auto"/>
            </w:tcBorders>
            <w:vAlign w:val="center"/>
            <w:hideMark/>
          </w:tcPr>
          <w:p w:rsidR="00CD75DE" w:rsidRPr="00CF38ED" w:rsidRDefault="00CD75DE" w:rsidP="008D3EB8">
            <w:pPr>
              <w:spacing w:after="0" w:line="240" w:lineRule="auto"/>
              <w:rPr>
                <w:rFonts w:ascii="Times New Roman" w:eastAsia="Times New Roman" w:hAnsi="Times New Roman" w:cs="Times New Roman"/>
                <w:b/>
                <w:bCs/>
                <w:color w:val="000000"/>
                <w:sz w:val="20"/>
                <w:szCs w:val="20"/>
                <w:lang w:eastAsia="sk-SK"/>
              </w:rPr>
            </w:pPr>
          </w:p>
        </w:tc>
        <w:tc>
          <w:tcPr>
            <w:tcW w:w="1613" w:type="dxa"/>
            <w:vMerge/>
            <w:tcBorders>
              <w:top w:val="single" w:sz="4" w:space="0" w:color="auto"/>
              <w:left w:val="single" w:sz="4" w:space="0" w:color="auto"/>
              <w:bottom w:val="single" w:sz="4" w:space="0" w:color="auto"/>
              <w:right w:val="single" w:sz="4" w:space="0" w:color="auto"/>
            </w:tcBorders>
            <w:vAlign w:val="center"/>
            <w:hideMark/>
          </w:tcPr>
          <w:p w:rsidR="00CD75DE" w:rsidRPr="00CF38ED" w:rsidRDefault="00CD75DE" w:rsidP="008D3EB8">
            <w:pPr>
              <w:spacing w:after="0" w:line="240" w:lineRule="auto"/>
              <w:rPr>
                <w:rFonts w:ascii="Times New Roman" w:eastAsia="Times New Roman" w:hAnsi="Times New Roman" w:cs="Times New Roman"/>
                <w:b/>
                <w:bCs/>
                <w:color w:val="000000"/>
                <w:sz w:val="20"/>
                <w:szCs w:val="20"/>
                <w:lang w:eastAsia="sk-SK"/>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rsidR="00CD75DE" w:rsidRPr="00CF38ED" w:rsidRDefault="00CD75DE" w:rsidP="008D3EB8">
            <w:pPr>
              <w:spacing w:after="0" w:line="240" w:lineRule="auto"/>
              <w:rPr>
                <w:rFonts w:ascii="Times New Roman" w:eastAsia="Times New Roman" w:hAnsi="Times New Roman" w:cs="Times New Roman"/>
                <w:b/>
                <w:bCs/>
                <w:color w:val="000000"/>
                <w:sz w:val="20"/>
                <w:szCs w:val="20"/>
                <w:lang w:eastAsia="sk-SK"/>
              </w:rPr>
            </w:pPr>
          </w:p>
        </w:tc>
        <w:tc>
          <w:tcPr>
            <w:tcW w:w="1037" w:type="dxa"/>
            <w:vMerge/>
            <w:tcBorders>
              <w:top w:val="single" w:sz="4" w:space="0" w:color="auto"/>
              <w:left w:val="single" w:sz="4" w:space="0" w:color="auto"/>
              <w:bottom w:val="single" w:sz="4" w:space="0" w:color="auto"/>
              <w:right w:val="single" w:sz="4" w:space="0" w:color="auto"/>
            </w:tcBorders>
            <w:vAlign w:val="center"/>
            <w:hideMark/>
          </w:tcPr>
          <w:p w:rsidR="00CD75DE" w:rsidRPr="00CF38ED" w:rsidRDefault="00CD75DE" w:rsidP="008D3EB8">
            <w:pPr>
              <w:spacing w:after="0" w:line="240" w:lineRule="auto"/>
              <w:rPr>
                <w:rFonts w:ascii="Times New Roman" w:eastAsia="Times New Roman" w:hAnsi="Times New Roman" w:cs="Times New Roman"/>
                <w:b/>
                <w:bCs/>
                <w:color w:val="000000"/>
                <w:sz w:val="20"/>
                <w:szCs w:val="20"/>
                <w:lang w:eastAsia="sk-SK"/>
              </w:rPr>
            </w:pPr>
          </w:p>
        </w:tc>
        <w:tc>
          <w:tcPr>
            <w:tcW w:w="854" w:type="dxa"/>
            <w:vMerge/>
            <w:tcBorders>
              <w:top w:val="single" w:sz="4" w:space="0" w:color="auto"/>
              <w:left w:val="single" w:sz="4" w:space="0" w:color="auto"/>
              <w:bottom w:val="single" w:sz="4" w:space="0" w:color="auto"/>
              <w:right w:val="single" w:sz="4" w:space="0" w:color="auto"/>
            </w:tcBorders>
            <w:vAlign w:val="center"/>
            <w:hideMark/>
          </w:tcPr>
          <w:p w:rsidR="00CD75DE" w:rsidRPr="00CF38ED" w:rsidRDefault="00CD75DE" w:rsidP="008D3EB8">
            <w:pPr>
              <w:spacing w:after="0" w:line="240" w:lineRule="auto"/>
              <w:rPr>
                <w:rFonts w:ascii="Times New Roman" w:eastAsia="Times New Roman" w:hAnsi="Times New Roman" w:cs="Times New Roman"/>
                <w:b/>
                <w:bCs/>
                <w:color w:val="000000"/>
                <w:sz w:val="20"/>
                <w:szCs w:val="20"/>
                <w:lang w:eastAsia="sk-SK"/>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D75DE" w:rsidRPr="00CF38ED" w:rsidRDefault="00CD75DE" w:rsidP="008D3EB8">
            <w:pPr>
              <w:spacing w:after="0" w:line="240" w:lineRule="auto"/>
              <w:rPr>
                <w:rFonts w:ascii="Times New Roman" w:eastAsia="Times New Roman" w:hAnsi="Times New Roman" w:cs="Times New Roman"/>
                <w:b/>
                <w:bCs/>
                <w:color w:val="000000"/>
                <w:sz w:val="20"/>
                <w:szCs w:val="20"/>
                <w:lang w:eastAsia="sk-SK"/>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CD75DE" w:rsidRPr="00CF38ED" w:rsidRDefault="00CD75DE" w:rsidP="008D3EB8">
            <w:pPr>
              <w:spacing w:after="0" w:line="240" w:lineRule="auto"/>
              <w:rPr>
                <w:rFonts w:ascii="Times New Roman" w:eastAsia="Times New Roman" w:hAnsi="Times New Roman" w:cs="Times New Roman"/>
                <w:b/>
                <w:bCs/>
                <w:color w:val="000000"/>
                <w:sz w:val="20"/>
                <w:szCs w:val="20"/>
                <w:lang w:eastAsia="sk-SK"/>
              </w:rPr>
            </w:pPr>
          </w:p>
        </w:tc>
      </w:tr>
      <w:tr w:rsidR="00CD75DE" w:rsidRPr="00CF38ED" w:rsidTr="008D3EB8">
        <w:trPr>
          <w:trHeight w:val="255"/>
        </w:trPr>
        <w:tc>
          <w:tcPr>
            <w:tcW w:w="452" w:type="dxa"/>
            <w:tcBorders>
              <w:top w:val="nil"/>
              <w:left w:val="single" w:sz="4" w:space="0" w:color="auto"/>
              <w:bottom w:val="single" w:sz="4" w:space="0" w:color="auto"/>
              <w:right w:val="single" w:sz="4" w:space="0" w:color="auto"/>
            </w:tcBorders>
            <w:shd w:val="clear" w:color="auto" w:fill="auto"/>
            <w:vAlign w:val="center"/>
            <w:hideMark/>
          </w:tcPr>
          <w:p w:rsidR="00CD75DE" w:rsidRPr="00CF38ED" w:rsidRDefault="00CD75DE" w:rsidP="008D3EB8">
            <w:pPr>
              <w:spacing w:after="0" w:line="240" w:lineRule="auto"/>
              <w:jc w:val="center"/>
              <w:rPr>
                <w:rFonts w:ascii="Times New Roman" w:eastAsia="Times New Roman" w:hAnsi="Times New Roman" w:cs="Times New Roman"/>
                <w:color w:val="000000"/>
                <w:sz w:val="16"/>
                <w:szCs w:val="16"/>
                <w:lang w:eastAsia="sk-SK"/>
              </w:rPr>
            </w:pPr>
            <w:r w:rsidRPr="00CF38ED">
              <w:rPr>
                <w:rFonts w:ascii="Times New Roman" w:eastAsia="Times New Roman" w:hAnsi="Times New Roman" w:cs="Times New Roman"/>
                <w:color w:val="000000"/>
                <w:sz w:val="16"/>
                <w:szCs w:val="16"/>
                <w:lang w:eastAsia="sk-SK"/>
              </w:rPr>
              <w:t>1</w:t>
            </w:r>
          </w:p>
        </w:tc>
        <w:tc>
          <w:tcPr>
            <w:tcW w:w="1618" w:type="dxa"/>
            <w:tcBorders>
              <w:top w:val="nil"/>
              <w:left w:val="nil"/>
              <w:bottom w:val="single" w:sz="4" w:space="0" w:color="auto"/>
              <w:right w:val="single" w:sz="4" w:space="0" w:color="auto"/>
            </w:tcBorders>
            <w:shd w:val="clear" w:color="auto" w:fill="auto"/>
            <w:vAlign w:val="center"/>
            <w:hideMark/>
          </w:tcPr>
          <w:p w:rsidR="00CD75DE" w:rsidRPr="00CF38ED" w:rsidRDefault="00CD75DE" w:rsidP="008D3EB8">
            <w:pPr>
              <w:spacing w:after="0" w:line="240" w:lineRule="auto"/>
              <w:jc w:val="center"/>
              <w:rPr>
                <w:rFonts w:ascii="Times New Roman" w:eastAsia="Times New Roman" w:hAnsi="Times New Roman" w:cs="Times New Roman"/>
                <w:color w:val="000000"/>
                <w:sz w:val="16"/>
                <w:szCs w:val="16"/>
                <w:lang w:eastAsia="sk-SK"/>
              </w:rPr>
            </w:pPr>
            <w:r w:rsidRPr="00CF38ED">
              <w:rPr>
                <w:rFonts w:ascii="Times New Roman" w:eastAsia="Times New Roman" w:hAnsi="Times New Roman" w:cs="Times New Roman"/>
                <w:color w:val="000000"/>
                <w:sz w:val="16"/>
                <w:szCs w:val="16"/>
                <w:lang w:eastAsia="sk-SK"/>
              </w:rPr>
              <w:t xml:space="preserve">zvýšené náklady na transport, skladovanie a manipuláciu v dôsledku zákazu predaja obmedzených prekurzorov výbušnín pre členov širokej verejnosti </w:t>
            </w:r>
          </w:p>
        </w:tc>
        <w:tc>
          <w:tcPr>
            <w:tcW w:w="790" w:type="dxa"/>
            <w:tcBorders>
              <w:top w:val="nil"/>
              <w:left w:val="nil"/>
              <w:bottom w:val="single" w:sz="4" w:space="0" w:color="auto"/>
              <w:right w:val="single" w:sz="4" w:space="0" w:color="auto"/>
            </w:tcBorders>
            <w:shd w:val="clear" w:color="auto" w:fill="auto"/>
            <w:vAlign w:val="center"/>
            <w:hideMark/>
          </w:tcPr>
          <w:p w:rsidR="00CD75DE" w:rsidRPr="00CF38ED" w:rsidRDefault="00CD75DE" w:rsidP="008D3EB8">
            <w:pPr>
              <w:spacing w:after="0" w:line="240" w:lineRule="auto"/>
              <w:jc w:val="center"/>
              <w:rPr>
                <w:rFonts w:ascii="Times New Roman" w:eastAsia="Times New Roman" w:hAnsi="Times New Roman" w:cs="Times New Roman"/>
                <w:sz w:val="16"/>
                <w:szCs w:val="16"/>
                <w:lang w:eastAsia="sk-SK"/>
              </w:rPr>
            </w:pPr>
            <w:r w:rsidRPr="00CF38ED">
              <w:rPr>
                <w:rFonts w:ascii="Times New Roman" w:eastAsia="Times New Roman" w:hAnsi="Times New Roman" w:cs="Times New Roman"/>
                <w:sz w:val="16"/>
                <w:szCs w:val="16"/>
                <w:lang w:eastAsia="sk-SK"/>
              </w:rPr>
              <w:t>Návrh zákona, ktorým sa mení a dopĺňa zákon č. 262/2014 Z. z.</w:t>
            </w:r>
          </w:p>
        </w:tc>
        <w:tc>
          <w:tcPr>
            <w:tcW w:w="1129" w:type="dxa"/>
            <w:tcBorders>
              <w:top w:val="nil"/>
              <w:left w:val="nil"/>
              <w:bottom w:val="single" w:sz="4" w:space="0" w:color="auto"/>
              <w:right w:val="single" w:sz="4" w:space="0" w:color="auto"/>
            </w:tcBorders>
            <w:shd w:val="clear" w:color="auto" w:fill="auto"/>
            <w:vAlign w:val="center"/>
            <w:hideMark/>
          </w:tcPr>
          <w:p w:rsidR="00CD75DE" w:rsidRPr="00CF38ED" w:rsidRDefault="00CD75DE" w:rsidP="008D3EB8">
            <w:pPr>
              <w:spacing w:after="0" w:line="240" w:lineRule="auto"/>
              <w:jc w:val="center"/>
              <w:rPr>
                <w:rFonts w:ascii="Times New Roman" w:eastAsia="Times New Roman" w:hAnsi="Times New Roman" w:cs="Times New Roman"/>
                <w:sz w:val="16"/>
                <w:szCs w:val="16"/>
                <w:lang w:eastAsia="sk-SK"/>
              </w:rPr>
            </w:pPr>
            <w:r w:rsidRPr="00CF38ED">
              <w:rPr>
                <w:rFonts w:ascii="Times New Roman" w:eastAsia="Times New Roman" w:hAnsi="Times New Roman" w:cs="Times New Roman"/>
                <w:sz w:val="16"/>
                <w:szCs w:val="16"/>
                <w:lang w:eastAsia="sk-SK"/>
              </w:rPr>
              <w:t>§7 ods. 1</w:t>
            </w:r>
          </w:p>
        </w:tc>
        <w:tc>
          <w:tcPr>
            <w:tcW w:w="1072" w:type="dxa"/>
            <w:tcBorders>
              <w:top w:val="nil"/>
              <w:left w:val="nil"/>
              <w:bottom w:val="single" w:sz="4" w:space="0" w:color="auto"/>
              <w:right w:val="single" w:sz="4" w:space="0" w:color="auto"/>
            </w:tcBorders>
            <w:shd w:val="clear" w:color="auto" w:fill="auto"/>
            <w:vAlign w:val="center"/>
            <w:hideMark/>
          </w:tcPr>
          <w:p w:rsidR="00CD75DE" w:rsidRPr="00CF38ED" w:rsidRDefault="00CD75DE" w:rsidP="008D3EB8">
            <w:pPr>
              <w:spacing w:after="0" w:line="240" w:lineRule="auto"/>
              <w:jc w:val="center"/>
              <w:rPr>
                <w:rFonts w:ascii="Times New Roman" w:eastAsia="Times New Roman" w:hAnsi="Times New Roman" w:cs="Times New Roman"/>
                <w:color w:val="000000"/>
                <w:sz w:val="16"/>
                <w:szCs w:val="16"/>
                <w:lang w:eastAsia="sk-SK"/>
              </w:rPr>
            </w:pPr>
            <w:r w:rsidRPr="00CF38ED">
              <w:rPr>
                <w:rFonts w:ascii="Times New Roman" w:eastAsia="Times New Roman" w:hAnsi="Times New Roman" w:cs="Times New Roman"/>
                <w:color w:val="000000"/>
                <w:sz w:val="16"/>
                <w:szCs w:val="16"/>
                <w:lang w:eastAsia="sk-SK"/>
              </w:rPr>
              <w:t>EÚ úplná harmonizácia</w:t>
            </w:r>
          </w:p>
        </w:tc>
        <w:tc>
          <w:tcPr>
            <w:tcW w:w="934" w:type="dxa"/>
            <w:tcBorders>
              <w:top w:val="nil"/>
              <w:left w:val="nil"/>
              <w:bottom w:val="single" w:sz="4" w:space="0" w:color="auto"/>
              <w:right w:val="single" w:sz="4" w:space="0" w:color="auto"/>
            </w:tcBorders>
            <w:shd w:val="clear" w:color="auto" w:fill="auto"/>
            <w:vAlign w:val="center"/>
            <w:hideMark/>
          </w:tcPr>
          <w:p w:rsidR="00CD75DE" w:rsidRPr="00CF38ED" w:rsidRDefault="00CD75DE" w:rsidP="008D3EB8">
            <w:pPr>
              <w:spacing w:after="0" w:line="240" w:lineRule="auto"/>
              <w:jc w:val="center"/>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1.1.2022</w:t>
            </w:r>
          </w:p>
        </w:tc>
        <w:tc>
          <w:tcPr>
            <w:tcW w:w="1613" w:type="dxa"/>
            <w:tcBorders>
              <w:top w:val="nil"/>
              <w:left w:val="nil"/>
              <w:bottom w:val="single" w:sz="4" w:space="0" w:color="auto"/>
              <w:right w:val="single" w:sz="4" w:space="0" w:color="auto"/>
            </w:tcBorders>
            <w:shd w:val="clear" w:color="auto" w:fill="auto"/>
            <w:vAlign w:val="center"/>
            <w:hideMark/>
          </w:tcPr>
          <w:p w:rsidR="00CD75DE" w:rsidRPr="00CF38ED" w:rsidRDefault="00CD75DE" w:rsidP="008D3EB8">
            <w:pPr>
              <w:spacing w:after="0" w:line="240" w:lineRule="auto"/>
              <w:jc w:val="center"/>
              <w:rPr>
                <w:rFonts w:ascii="Times New Roman" w:eastAsia="Times New Roman" w:hAnsi="Times New Roman" w:cs="Times New Roman"/>
                <w:color w:val="000000"/>
                <w:sz w:val="16"/>
                <w:szCs w:val="16"/>
                <w:lang w:eastAsia="sk-SK"/>
              </w:rPr>
            </w:pPr>
            <w:r>
              <w:rPr>
                <w:rFonts w:ascii="Times New Roman" w:eastAsia="Times New Roman" w:hAnsi="Times New Roman" w:cs="Times New Roman"/>
                <w:color w:val="000000"/>
                <w:sz w:val="16"/>
                <w:szCs w:val="16"/>
                <w:lang w:eastAsia="sk-SK"/>
              </w:rPr>
              <w:t xml:space="preserve">Predajcovia </w:t>
            </w:r>
            <w:r w:rsidRPr="00CF38ED">
              <w:rPr>
                <w:rFonts w:ascii="Times New Roman" w:eastAsia="Times New Roman" w:hAnsi="Times New Roman" w:cs="Times New Roman"/>
                <w:color w:val="000000"/>
                <w:sz w:val="16"/>
                <w:szCs w:val="16"/>
                <w:lang w:eastAsia="sk-SK"/>
              </w:rPr>
              <w:t>prekurzorov výbušnín</w:t>
            </w:r>
          </w:p>
        </w:tc>
        <w:tc>
          <w:tcPr>
            <w:tcW w:w="991" w:type="dxa"/>
            <w:tcBorders>
              <w:top w:val="nil"/>
              <w:left w:val="nil"/>
              <w:bottom w:val="single" w:sz="4" w:space="0" w:color="auto"/>
              <w:right w:val="single" w:sz="4" w:space="0" w:color="auto"/>
            </w:tcBorders>
            <w:shd w:val="clear" w:color="auto" w:fill="auto"/>
            <w:vAlign w:val="center"/>
            <w:hideMark/>
          </w:tcPr>
          <w:p w:rsidR="00CD75DE" w:rsidRPr="00CF38ED" w:rsidRDefault="00CD75DE" w:rsidP="008D3EB8">
            <w:pPr>
              <w:spacing w:after="0" w:line="240" w:lineRule="auto"/>
              <w:jc w:val="center"/>
              <w:rPr>
                <w:rFonts w:ascii="Times New Roman" w:eastAsia="Times New Roman" w:hAnsi="Times New Roman" w:cs="Times New Roman"/>
                <w:color w:val="000000"/>
                <w:sz w:val="16"/>
                <w:szCs w:val="16"/>
                <w:lang w:eastAsia="sk-SK"/>
              </w:rPr>
            </w:pPr>
            <w:r>
              <w:rPr>
                <w:rFonts w:ascii="Times New Roman" w:eastAsia="Times New Roman" w:hAnsi="Times New Roman" w:cs="Times New Roman"/>
                <w:color w:val="000000"/>
                <w:sz w:val="16"/>
                <w:szCs w:val="16"/>
                <w:lang w:eastAsia="sk-SK"/>
              </w:rPr>
              <w:t>100</w:t>
            </w:r>
          </w:p>
        </w:tc>
        <w:tc>
          <w:tcPr>
            <w:tcW w:w="1037" w:type="dxa"/>
            <w:tcBorders>
              <w:top w:val="nil"/>
              <w:left w:val="nil"/>
              <w:bottom w:val="single" w:sz="4" w:space="0" w:color="auto"/>
              <w:right w:val="single" w:sz="4" w:space="0" w:color="auto"/>
            </w:tcBorders>
            <w:shd w:val="clear" w:color="auto" w:fill="auto"/>
            <w:vAlign w:val="center"/>
            <w:hideMark/>
          </w:tcPr>
          <w:p w:rsidR="00CD75DE" w:rsidRPr="00CF38ED" w:rsidRDefault="00CD75DE" w:rsidP="008D3EB8">
            <w:pPr>
              <w:spacing w:after="0" w:line="240" w:lineRule="auto"/>
              <w:jc w:val="center"/>
              <w:rPr>
                <w:rFonts w:ascii="Times New Roman" w:eastAsia="Times New Roman" w:hAnsi="Times New Roman" w:cs="Times New Roman"/>
                <w:color w:val="000000"/>
                <w:sz w:val="16"/>
                <w:szCs w:val="16"/>
                <w:lang w:eastAsia="sk-SK"/>
              </w:rPr>
            </w:pPr>
            <w:r w:rsidRPr="00CF38ED">
              <w:rPr>
                <w:rFonts w:ascii="Times New Roman" w:eastAsia="Times New Roman" w:hAnsi="Times New Roman" w:cs="Times New Roman"/>
                <w:color w:val="000000"/>
                <w:sz w:val="16"/>
                <w:szCs w:val="16"/>
                <w:lang w:eastAsia="sk-SK"/>
              </w:rPr>
              <w:t>N</w:t>
            </w:r>
          </w:p>
        </w:tc>
        <w:tc>
          <w:tcPr>
            <w:tcW w:w="854" w:type="dxa"/>
            <w:tcBorders>
              <w:top w:val="nil"/>
              <w:left w:val="nil"/>
              <w:bottom w:val="single" w:sz="4" w:space="0" w:color="auto"/>
              <w:right w:val="single" w:sz="4" w:space="0" w:color="auto"/>
            </w:tcBorders>
            <w:shd w:val="clear" w:color="auto" w:fill="auto"/>
            <w:vAlign w:val="center"/>
            <w:hideMark/>
          </w:tcPr>
          <w:p w:rsidR="00CD75DE" w:rsidRPr="00CF38ED" w:rsidRDefault="00CD75DE" w:rsidP="008D3EB8">
            <w:pPr>
              <w:spacing w:after="0" w:line="240" w:lineRule="auto"/>
              <w:jc w:val="center"/>
              <w:rPr>
                <w:rFonts w:ascii="Times New Roman" w:eastAsia="Times New Roman" w:hAnsi="Times New Roman" w:cs="Times New Roman"/>
                <w:color w:val="000000"/>
                <w:sz w:val="16"/>
                <w:szCs w:val="16"/>
                <w:lang w:eastAsia="sk-SK"/>
              </w:rPr>
            </w:pPr>
            <w:r>
              <w:rPr>
                <w:rFonts w:ascii="Times New Roman" w:eastAsia="Times New Roman" w:hAnsi="Times New Roman" w:cs="Times New Roman"/>
                <w:color w:val="000000"/>
                <w:sz w:val="16"/>
                <w:szCs w:val="16"/>
                <w:lang w:eastAsia="sk-SK"/>
              </w:rPr>
              <w:t>2 232,09 €</w:t>
            </w:r>
          </w:p>
        </w:tc>
        <w:tc>
          <w:tcPr>
            <w:tcW w:w="1134" w:type="dxa"/>
            <w:tcBorders>
              <w:top w:val="nil"/>
              <w:left w:val="nil"/>
              <w:bottom w:val="single" w:sz="4" w:space="0" w:color="auto"/>
              <w:right w:val="single" w:sz="4" w:space="0" w:color="auto"/>
            </w:tcBorders>
            <w:shd w:val="clear" w:color="auto" w:fill="auto"/>
            <w:vAlign w:val="center"/>
            <w:hideMark/>
          </w:tcPr>
          <w:p w:rsidR="00CD75DE" w:rsidRPr="00CF38ED" w:rsidRDefault="000B36A0" w:rsidP="008D3EB8">
            <w:pPr>
              <w:spacing w:after="0" w:line="240" w:lineRule="auto"/>
              <w:jc w:val="center"/>
              <w:rPr>
                <w:rFonts w:ascii="Times New Roman" w:eastAsia="Times New Roman" w:hAnsi="Times New Roman" w:cs="Times New Roman"/>
                <w:color w:val="000000"/>
                <w:sz w:val="16"/>
                <w:szCs w:val="16"/>
                <w:lang w:eastAsia="sk-SK"/>
              </w:rPr>
            </w:pPr>
            <w:r>
              <w:rPr>
                <w:rFonts w:ascii="Times New Roman" w:eastAsia="Times New Roman" w:hAnsi="Times New Roman" w:cs="Times New Roman"/>
                <w:color w:val="000000"/>
                <w:sz w:val="16"/>
                <w:szCs w:val="16"/>
                <w:lang w:eastAsia="sk-SK"/>
              </w:rPr>
              <w:t>223 209,7</w:t>
            </w:r>
            <w:r w:rsidR="00CD75DE" w:rsidRPr="00E76970">
              <w:rPr>
                <w:rFonts w:ascii="Times New Roman" w:eastAsia="Times New Roman" w:hAnsi="Times New Roman" w:cs="Times New Roman"/>
                <w:color w:val="000000"/>
                <w:sz w:val="16"/>
                <w:szCs w:val="16"/>
                <w:lang w:eastAsia="sk-SK"/>
              </w:rPr>
              <w:t xml:space="preserve"> €</w:t>
            </w:r>
          </w:p>
        </w:tc>
        <w:tc>
          <w:tcPr>
            <w:tcW w:w="2268" w:type="dxa"/>
            <w:tcBorders>
              <w:top w:val="nil"/>
              <w:left w:val="nil"/>
              <w:bottom w:val="single" w:sz="4" w:space="0" w:color="auto"/>
              <w:right w:val="single" w:sz="4" w:space="0" w:color="auto"/>
            </w:tcBorders>
            <w:shd w:val="clear" w:color="auto" w:fill="auto"/>
            <w:vAlign w:val="center"/>
            <w:hideMark/>
          </w:tcPr>
          <w:p w:rsidR="00CD75DE" w:rsidRPr="00CF38ED" w:rsidRDefault="00CD75DE" w:rsidP="008D3EB8">
            <w:pPr>
              <w:spacing w:after="0" w:line="240" w:lineRule="auto"/>
              <w:jc w:val="center"/>
              <w:rPr>
                <w:rFonts w:ascii="Times New Roman" w:eastAsia="Times New Roman" w:hAnsi="Times New Roman" w:cs="Times New Roman"/>
                <w:color w:val="000000"/>
                <w:sz w:val="16"/>
                <w:szCs w:val="16"/>
                <w:lang w:eastAsia="sk-SK"/>
              </w:rPr>
            </w:pPr>
            <w:r w:rsidRPr="00CF38ED">
              <w:rPr>
                <w:rFonts w:ascii="Times New Roman" w:eastAsia="Times New Roman" w:hAnsi="Times New Roman" w:cs="Times New Roman"/>
                <w:color w:val="000000"/>
                <w:sz w:val="16"/>
                <w:szCs w:val="16"/>
                <w:lang w:eastAsia="sk-SK"/>
              </w:rPr>
              <w:t>In (zvyšuje náklady)</w:t>
            </w:r>
          </w:p>
        </w:tc>
      </w:tr>
      <w:tr w:rsidR="00CD75DE" w:rsidRPr="00CF38ED" w:rsidTr="008D3EB8">
        <w:trPr>
          <w:trHeight w:val="255"/>
        </w:trPr>
        <w:tc>
          <w:tcPr>
            <w:tcW w:w="452" w:type="dxa"/>
            <w:tcBorders>
              <w:top w:val="nil"/>
              <w:left w:val="single" w:sz="4" w:space="0" w:color="auto"/>
              <w:bottom w:val="single" w:sz="4" w:space="0" w:color="auto"/>
              <w:right w:val="single" w:sz="4" w:space="0" w:color="auto"/>
            </w:tcBorders>
            <w:shd w:val="clear" w:color="auto" w:fill="auto"/>
            <w:vAlign w:val="center"/>
            <w:hideMark/>
          </w:tcPr>
          <w:p w:rsidR="00CD75DE" w:rsidRPr="00CF38ED" w:rsidRDefault="00CD75DE" w:rsidP="008D3EB8">
            <w:pPr>
              <w:spacing w:after="0" w:line="240" w:lineRule="auto"/>
              <w:jc w:val="center"/>
              <w:rPr>
                <w:rFonts w:ascii="Times New Roman" w:eastAsia="Times New Roman" w:hAnsi="Times New Roman" w:cs="Times New Roman"/>
                <w:color w:val="000000"/>
                <w:sz w:val="16"/>
                <w:szCs w:val="16"/>
                <w:lang w:eastAsia="sk-SK"/>
              </w:rPr>
            </w:pPr>
            <w:r w:rsidRPr="00CF38ED">
              <w:rPr>
                <w:rFonts w:ascii="Times New Roman" w:eastAsia="Times New Roman" w:hAnsi="Times New Roman" w:cs="Times New Roman"/>
                <w:color w:val="000000"/>
                <w:sz w:val="16"/>
                <w:szCs w:val="16"/>
                <w:lang w:eastAsia="sk-SK"/>
              </w:rPr>
              <w:t>2</w:t>
            </w:r>
          </w:p>
        </w:tc>
        <w:tc>
          <w:tcPr>
            <w:tcW w:w="1618" w:type="dxa"/>
            <w:tcBorders>
              <w:top w:val="nil"/>
              <w:left w:val="nil"/>
              <w:bottom w:val="single" w:sz="4" w:space="0" w:color="auto"/>
              <w:right w:val="single" w:sz="4" w:space="0" w:color="auto"/>
            </w:tcBorders>
            <w:shd w:val="clear" w:color="auto" w:fill="auto"/>
            <w:vAlign w:val="center"/>
            <w:hideMark/>
          </w:tcPr>
          <w:p w:rsidR="00CD75DE" w:rsidRPr="00CF38ED" w:rsidRDefault="00CD75DE" w:rsidP="008D3EB8">
            <w:pPr>
              <w:spacing w:after="0" w:line="240" w:lineRule="auto"/>
              <w:jc w:val="center"/>
              <w:rPr>
                <w:rFonts w:ascii="Times New Roman" w:eastAsia="Times New Roman" w:hAnsi="Times New Roman" w:cs="Times New Roman"/>
                <w:color w:val="000000"/>
                <w:sz w:val="16"/>
                <w:szCs w:val="16"/>
                <w:lang w:eastAsia="sk-SK"/>
              </w:rPr>
            </w:pPr>
            <w:r>
              <w:rPr>
                <w:rFonts w:ascii="Times New Roman" w:eastAsia="Times New Roman" w:hAnsi="Times New Roman" w:cs="Times New Roman"/>
                <w:color w:val="000000"/>
                <w:sz w:val="16"/>
                <w:szCs w:val="16"/>
                <w:lang w:eastAsia="sk-SK"/>
              </w:rPr>
              <w:t>znížené administratívne náklady spojené so zrušením povinnosti archivácie po dobu 18 mesiacov</w:t>
            </w:r>
            <w:r w:rsidRPr="00CF38ED">
              <w:rPr>
                <w:rFonts w:ascii="Times New Roman" w:eastAsia="Times New Roman" w:hAnsi="Times New Roman" w:cs="Times New Roman"/>
                <w:color w:val="000000"/>
                <w:sz w:val="16"/>
                <w:szCs w:val="16"/>
                <w:lang w:eastAsia="sk-SK"/>
              </w:rPr>
              <w:t xml:space="preserve"> </w:t>
            </w:r>
          </w:p>
        </w:tc>
        <w:tc>
          <w:tcPr>
            <w:tcW w:w="790" w:type="dxa"/>
            <w:tcBorders>
              <w:top w:val="nil"/>
              <w:left w:val="nil"/>
              <w:bottom w:val="single" w:sz="4" w:space="0" w:color="auto"/>
              <w:right w:val="single" w:sz="4" w:space="0" w:color="auto"/>
            </w:tcBorders>
            <w:shd w:val="clear" w:color="auto" w:fill="auto"/>
            <w:vAlign w:val="center"/>
            <w:hideMark/>
          </w:tcPr>
          <w:p w:rsidR="00CD75DE" w:rsidRPr="00CF38ED" w:rsidRDefault="00CD75DE" w:rsidP="008D3EB8">
            <w:pPr>
              <w:spacing w:after="0" w:line="240" w:lineRule="auto"/>
              <w:jc w:val="center"/>
              <w:rPr>
                <w:rFonts w:ascii="Times New Roman" w:eastAsia="Times New Roman" w:hAnsi="Times New Roman" w:cs="Times New Roman"/>
                <w:sz w:val="16"/>
                <w:szCs w:val="16"/>
                <w:lang w:eastAsia="sk-SK"/>
              </w:rPr>
            </w:pPr>
            <w:r w:rsidRPr="00CF38ED">
              <w:rPr>
                <w:rFonts w:ascii="Times New Roman" w:eastAsia="Times New Roman" w:hAnsi="Times New Roman" w:cs="Times New Roman"/>
                <w:sz w:val="16"/>
                <w:szCs w:val="16"/>
                <w:lang w:eastAsia="sk-SK"/>
              </w:rPr>
              <w:t>Návrh zákona, ktorým sa mení a dopĺňa zákon č. 262/2014 Z. z.</w:t>
            </w:r>
          </w:p>
        </w:tc>
        <w:tc>
          <w:tcPr>
            <w:tcW w:w="1129" w:type="dxa"/>
            <w:tcBorders>
              <w:top w:val="nil"/>
              <w:left w:val="nil"/>
              <w:bottom w:val="single" w:sz="4" w:space="0" w:color="auto"/>
              <w:right w:val="single" w:sz="4" w:space="0" w:color="auto"/>
            </w:tcBorders>
            <w:shd w:val="clear" w:color="auto" w:fill="auto"/>
            <w:vAlign w:val="center"/>
            <w:hideMark/>
          </w:tcPr>
          <w:p w:rsidR="00CD75DE" w:rsidRPr="00CF38ED" w:rsidRDefault="00CD75DE" w:rsidP="008D3EB8">
            <w:pPr>
              <w:spacing w:after="0" w:line="240" w:lineRule="auto"/>
              <w:jc w:val="center"/>
              <w:rPr>
                <w:rFonts w:ascii="Times New Roman" w:eastAsia="Times New Roman" w:hAnsi="Times New Roman" w:cs="Times New Roman"/>
                <w:sz w:val="16"/>
                <w:szCs w:val="16"/>
                <w:lang w:eastAsia="sk-SK"/>
              </w:rPr>
            </w:pPr>
            <w:r w:rsidRPr="00CF38ED">
              <w:rPr>
                <w:rFonts w:ascii="Times New Roman" w:eastAsia="Times New Roman" w:hAnsi="Times New Roman" w:cs="Times New Roman"/>
                <w:sz w:val="16"/>
                <w:szCs w:val="16"/>
                <w:lang w:eastAsia="sk-SK"/>
              </w:rPr>
              <w:t>§7 ods. 1</w:t>
            </w:r>
          </w:p>
        </w:tc>
        <w:tc>
          <w:tcPr>
            <w:tcW w:w="1072" w:type="dxa"/>
            <w:tcBorders>
              <w:top w:val="nil"/>
              <w:left w:val="nil"/>
              <w:bottom w:val="single" w:sz="4" w:space="0" w:color="auto"/>
              <w:right w:val="single" w:sz="4" w:space="0" w:color="auto"/>
            </w:tcBorders>
            <w:shd w:val="clear" w:color="auto" w:fill="auto"/>
            <w:vAlign w:val="center"/>
            <w:hideMark/>
          </w:tcPr>
          <w:p w:rsidR="00CD75DE" w:rsidRPr="00CF38ED" w:rsidRDefault="00CD75DE" w:rsidP="008D3EB8">
            <w:pPr>
              <w:spacing w:after="0" w:line="240" w:lineRule="auto"/>
              <w:jc w:val="center"/>
              <w:rPr>
                <w:rFonts w:ascii="Times New Roman" w:eastAsia="Times New Roman" w:hAnsi="Times New Roman" w:cs="Times New Roman"/>
                <w:color w:val="000000"/>
                <w:sz w:val="16"/>
                <w:szCs w:val="16"/>
                <w:lang w:eastAsia="sk-SK"/>
              </w:rPr>
            </w:pPr>
            <w:r w:rsidRPr="00CF38ED">
              <w:rPr>
                <w:rFonts w:ascii="Times New Roman" w:eastAsia="Times New Roman" w:hAnsi="Times New Roman" w:cs="Times New Roman"/>
                <w:color w:val="000000"/>
                <w:sz w:val="16"/>
                <w:szCs w:val="16"/>
                <w:lang w:eastAsia="sk-SK"/>
              </w:rPr>
              <w:t>EÚ úplná harmonizácia</w:t>
            </w:r>
          </w:p>
        </w:tc>
        <w:tc>
          <w:tcPr>
            <w:tcW w:w="934" w:type="dxa"/>
            <w:tcBorders>
              <w:top w:val="nil"/>
              <w:left w:val="nil"/>
              <w:bottom w:val="single" w:sz="4" w:space="0" w:color="auto"/>
              <w:right w:val="single" w:sz="4" w:space="0" w:color="auto"/>
            </w:tcBorders>
            <w:shd w:val="clear" w:color="auto" w:fill="auto"/>
            <w:vAlign w:val="center"/>
            <w:hideMark/>
          </w:tcPr>
          <w:p w:rsidR="00CD75DE" w:rsidRPr="00CF38ED" w:rsidRDefault="00CD75DE" w:rsidP="008D3EB8">
            <w:pPr>
              <w:spacing w:after="0" w:line="240" w:lineRule="auto"/>
              <w:jc w:val="center"/>
              <w:rPr>
                <w:rFonts w:ascii="Times New Roman" w:eastAsia="Times New Roman" w:hAnsi="Times New Roman" w:cs="Times New Roman"/>
                <w:sz w:val="16"/>
                <w:szCs w:val="16"/>
                <w:lang w:eastAsia="sk-SK"/>
              </w:rPr>
            </w:pPr>
            <w:r w:rsidRPr="00CF38ED">
              <w:rPr>
                <w:rFonts w:ascii="Times New Roman" w:eastAsia="Times New Roman" w:hAnsi="Times New Roman" w:cs="Times New Roman"/>
                <w:sz w:val="16"/>
                <w:szCs w:val="16"/>
                <w:lang w:eastAsia="sk-SK"/>
              </w:rPr>
              <w:t>1.1.202</w:t>
            </w:r>
            <w:r>
              <w:rPr>
                <w:rFonts w:ascii="Times New Roman" w:eastAsia="Times New Roman" w:hAnsi="Times New Roman" w:cs="Times New Roman"/>
                <w:sz w:val="16"/>
                <w:szCs w:val="16"/>
                <w:lang w:eastAsia="sk-SK"/>
              </w:rPr>
              <w:t>2</w:t>
            </w:r>
          </w:p>
        </w:tc>
        <w:tc>
          <w:tcPr>
            <w:tcW w:w="1613" w:type="dxa"/>
            <w:tcBorders>
              <w:top w:val="nil"/>
              <w:left w:val="nil"/>
              <w:bottom w:val="single" w:sz="4" w:space="0" w:color="auto"/>
              <w:right w:val="single" w:sz="4" w:space="0" w:color="auto"/>
            </w:tcBorders>
            <w:shd w:val="clear" w:color="auto" w:fill="auto"/>
            <w:vAlign w:val="center"/>
            <w:hideMark/>
          </w:tcPr>
          <w:p w:rsidR="00CD75DE" w:rsidRPr="00CF38ED" w:rsidRDefault="00CD75DE" w:rsidP="008D3EB8">
            <w:pPr>
              <w:spacing w:after="0" w:line="240" w:lineRule="auto"/>
              <w:jc w:val="center"/>
              <w:rPr>
                <w:rFonts w:ascii="Times New Roman" w:eastAsia="Times New Roman" w:hAnsi="Times New Roman" w:cs="Times New Roman"/>
                <w:color w:val="000000"/>
                <w:sz w:val="16"/>
                <w:szCs w:val="16"/>
                <w:lang w:eastAsia="sk-SK"/>
              </w:rPr>
            </w:pPr>
            <w:r w:rsidRPr="00CF38ED">
              <w:rPr>
                <w:rFonts w:ascii="Times New Roman" w:eastAsia="Times New Roman" w:hAnsi="Times New Roman" w:cs="Times New Roman"/>
                <w:color w:val="000000"/>
                <w:sz w:val="16"/>
                <w:szCs w:val="16"/>
                <w:lang w:eastAsia="sk-SK"/>
              </w:rPr>
              <w:t>Predajcovia prekurzorov výbušnín</w:t>
            </w:r>
          </w:p>
        </w:tc>
        <w:tc>
          <w:tcPr>
            <w:tcW w:w="991" w:type="dxa"/>
            <w:tcBorders>
              <w:top w:val="nil"/>
              <w:left w:val="nil"/>
              <w:bottom w:val="single" w:sz="4" w:space="0" w:color="auto"/>
              <w:right w:val="single" w:sz="4" w:space="0" w:color="auto"/>
            </w:tcBorders>
            <w:shd w:val="clear" w:color="auto" w:fill="auto"/>
            <w:vAlign w:val="center"/>
            <w:hideMark/>
          </w:tcPr>
          <w:p w:rsidR="00CD75DE" w:rsidRPr="00CF38ED" w:rsidRDefault="00CD75DE" w:rsidP="008D3EB8">
            <w:pPr>
              <w:spacing w:after="0" w:line="240" w:lineRule="auto"/>
              <w:jc w:val="center"/>
              <w:rPr>
                <w:rFonts w:ascii="Times New Roman" w:eastAsia="Times New Roman" w:hAnsi="Times New Roman" w:cs="Times New Roman"/>
                <w:color w:val="000000"/>
                <w:sz w:val="16"/>
                <w:szCs w:val="16"/>
                <w:lang w:eastAsia="sk-SK"/>
              </w:rPr>
            </w:pPr>
            <w:r>
              <w:rPr>
                <w:rFonts w:ascii="Times New Roman" w:eastAsia="Times New Roman" w:hAnsi="Times New Roman" w:cs="Times New Roman"/>
                <w:color w:val="000000"/>
                <w:sz w:val="16"/>
                <w:szCs w:val="16"/>
                <w:lang w:eastAsia="sk-SK"/>
              </w:rPr>
              <w:t>100</w:t>
            </w:r>
          </w:p>
        </w:tc>
        <w:tc>
          <w:tcPr>
            <w:tcW w:w="1037" w:type="dxa"/>
            <w:tcBorders>
              <w:top w:val="nil"/>
              <w:left w:val="nil"/>
              <w:bottom w:val="single" w:sz="4" w:space="0" w:color="auto"/>
              <w:right w:val="single" w:sz="4" w:space="0" w:color="auto"/>
            </w:tcBorders>
            <w:shd w:val="clear" w:color="auto" w:fill="auto"/>
            <w:vAlign w:val="center"/>
            <w:hideMark/>
          </w:tcPr>
          <w:p w:rsidR="00CD75DE" w:rsidRPr="00CF38ED" w:rsidRDefault="00CD75DE" w:rsidP="008D3EB8">
            <w:pPr>
              <w:spacing w:after="0" w:line="240" w:lineRule="auto"/>
              <w:jc w:val="center"/>
              <w:rPr>
                <w:rFonts w:ascii="Times New Roman" w:eastAsia="Times New Roman" w:hAnsi="Times New Roman" w:cs="Times New Roman"/>
                <w:color w:val="000000"/>
                <w:sz w:val="16"/>
                <w:szCs w:val="16"/>
                <w:lang w:eastAsia="sk-SK"/>
              </w:rPr>
            </w:pPr>
            <w:r w:rsidRPr="00CF38ED">
              <w:rPr>
                <w:rFonts w:ascii="Times New Roman" w:eastAsia="Times New Roman" w:hAnsi="Times New Roman" w:cs="Times New Roman"/>
                <w:color w:val="000000"/>
                <w:sz w:val="16"/>
                <w:szCs w:val="16"/>
                <w:lang w:eastAsia="sk-SK"/>
              </w:rPr>
              <w:t>N</w:t>
            </w:r>
          </w:p>
        </w:tc>
        <w:tc>
          <w:tcPr>
            <w:tcW w:w="854" w:type="dxa"/>
            <w:tcBorders>
              <w:top w:val="nil"/>
              <w:left w:val="nil"/>
              <w:bottom w:val="single" w:sz="4" w:space="0" w:color="auto"/>
              <w:right w:val="single" w:sz="4" w:space="0" w:color="auto"/>
            </w:tcBorders>
            <w:shd w:val="clear" w:color="auto" w:fill="auto"/>
            <w:vAlign w:val="center"/>
            <w:hideMark/>
          </w:tcPr>
          <w:p w:rsidR="00CD75DE" w:rsidRPr="00CF38ED" w:rsidRDefault="000B36A0" w:rsidP="008D3EB8">
            <w:pPr>
              <w:spacing w:after="0" w:line="240" w:lineRule="auto"/>
              <w:jc w:val="center"/>
              <w:rPr>
                <w:rFonts w:ascii="Times New Roman" w:eastAsia="Times New Roman" w:hAnsi="Times New Roman" w:cs="Times New Roman"/>
                <w:color w:val="000000"/>
                <w:sz w:val="16"/>
                <w:szCs w:val="16"/>
                <w:lang w:eastAsia="sk-SK"/>
              </w:rPr>
            </w:pPr>
            <w:r>
              <w:rPr>
                <w:rFonts w:ascii="Times New Roman" w:eastAsia="Times New Roman" w:hAnsi="Times New Roman" w:cs="Times New Roman"/>
                <w:color w:val="000000"/>
                <w:sz w:val="16"/>
                <w:szCs w:val="16"/>
                <w:lang w:eastAsia="sk-SK"/>
              </w:rPr>
              <w:t>14,36</w:t>
            </w:r>
            <w:r w:rsidR="00CD75DE">
              <w:rPr>
                <w:rFonts w:ascii="Times New Roman" w:eastAsia="Times New Roman" w:hAnsi="Times New Roman" w:cs="Times New Roman"/>
                <w:color w:val="000000"/>
                <w:sz w:val="16"/>
                <w:szCs w:val="16"/>
                <w:lang w:eastAsia="sk-SK"/>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CD75DE" w:rsidRPr="00CF38ED" w:rsidRDefault="000B36A0" w:rsidP="008D3EB8">
            <w:pPr>
              <w:spacing w:after="0" w:line="240" w:lineRule="auto"/>
              <w:jc w:val="center"/>
              <w:rPr>
                <w:rFonts w:ascii="Times New Roman" w:eastAsia="Times New Roman" w:hAnsi="Times New Roman" w:cs="Times New Roman"/>
                <w:color w:val="000000"/>
                <w:sz w:val="16"/>
                <w:szCs w:val="16"/>
                <w:lang w:eastAsia="sk-SK"/>
              </w:rPr>
            </w:pPr>
            <w:r>
              <w:rPr>
                <w:rFonts w:ascii="Times New Roman" w:eastAsia="Times New Roman" w:hAnsi="Times New Roman" w:cs="Times New Roman"/>
                <w:color w:val="000000"/>
                <w:sz w:val="16"/>
                <w:szCs w:val="16"/>
                <w:lang w:eastAsia="sk-SK"/>
              </w:rPr>
              <w:t>1  436,1</w:t>
            </w:r>
            <w:r w:rsidR="00CD75DE">
              <w:rPr>
                <w:rFonts w:ascii="Times New Roman" w:eastAsia="Times New Roman" w:hAnsi="Times New Roman" w:cs="Times New Roman"/>
                <w:color w:val="000000"/>
                <w:sz w:val="16"/>
                <w:szCs w:val="16"/>
                <w:lang w:eastAsia="sk-SK"/>
              </w:rPr>
              <w:t>0 €</w:t>
            </w:r>
          </w:p>
        </w:tc>
        <w:tc>
          <w:tcPr>
            <w:tcW w:w="2268" w:type="dxa"/>
            <w:tcBorders>
              <w:top w:val="nil"/>
              <w:left w:val="nil"/>
              <w:bottom w:val="single" w:sz="4" w:space="0" w:color="auto"/>
              <w:right w:val="single" w:sz="4" w:space="0" w:color="auto"/>
            </w:tcBorders>
            <w:shd w:val="clear" w:color="auto" w:fill="auto"/>
            <w:vAlign w:val="center"/>
            <w:hideMark/>
          </w:tcPr>
          <w:p w:rsidR="00CD75DE" w:rsidRPr="00CF38ED" w:rsidRDefault="00CD75DE" w:rsidP="008D3EB8">
            <w:pPr>
              <w:spacing w:after="0" w:line="240" w:lineRule="auto"/>
              <w:jc w:val="center"/>
              <w:rPr>
                <w:rFonts w:ascii="Times New Roman" w:eastAsia="Times New Roman" w:hAnsi="Times New Roman" w:cs="Times New Roman"/>
                <w:color w:val="000000"/>
                <w:sz w:val="16"/>
                <w:szCs w:val="16"/>
                <w:lang w:eastAsia="sk-SK"/>
              </w:rPr>
            </w:pPr>
            <w:proofErr w:type="spellStart"/>
            <w:r>
              <w:rPr>
                <w:rFonts w:ascii="Times New Roman" w:eastAsia="Times New Roman" w:hAnsi="Times New Roman" w:cs="Times New Roman"/>
                <w:color w:val="000000"/>
                <w:sz w:val="16"/>
                <w:szCs w:val="16"/>
                <w:lang w:eastAsia="sk-SK"/>
              </w:rPr>
              <w:t>Out</w:t>
            </w:r>
            <w:proofErr w:type="spellEnd"/>
            <w:r w:rsidRPr="00CF38ED">
              <w:rPr>
                <w:rFonts w:ascii="Times New Roman" w:eastAsia="Times New Roman" w:hAnsi="Times New Roman" w:cs="Times New Roman"/>
                <w:color w:val="000000"/>
                <w:sz w:val="16"/>
                <w:szCs w:val="16"/>
                <w:lang w:eastAsia="sk-SK"/>
              </w:rPr>
              <w:t xml:space="preserve"> (z</w:t>
            </w:r>
            <w:r>
              <w:rPr>
                <w:rFonts w:ascii="Times New Roman" w:eastAsia="Times New Roman" w:hAnsi="Times New Roman" w:cs="Times New Roman"/>
                <w:color w:val="000000"/>
                <w:sz w:val="16"/>
                <w:szCs w:val="16"/>
                <w:lang w:eastAsia="sk-SK"/>
              </w:rPr>
              <w:t>nižuje</w:t>
            </w:r>
            <w:r w:rsidRPr="00CF38ED">
              <w:rPr>
                <w:rFonts w:ascii="Times New Roman" w:eastAsia="Times New Roman" w:hAnsi="Times New Roman" w:cs="Times New Roman"/>
                <w:color w:val="000000"/>
                <w:sz w:val="16"/>
                <w:szCs w:val="16"/>
                <w:lang w:eastAsia="sk-SK"/>
              </w:rPr>
              <w:t xml:space="preserve"> náklady)</w:t>
            </w:r>
          </w:p>
        </w:tc>
      </w:tr>
    </w:tbl>
    <w:p w:rsidR="00CD75DE" w:rsidRPr="00CF38ED" w:rsidRDefault="00CD75DE" w:rsidP="00CD75DE">
      <w:pPr>
        <w:jc w:val="both"/>
        <w:rPr>
          <w:rFonts w:ascii="Times New Roman" w:eastAsia="Calibri" w:hAnsi="Times New Roman" w:cs="Times New Roman"/>
          <w:i/>
        </w:rPr>
      </w:pPr>
    </w:p>
    <w:p w:rsidR="00CD75DE" w:rsidRPr="00CF38ED" w:rsidRDefault="00CD75DE" w:rsidP="00CD75DE">
      <w:pPr>
        <w:jc w:val="both"/>
        <w:rPr>
          <w:rFonts w:ascii="Times New Roman" w:eastAsia="Calibri" w:hAnsi="Times New Roman" w:cs="Times New Roman"/>
          <w:b/>
          <w:bCs/>
          <w:i/>
          <w:sz w:val="24"/>
          <w:szCs w:val="24"/>
        </w:rPr>
        <w:sectPr w:rsidR="00CD75DE" w:rsidRPr="00CF38ED" w:rsidSect="00AB3845">
          <w:pgSz w:w="16838" w:h="11906" w:orient="landscape"/>
          <w:pgMar w:top="1417" w:right="1417" w:bottom="1417" w:left="1417" w:header="708" w:footer="708" w:gutter="0"/>
          <w:cols w:space="708"/>
          <w:docGrid w:linePitch="360"/>
        </w:sectPr>
      </w:pPr>
    </w:p>
    <w:p w:rsidR="00CD75DE" w:rsidRPr="00CF38ED" w:rsidRDefault="00CD75DE" w:rsidP="00CD75DE">
      <w:pPr>
        <w:jc w:val="both"/>
        <w:rPr>
          <w:rFonts w:ascii="Times New Roman" w:eastAsia="Calibri" w:hAnsi="Times New Roman" w:cs="Times New Roman"/>
          <w:b/>
          <w:bCs/>
          <w:i/>
          <w:sz w:val="24"/>
          <w:szCs w:val="24"/>
          <w:u w:val="single"/>
        </w:rPr>
      </w:pPr>
      <w:r w:rsidRPr="00CF38ED">
        <w:rPr>
          <w:rFonts w:ascii="Times New Roman" w:eastAsia="Calibri" w:hAnsi="Times New Roman" w:cs="Times New Roman"/>
          <w:b/>
          <w:bCs/>
          <w:i/>
          <w:sz w:val="24"/>
          <w:szCs w:val="24"/>
          <w:u w:val="single"/>
        </w:rPr>
        <w:lastRenderedPageBreak/>
        <w:t xml:space="preserve">Doplňujúce informácie k spôsobu výpočtu vplyvov jednotlivých regulácií na zmenu nákladov </w:t>
      </w:r>
    </w:p>
    <w:p w:rsidR="00CD75DE" w:rsidRPr="00CF38ED" w:rsidRDefault="00CD75DE" w:rsidP="00852070">
      <w:pPr>
        <w:ind w:firstLine="708"/>
        <w:jc w:val="both"/>
        <w:rPr>
          <w:rFonts w:ascii="Times New Roman" w:eastAsia="Calibri" w:hAnsi="Times New Roman" w:cs="Times New Roman"/>
          <w:bCs/>
          <w:i/>
          <w:iCs/>
          <w:color w:val="000000"/>
          <w:sz w:val="24"/>
          <w:szCs w:val="24"/>
        </w:rPr>
      </w:pPr>
      <w:r w:rsidRPr="00CF38ED">
        <w:rPr>
          <w:rFonts w:ascii="Times New Roman" w:eastAsia="Calibri" w:hAnsi="Times New Roman" w:cs="Times New Roman"/>
          <w:bCs/>
          <w:i/>
          <w:iCs/>
          <w:color w:val="000000"/>
          <w:sz w:val="24"/>
          <w:szCs w:val="24"/>
        </w:rPr>
        <w:t xml:space="preserve">Osobitne pri každej regulácii s vplyvom na PP zhodnotenom v tabuľke č. 2 uveďte doplňujúce informácie tak, aby mohol byť skontrolovaný spôsob a správnosť výpočtov. Uveďte najmä, ako ste vypočítali vplyvy a z akého zdroja ste čerpali početnosti (uveďte aj link na konkrétne štatistiky, ak sú dostupné na internete). Jednotlivé regulácie môžu mať jeden alebo viac typov nákladov (A. Dane, odvody, clá a poplatky, ktorých cieľom je znižovať negatívne </w:t>
      </w:r>
      <w:proofErr w:type="spellStart"/>
      <w:r w:rsidRPr="00CF38ED">
        <w:rPr>
          <w:rFonts w:ascii="Times New Roman" w:eastAsia="Calibri" w:hAnsi="Times New Roman" w:cs="Times New Roman"/>
          <w:bCs/>
          <w:i/>
          <w:iCs/>
          <w:color w:val="000000"/>
          <w:sz w:val="24"/>
          <w:szCs w:val="24"/>
        </w:rPr>
        <w:t>externality</w:t>
      </w:r>
      <w:proofErr w:type="spellEnd"/>
      <w:r w:rsidRPr="00CF38ED">
        <w:rPr>
          <w:rFonts w:ascii="Times New Roman" w:eastAsia="Calibri" w:hAnsi="Times New Roman" w:cs="Times New Roman"/>
          <w:bCs/>
          <w:i/>
          <w:iCs/>
          <w:color w:val="000000"/>
          <w:sz w:val="24"/>
          <w:szCs w:val="24"/>
        </w:rPr>
        <w:t xml:space="preserve">, B. Iné poplatky, C. Nepriame finančné náklady, D. Administratívne náklady). Rozčleňte ich a vypočítajte v súlade s metodickým postupom. </w:t>
      </w:r>
    </w:p>
    <w:p w:rsidR="00CD75DE" w:rsidRPr="000A09E8" w:rsidRDefault="00852070" w:rsidP="00852070">
      <w:pPr>
        <w:tabs>
          <w:tab w:val="left" w:pos="709"/>
        </w:tabs>
        <w:spacing w:before="120" w:after="120" w:line="240" w:lineRule="auto"/>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ab/>
      </w:r>
      <w:r w:rsidR="00CD75DE" w:rsidRPr="000A09E8">
        <w:rPr>
          <w:rFonts w:ascii="Times New Roman" w:eastAsia="Times New Roman" w:hAnsi="Times New Roman" w:cs="Times New Roman"/>
          <w:bCs/>
          <w:sz w:val="24"/>
          <w:szCs w:val="24"/>
          <w:lang w:eastAsia="sk-SK"/>
        </w:rPr>
        <w:t>Navrhované riešenie sa dotkn</w:t>
      </w:r>
      <w:r w:rsidR="00CD75DE">
        <w:rPr>
          <w:rFonts w:ascii="Times New Roman" w:eastAsia="Times New Roman" w:hAnsi="Times New Roman" w:cs="Times New Roman"/>
          <w:bCs/>
          <w:sz w:val="24"/>
          <w:szCs w:val="24"/>
          <w:lang w:eastAsia="sk-SK"/>
        </w:rPr>
        <w:t xml:space="preserve">e </w:t>
      </w:r>
      <w:r w:rsidR="00CD75DE" w:rsidRPr="000A09E8">
        <w:rPr>
          <w:rFonts w:ascii="Times New Roman" w:eastAsia="Times New Roman" w:hAnsi="Times New Roman" w:cs="Times New Roman"/>
          <w:bCs/>
          <w:sz w:val="24"/>
          <w:szCs w:val="24"/>
          <w:lang w:eastAsia="sk-SK"/>
        </w:rPr>
        <w:t>predajcov prekurzorov výbušnín</w:t>
      </w:r>
      <w:r w:rsidR="00CD75DE">
        <w:rPr>
          <w:rFonts w:ascii="Times New Roman" w:eastAsia="Times New Roman" w:hAnsi="Times New Roman" w:cs="Times New Roman"/>
          <w:bCs/>
          <w:sz w:val="24"/>
          <w:szCs w:val="24"/>
          <w:lang w:eastAsia="sk-SK"/>
        </w:rPr>
        <w:t>, pričom odhadovaný počet týchto dotknutých subjektov je 100</w:t>
      </w:r>
      <w:r w:rsidR="00CD75DE" w:rsidRPr="000A09E8">
        <w:rPr>
          <w:rFonts w:ascii="Times New Roman" w:eastAsia="Times New Roman" w:hAnsi="Times New Roman" w:cs="Times New Roman"/>
          <w:bCs/>
          <w:sz w:val="24"/>
          <w:szCs w:val="24"/>
          <w:lang w:eastAsia="sk-SK"/>
        </w:rPr>
        <w:t xml:space="preserve">. </w:t>
      </w:r>
      <w:r w:rsidR="00CD75DE">
        <w:rPr>
          <w:rFonts w:ascii="Times New Roman" w:eastAsia="Times New Roman" w:hAnsi="Times New Roman" w:cs="Times New Roman"/>
          <w:bCs/>
          <w:sz w:val="24"/>
          <w:szCs w:val="24"/>
          <w:lang w:eastAsia="sk-SK"/>
        </w:rPr>
        <w:t xml:space="preserve">Distribútori prekurzorov nie sú zahrnutí v kategórii dotknutých subjektov, nakoľko v rámci konzultácii bol tento vplyv vyhodnotený, ako nepriamy. </w:t>
      </w:r>
      <w:r w:rsidR="00CD75DE" w:rsidRPr="000A09E8">
        <w:rPr>
          <w:rFonts w:ascii="Times New Roman" w:eastAsia="Times New Roman" w:hAnsi="Times New Roman" w:cs="Times New Roman"/>
          <w:bCs/>
          <w:sz w:val="24"/>
          <w:szCs w:val="24"/>
          <w:lang w:eastAsia="sk-SK"/>
        </w:rPr>
        <w:t>Konzultácie prebiehali na úrovni zväzov, ktoré nepokrývajú celé PP.</w:t>
      </w:r>
    </w:p>
    <w:p w:rsidR="00CD75DE" w:rsidRPr="000A09E8" w:rsidRDefault="00852070" w:rsidP="00852070">
      <w:pPr>
        <w:tabs>
          <w:tab w:val="left" w:pos="709"/>
        </w:tabs>
        <w:spacing w:before="120" w:after="120" w:line="240" w:lineRule="auto"/>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ab/>
      </w:r>
      <w:r w:rsidR="00CD75DE" w:rsidRPr="000A09E8">
        <w:rPr>
          <w:rFonts w:ascii="Times New Roman" w:eastAsia="Times New Roman" w:hAnsi="Times New Roman" w:cs="Times New Roman"/>
          <w:bCs/>
          <w:sz w:val="24"/>
          <w:szCs w:val="24"/>
          <w:lang w:eastAsia="sk-SK"/>
        </w:rPr>
        <w:t xml:space="preserve">Navrhované riešenie zákazu predaja obmedzených prekurzorov výbušnín členom širokej verejnosti na území SR nahrádza súčasne platný režim registrácie. </w:t>
      </w:r>
      <w:r w:rsidR="00CD75DE" w:rsidRPr="000A09E8">
        <w:rPr>
          <w:rFonts w:ascii="Times New Roman" w:eastAsia="Times New Roman" w:hAnsi="Times New Roman" w:cs="Times New Roman"/>
          <w:bCs/>
          <w:i/>
          <w:sz w:val="24"/>
          <w:szCs w:val="24"/>
          <w:lang w:eastAsia="sk-SK"/>
        </w:rPr>
        <w:t>Navrhovaným materiálom sa ruší n</w:t>
      </w:r>
      <w:r w:rsidR="00CD75DE" w:rsidRPr="000A09E8">
        <w:rPr>
          <w:rFonts w:ascii="Times New Roman" w:eastAsia="Times New Roman" w:hAnsi="Times New Roman" w:cs="Times New Roman"/>
          <w:bCs/>
          <w:sz w:val="24"/>
          <w:szCs w:val="24"/>
          <w:lang w:eastAsia="sk-SK"/>
        </w:rPr>
        <w:t>áklad pre člena širokej verejnos</w:t>
      </w:r>
      <w:r w:rsidR="00CD75DE">
        <w:rPr>
          <w:rFonts w:ascii="Times New Roman" w:eastAsia="Times New Roman" w:hAnsi="Times New Roman" w:cs="Times New Roman"/>
          <w:bCs/>
          <w:sz w:val="24"/>
          <w:szCs w:val="24"/>
          <w:lang w:eastAsia="sk-SK"/>
        </w:rPr>
        <w:t xml:space="preserve">ti spojený so získaním licencie, ktorý </w:t>
      </w:r>
      <w:r w:rsidR="00CD75DE" w:rsidRPr="000A09E8">
        <w:rPr>
          <w:rFonts w:ascii="Times New Roman" w:eastAsia="Times New Roman" w:hAnsi="Times New Roman" w:cs="Times New Roman"/>
          <w:bCs/>
          <w:sz w:val="24"/>
          <w:szCs w:val="24"/>
          <w:lang w:eastAsia="sk-SK"/>
        </w:rPr>
        <w:t>je 33 eur</w:t>
      </w:r>
      <w:r w:rsidR="00CD75DE" w:rsidRPr="000A09E8">
        <w:rPr>
          <w:rFonts w:ascii="Times New Roman" w:eastAsia="Times New Roman" w:hAnsi="Times New Roman" w:cs="Times New Roman"/>
          <w:bCs/>
          <w:i/>
          <w:sz w:val="24"/>
          <w:szCs w:val="24"/>
          <w:lang w:eastAsia="sk-SK"/>
        </w:rPr>
        <w:t>. A</w:t>
      </w:r>
      <w:r w:rsidR="00CD75DE" w:rsidRPr="000A09E8">
        <w:rPr>
          <w:rFonts w:ascii="Times New Roman" w:eastAsia="Times New Roman" w:hAnsi="Times New Roman" w:cs="Times New Roman"/>
          <w:bCs/>
          <w:sz w:val="24"/>
          <w:szCs w:val="24"/>
          <w:lang w:eastAsia="sk-SK"/>
        </w:rPr>
        <w:t xml:space="preserve">však počas 7 rokov platnosti regulácie nebola takáto žiadosť ministerstvom hospodárstva SR vydaná. </w:t>
      </w:r>
    </w:p>
    <w:p w:rsidR="00CD75DE" w:rsidRPr="000A09E8" w:rsidRDefault="00852070" w:rsidP="00852070">
      <w:pPr>
        <w:tabs>
          <w:tab w:val="left" w:pos="709"/>
        </w:tabs>
        <w:spacing w:before="120" w:after="120" w:line="240" w:lineRule="auto"/>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ab/>
      </w:r>
      <w:r w:rsidR="00CD75DE" w:rsidRPr="000A09E8">
        <w:rPr>
          <w:rFonts w:ascii="Times New Roman" w:eastAsia="Times New Roman" w:hAnsi="Times New Roman" w:cs="Times New Roman"/>
          <w:bCs/>
          <w:sz w:val="24"/>
          <w:szCs w:val="24"/>
          <w:lang w:eastAsia="sk-SK"/>
        </w:rPr>
        <w:t>Pozitívny vplyv pre PP prinesie hospodárskym subjektom (predajcom) zníženie administratívnej záťaže spojenej so sprístupňovaním obmedzených prekurzorov výbušnín členom širokej verejnosti – povinnosť</w:t>
      </w:r>
      <w:r w:rsidR="00DE7030">
        <w:rPr>
          <w:rFonts w:ascii="Times New Roman" w:eastAsia="Times New Roman" w:hAnsi="Times New Roman" w:cs="Times New Roman"/>
          <w:bCs/>
          <w:sz w:val="24"/>
          <w:szCs w:val="24"/>
          <w:lang w:eastAsia="sk-SK"/>
        </w:rPr>
        <w:t xml:space="preserve"> </w:t>
      </w:r>
      <w:r w:rsidR="00CD75DE" w:rsidRPr="000A09E8">
        <w:rPr>
          <w:rFonts w:ascii="Times New Roman" w:eastAsia="Times New Roman" w:hAnsi="Times New Roman" w:cs="Times New Roman"/>
          <w:bCs/>
          <w:sz w:val="24"/>
          <w:szCs w:val="24"/>
          <w:lang w:eastAsia="sk-SK"/>
        </w:rPr>
        <w:t>s  overovaním totožnosti nakupujúcej osoby; overovaním platnosti povolenia; zaznamenávaním údajov</w:t>
      </w:r>
      <w:r w:rsidR="00DE7030">
        <w:rPr>
          <w:rFonts w:ascii="Times New Roman" w:eastAsia="Times New Roman" w:hAnsi="Times New Roman" w:cs="Times New Roman"/>
          <w:bCs/>
          <w:sz w:val="24"/>
          <w:szCs w:val="24"/>
          <w:lang w:eastAsia="sk-SK"/>
        </w:rPr>
        <w:t xml:space="preserve"> </w:t>
      </w:r>
      <w:r w:rsidR="00CD75DE" w:rsidRPr="000A09E8">
        <w:rPr>
          <w:rFonts w:ascii="Times New Roman" w:eastAsia="Times New Roman" w:hAnsi="Times New Roman" w:cs="Times New Roman"/>
          <w:bCs/>
          <w:sz w:val="24"/>
          <w:szCs w:val="24"/>
          <w:lang w:eastAsia="sk-SK"/>
        </w:rPr>
        <w:t>do povolenia o každom sprístupnení obmedzeného prekurzora výbušnín (t.</w:t>
      </w:r>
      <w:r w:rsidR="00CD75DE">
        <w:rPr>
          <w:rFonts w:ascii="Times New Roman" w:eastAsia="Times New Roman" w:hAnsi="Times New Roman" w:cs="Times New Roman"/>
          <w:bCs/>
          <w:sz w:val="24"/>
          <w:szCs w:val="24"/>
          <w:lang w:eastAsia="sk-SK"/>
        </w:rPr>
        <w:t> </w:t>
      </w:r>
      <w:r w:rsidR="00CD75DE" w:rsidRPr="000A09E8">
        <w:rPr>
          <w:rFonts w:ascii="Times New Roman" w:eastAsia="Times New Roman" w:hAnsi="Times New Roman" w:cs="Times New Roman"/>
          <w:bCs/>
          <w:sz w:val="24"/>
          <w:szCs w:val="24"/>
          <w:lang w:eastAsia="sk-SK"/>
        </w:rPr>
        <w:t>j. dátum transakcie, množstvo výrobku, miesto predaja, a pod.), odpadá povinnosť s rozšírenou evidenciou vlastných registrov a uchovávaním záznamov po dobu 18 mesiacov.</w:t>
      </w:r>
      <w:r w:rsidR="00CD75DE">
        <w:rPr>
          <w:rFonts w:ascii="Times New Roman" w:eastAsia="Times New Roman" w:hAnsi="Times New Roman" w:cs="Times New Roman"/>
          <w:bCs/>
          <w:sz w:val="24"/>
          <w:szCs w:val="24"/>
          <w:lang w:eastAsia="sk-SK"/>
        </w:rPr>
        <w:t xml:space="preserve"> Administratív</w:t>
      </w:r>
      <w:r w:rsidR="000B36A0">
        <w:rPr>
          <w:rFonts w:ascii="Times New Roman" w:eastAsia="Times New Roman" w:hAnsi="Times New Roman" w:cs="Times New Roman"/>
          <w:bCs/>
          <w:sz w:val="24"/>
          <w:szCs w:val="24"/>
          <w:lang w:eastAsia="sk-SK"/>
        </w:rPr>
        <w:t>ne náklady sa tak znížia o 1 436,1</w:t>
      </w:r>
      <w:r w:rsidR="00CD75DE">
        <w:rPr>
          <w:rFonts w:ascii="Times New Roman" w:eastAsia="Times New Roman" w:hAnsi="Times New Roman" w:cs="Times New Roman"/>
          <w:bCs/>
          <w:sz w:val="24"/>
          <w:szCs w:val="24"/>
          <w:lang w:eastAsia="sk-SK"/>
        </w:rPr>
        <w:t xml:space="preserve">0 €. Výpočet je prostredníctvom Kalkulačky vplyvov.  </w:t>
      </w:r>
    </w:p>
    <w:p w:rsidR="00CD75DE" w:rsidRPr="00CF38ED" w:rsidRDefault="00852070" w:rsidP="00852070">
      <w:pPr>
        <w:tabs>
          <w:tab w:val="left" w:pos="709"/>
        </w:tabs>
        <w:spacing w:before="120" w:after="120" w:line="240" w:lineRule="auto"/>
        <w:jc w:val="both"/>
        <w:rPr>
          <w:rFonts w:ascii="Times New Roman" w:eastAsia="Times New Roman" w:hAnsi="Times New Roman" w:cs="Times New Roman"/>
          <w:bCs/>
          <w:sz w:val="24"/>
          <w:szCs w:val="24"/>
          <w:lang w:eastAsia="sk-SK"/>
        </w:rPr>
      </w:pPr>
      <w:r>
        <w:rPr>
          <w:rFonts w:ascii="Times New Roman" w:eastAsia="Times New Roman" w:hAnsi="Times New Roman" w:cs="Times New Roman"/>
          <w:sz w:val="24"/>
          <w:szCs w:val="24"/>
          <w:lang w:eastAsia="sk-SK"/>
        </w:rPr>
        <w:tab/>
      </w:r>
      <w:r w:rsidR="00CD75DE" w:rsidRPr="00CF38ED">
        <w:rPr>
          <w:rFonts w:ascii="Times New Roman" w:eastAsia="Times New Roman" w:hAnsi="Times New Roman" w:cs="Times New Roman"/>
          <w:sz w:val="24"/>
          <w:szCs w:val="24"/>
          <w:lang w:eastAsia="sk-SK"/>
        </w:rPr>
        <w:t xml:space="preserve">V prípade </w:t>
      </w:r>
      <w:r w:rsidR="00CD75DE" w:rsidRPr="00CF38ED">
        <w:rPr>
          <w:rFonts w:ascii="Times New Roman" w:eastAsia="Times New Roman" w:hAnsi="Times New Roman" w:cs="Times New Roman"/>
          <w:bCs/>
          <w:sz w:val="24"/>
          <w:szCs w:val="24"/>
          <w:lang w:eastAsia="sk-SK"/>
        </w:rPr>
        <w:t xml:space="preserve">zákazu predaja obmedzených prekurzorov výbušnín členom širokej verejnosti predajcovia nahradia súčasné výrobky produktami s nižšou koncentráciou, čo bude mať priamy dopad na nárast predávaného objemu výrobkov, t.j. následne vplyv na nárast nákladov objemu použitých obalových materiálov, nákladov na prepravu, skladovanie a manipuláciu. Takto navýšené náklady distribútori a predajcovia buď v plnej miere prenesú do predajnej ceny výrobkov, alebo v záujme ochrany dopadov na spotrebiteľa absorbujú časť nákladov, t.j. nanížia svoju obchodnú maržu. </w:t>
      </w:r>
    </w:p>
    <w:p w:rsidR="00CD75DE" w:rsidRDefault="00852070" w:rsidP="00852070">
      <w:pPr>
        <w:tabs>
          <w:tab w:val="left" w:pos="709"/>
        </w:tabs>
        <w:spacing w:before="120" w:after="120" w:line="240" w:lineRule="auto"/>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ab/>
      </w:r>
      <w:r w:rsidR="00CD75DE" w:rsidRPr="00CF38ED">
        <w:rPr>
          <w:rFonts w:ascii="Times New Roman" w:eastAsia="Times New Roman" w:hAnsi="Times New Roman" w:cs="Times New Roman"/>
          <w:bCs/>
          <w:sz w:val="24"/>
          <w:szCs w:val="24"/>
          <w:lang w:eastAsia="sk-SK"/>
        </w:rPr>
        <w:t>Podľa dopadovej štúdie EK, predaj peroxidu vodíka členom širokej verejnosti predstavuje 2 % celkového použitého a predaného množstva. Podľa údajov EUROSTATu bola v roku 2018 spotreba peroxidu vodíka 6 909 523 kg., t.j. predaj predstavuje 138 190 kg/rok.</w:t>
      </w:r>
      <w:r w:rsidR="00CD75DE">
        <w:rPr>
          <w:rFonts w:ascii="Times New Roman" w:eastAsia="Times New Roman" w:hAnsi="Times New Roman" w:cs="Times New Roman"/>
          <w:bCs/>
          <w:sz w:val="24"/>
          <w:szCs w:val="24"/>
          <w:lang w:eastAsia="sk-SK"/>
        </w:rPr>
        <w:t xml:space="preserve"> </w:t>
      </w:r>
      <w:r w:rsidR="00CD75DE">
        <w:rPr>
          <w:rFonts w:ascii="Times New Roman" w:eastAsia="Times New Roman" w:hAnsi="Times New Roman" w:cs="Times New Roman"/>
          <w:sz w:val="24"/>
          <w:szCs w:val="24"/>
          <w:lang w:eastAsia="sk-SK"/>
        </w:rPr>
        <w:t>Pri úvahe že dve tretiny hmotnosti je sprístupnené vo forme roztoku o obsahu 35 % hm. v 1000 ml balení a jedna tretina vo forme 12 % roztoku, ktorý nepodlieha regulácii, šlo by o predaj 263 219 ks balení, ktoré môžu byť predmetom odhadom 100 tis. transakcií (občania môžu kúpiť aj viac balení naraz).</w:t>
      </w:r>
    </w:p>
    <w:p w:rsidR="00CD75DE" w:rsidRDefault="00852070" w:rsidP="00852070">
      <w:pPr>
        <w:tabs>
          <w:tab w:val="left" w:pos="709"/>
        </w:tabs>
        <w:spacing w:before="120" w:after="120" w:line="240" w:lineRule="auto"/>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ab/>
      </w:r>
      <w:r w:rsidR="00CD75DE">
        <w:rPr>
          <w:rFonts w:ascii="Times New Roman" w:eastAsia="Times New Roman" w:hAnsi="Times New Roman" w:cs="Times New Roman"/>
          <w:bCs/>
          <w:sz w:val="24"/>
          <w:szCs w:val="24"/>
          <w:lang w:eastAsia="sk-SK"/>
        </w:rPr>
        <w:t xml:space="preserve">Na základe dát z </w:t>
      </w:r>
      <w:proofErr w:type="spellStart"/>
      <w:r w:rsidR="00CD75DE">
        <w:rPr>
          <w:rFonts w:ascii="Times New Roman" w:eastAsia="Times New Roman" w:hAnsi="Times New Roman" w:cs="Times New Roman"/>
          <w:bCs/>
          <w:sz w:val="24"/>
          <w:szCs w:val="24"/>
          <w:lang w:eastAsia="sk-SK"/>
        </w:rPr>
        <w:t>Eurostatu</w:t>
      </w:r>
      <w:proofErr w:type="spellEnd"/>
      <w:r w:rsidR="00CD75DE">
        <w:rPr>
          <w:rFonts w:ascii="Times New Roman" w:eastAsia="Times New Roman" w:hAnsi="Times New Roman" w:cs="Times New Roman"/>
          <w:bCs/>
          <w:sz w:val="24"/>
          <w:szCs w:val="24"/>
          <w:lang w:eastAsia="sk-SK"/>
        </w:rPr>
        <w:t xml:space="preserve"> a dát od dotknutých subjektov, môžeme náklady súvisiace s predajom peroxidu vodíka vyčísliť v hodnote 0,424 €/0,5</w:t>
      </w:r>
      <w:r w:rsidR="00FB7913">
        <w:rPr>
          <w:rFonts w:ascii="Times New Roman" w:eastAsia="Times New Roman" w:hAnsi="Times New Roman" w:cs="Times New Roman"/>
          <w:bCs/>
          <w:sz w:val="24"/>
          <w:szCs w:val="24"/>
          <w:lang w:eastAsia="sk-SK"/>
        </w:rPr>
        <w:t> </w:t>
      </w:r>
      <w:r w:rsidR="00CD75DE">
        <w:rPr>
          <w:rFonts w:ascii="Times New Roman" w:eastAsia="Times New Roman" w:hAnsi="Times New Roman" w:cs="Times New Roman"/>
          <w:bCs/>
          <w:sz w:val="24"/>
          <w:szCs w:val="24"/>
          <w:lang w:eastAsia="sk-SK"/>
        </w:rPr>
        <w:t xml:space="preserve">l balenie, čo predstavuje zvýšenie nákladov o 223 209,712 € pre celé podnikateľské prostredie. Ide však len o čiastočné náklady, nakoľko pre odhad nákladov ostatných prekurzorov nemáme adekvátne dáta pre výpočet. </w:t>
      </w:r>
    </w:p>
    <w:p w:rsidR="00CD75DE" w:rsidRPr="00CF38ED" w:rsidRDefault="00CD75DE" w:rsidP="00CD75DE">
      <w:pPr>
        <w:jc w:val="both"/>
        <w:rPr>
          <w:rFonts w:ascii="Times New Roman" w:eastAsia="Calibri" w:hAnsi="Times New Roman" w:cs="Times New Roman"/>
          <w:b/>
          <w:sz w:val="24"/>
          <w:szCs w:val="24"/>
        </w:rPr>
      </w:pPr>
      <w:r w:rsidRPr="00CF38ED">
        <w:rPr>
          <w:rFonts w:ascii="Times New Roman" w:eastAsia="Calibri" w:hAnsi="Times New Roman" w:cs="Times New Roman"/>
          <w:b/>
          <w:sz w:val="24"/>
          <w:szCs w:val="24"/>
        </w:rPr>
        <w:t>3.2 Vyhodnotenie konzultácií s podnikateľskými subjektmi pred predbežným pripomienkovým konaním</w:t>
      </w:r>
    </w:p>
    <w:p w:rsidR="00CD75DE" w:rsidRPr="00CF38ED" w:rsidRDefault="00CD75DE" w:rsidP="00852070">
      <w:pPr>
        <w:spacing w:after="0"/>
        <w:ind w:firstLine="708"/>
        <w:jc w:val="both"/>
        <w:rPr>
          <w:rFonts w:ascii="Times New Roman" w:eastAsia="Calibri" w:hAnsi="Times New Roman" w:cs="Times New Roman"/>
          <w:i/>
          <w:sz w:val="24"/>
          <w:szCs w:val="24"/>
        </w:rPr>
      </w:pPr>
      <w:r w:rsidRPr="00CF38ED">
        <w:rPr>
          <w:rFonts w:ascii="Times New Roman" w:eastAsia="Calibri" w:hAnsi="Times New Roman" w:cs="Times New Roman"/>
          <w:i/>
          <w:sz w:val="24"/>
          <w:szCs w:val="24"/>
        </w:rPr>
        <w:lastRenderedPageBreak/>
        <w:t xml:space="preserve">Uveďte formu konzultácií vrátane zdôvodnenia jej výberu a trvanie konzultácií, termíny stretnutí. Uveďte spôsob oslovenia dotknutých subjektov, zoznam konzultujúcich subjektov, tiež link na webovú stránku, na ktorej boli konzultácie zverejnené. </w:t>
      </w:r>
    </w:p>
    <w:p w:rsidR="00CD75DE" w:rsidRPr="00CF38ED" w:rsidRDefault="00CD75DE" w:rsidP="00CD75DE">
      <w:pPr>
        <w:spacing w:after="0"/>
        <w:jc w:val="both"/>
        <w:rPr>
          <w:rFonts w:ascii="Times New Roman" w:eastAsia="Calibri" w:hAnsi="Times New Roman" w:cs="Times New Roman"/>
          <w:i/>
          <w:sz w:val="24"/>
          <w:szCs w:val="24"/>
        </w:rPr>
      </w:pPr>
      <w:r w:rsidRPr="00CF38ED">
        <w:rPr>
          <w:rFonts w:ascii="Times New Roman" w:eastAsia="Calibri" w:hAnsi="Times New Roman" w:cs="Times New Roman"/>
          <w:i/>
          <w:sz w:val="24"/>
          <w:szCs w:val="24"/>
        </w:rPr>
        <w:t xml:space="preserve">Uveďte hlavné body konzultácií a ich závery. </w:t>
      </w:r>
    </w:p>
    <w:p w:rsidR="00CD75DE" w:rsidRPr="00CF38ED" w:rsidRDefault="00CD75DE" w:rsidP="00CD75DE">
      <w:pPr>
        <w:spacing w:after="0"/>
        <w:jc w:val="both"/>
        <w:rPr>
          <w:rFonts w:ascii="Times New Roman" w:eastAsia="Calibri" w:hAnsi="Times New Roman" w:cs="Times New Roman"/>
          <w:i/>
          <w:sz w:val="24"/>
          <w:szCs w:val="24"/>
        </w:rPr>
      </w:pPr>
      <w:r w:rsidRPr="00CF38ED">
        <w:rPr>
          <w:rFonts w:ascii="Times New Roman" w:eastAsia="Calibri" w:hAnsi="Times New Roman" w:cs="Times New Roman"/>
          <w:i/>
          <w:sz w:val="24"/>
          <w:szCs w:val="24"/>
        </w:rPr>
        <w:t xml:space="preserve">Uveďte zoznam predložených alternatívnych riešení problematiky od konzultujúcich subjektov, ako aj návrhy od konzultujúcich subjektov na zníženie nákladov regulácií na PP, ktoré neboli akceptované a dôvod neakceptovania. </w:t>
      </w:r>
    </w:p>
    <w:p w:rsidR="00CD75DE" w:rsidRPr="00CF38ED" w:rsidRDefault="00CD75DE" w:rsidP="00CD75DE">
      <w:pPr>
        <w:spacing w:after="0"/>
        <w:jc w:val="both"/>
        <w:rPr>
          <w:rFonts w:ascii="Times New Roman" w:eastAsia="Calibri" w:hAnsi="Times New Roman" w:cs="Times New Roman"/>
          <w:i/>
          <w:sz w:val="24"/>
          <w:szCs w:val="24"/>
        </w:rPr>
      </w:pPr>
      <w:r w:rsidRPr="00CF38ED">
        <w:rPr>
          <w:rFonts w:ascii="Times New Roman" w:eastAsia="Calibri" w:hAnsi="Times New Roman" w:cs="Times New Roman"/>
          <w:i/>
          <w:sz w:val="24"/>
          <w:szCs w:val="24"/>
        </w:rPr>
        <w:t xml:space="preserve">Alternatívne namiesto vypĺňania bodu 3.2 môžete uviesť ako samostatnú prílohu tejto analýzy Záznam z konzultácií obsahujúci požadované informácie. </w:t>
      </w:r>
    </w:p>
    <w:p w:rsidR="00CD75DE" w:rsidRPr="00CF38ED" w:rsidRDefault="00CD75DE" w:rsidP="00852070">
      <w:pPr>
        <w:spacing w:after="0"/>
        <w:ind w:firstLine="708"/>
        <w:jc w:val="both"/>
        <w:rPr>
          <w:rFonts w:ascii="Times New Roman" w:eastAsia="Calibri" w:hAnsi="Times New Roman" w:cs="Times New Roman"/>
          <w:i/>
          <w:sz w:val="24"/>
          <w:szCs w:val="24"/>
        </w:rPr>
      </w:pPr>
      <w:r w:rsidRPr="00CF38ED">
        <w:rPr>
          <w:rFonts w:ascii="Times New Roman" w:eastAsia="Calibri" w:hAnsi="Times New Roman" w:cs="Times New Roman"/>
          <w:sz w:val="24"/>
          <w:szCs w:val="24"/>
        </w:rPr>
        <w:t>Obe alternatívy (1. zákaz, 2. povolenia) boli v priebehu marca 2021 zaslané elektronicky na vyjadrenie najviac dotknutým subjektom: Slovenskému poľovníckemu zväzu (SPZ), Zväzu raketových modelárov, Zväzu automobilového priemyslu (ZAP), Slovenskému združeniu značkových výrobkov (SZZV), Zväzu chemického a farmaceutického priemyslu (</w:t>
      </w:r>
      <w:proofErr w:type="spellStart"/>
      <w:r w:rsidRPr="00CF38ED">
        <w:rPr>
          <w:rFonts w:ascii="Times New Roman" w:eastAsia="Calibri" w:hAnsi="Times New Roman" w:cs="Times New Roman"/>
          <w:sz w:val="24"/>
          <w:szCs w:val="24"/>
        </w:rPr>
        <w:t>ZCHaFP</w:t>
      </w:r>
      <w:proofErr w:type="spellEnd"/>
      <w:r w:rsidRPr="00CF38ED">
        <w:rPr>
          <w:rFonts w:ascii="Times New Roman" w:eastAsia="Calibri" w:hAnsi="Times New Roman" w:cs="Times New Roman"/>
          <w:sz w:val="24"/>
          <w:szCs w:val="24"/>
        </w:rPr>
        <w:t xml:space="preserve">). SPZ bol za alternatívu 2. povolení, až kým im nebola predstavená alternatíva v podobe </w:t>
      </w:r>
      <w:r>
        <w:rPr>
          <w:rFonts w:ascii="Times New Roman" w:eastAsia="Calibri" w:hAnsi="Times New Roman" w:cs="Times New Roman"/>
          <w:sz w:val="24"/>
          <w:szCs w:val="24"/>
        </w:rPr>
        <w:t xml:space="preserve">pripravovanej </w:t>
      </w:r>
      <w:r w:rsidRPr="00CF38ED">
        <w:rPr>
          <w:rFonts w:ascii="Times New Roman" w:eastAsia="Calibri" w:hAnsi="Times New Roman" w:cs="Times New Roman"/>
          <w:sz w:val="24"/>
          <w:szCs w:val="24"/>
        </w:rPr>
        <w:t>vyhlášky. ZAP s alternatívou 1. zákazu súhlasil za predpokladu,</w:t>
      </w:r>
      <w:r>
        <w:rPr>
          <w:rFonts w:ascii="Times New Roman" w:eastAsia="Calibri" w:hAnsi="Times New Roman" w:cs="Times New Roman"/>
          <w:sz w:val="24"/>
          <w:szCs w:val="24"/>
        </w:rPr>
        <w:br/>
      </w:r>
      <w:r w:rsidRPr="00CF38ED">
        <w:rPr>
          <w:rFonts w:ascii="Times New Roman" w:eastAsia="Calibri" w:hAnsi="Times New Roman" w:cs="Times New Roman"/>
          <w:sz w:val="24"/>
          <w:szCs w:val="24"/>
        </w:rPr>
        <w:t>že predmetné opatrenie nesmeruje k obmedzeniu odberu a využitia pre podnikateľské subjekty</w:t>
      </w:r>
      <w:r w:rsidR="00852070">
        <w:rPr>
          <w:rFonts w:ascii="Times New Roman" w:eastAsia="Calibri" w:hAnsi="Times New Roman" w:cs="Times New Roman"/>
          <w:sz w:val="24"/>
          <w:szCs w:val="24"/>
        </w:rPr>
        <w:t xml:space="preserve"> </w:t>
      </w:r>
      <w:r w:rsidRPr="00CF38ED">
        <w:rPr>
          <w:rFonts w:ascii="Times New Roman" w:eastAsia="Calibri" w:hAnsi="Times New Roman" w:cs="Times New Roman"/>
          <w:sz w:val="24"/>
          <w:szCs w:val="24"/>
        </w:rPr>
        <w:t xml:space="preserve">a profesionálnych používateľov. Problematika bola prednesená zástupcami MH SR a MV SR aj v rámci </w:t>
      </w:r>
      <w:proofErr w:type="spellStart"/>
      <w:r w:rsidRPr="00CF38ED">
        <w:rPr>
          <w:rFonts w:ascii="Times New Roman" w:eastAsia="Calibri" w:hAnsi="Times New Roman" w:cs="Times New Roman"/>
          <w:sz w:val="24"/>
          <w:szCs w:val="24"/>
        </w:rPr>
        <w:t>webinára</w:t>
      </w:r>
      <w:proofErr w:type="spellEnd"/>
      <w:r w:rsidRPr="00CF38ED">
        <w:rPr>
          <w:rFonts w:ascii="Times New Roman" w:eastAsia="Calibri" w:hAnsi="Times New Roman" w:cs="Times New Roman"/>
          <w:sz w:val="24"/>
          <w:szCs w:val="24"/>
        </w:rPr>
        <w:t xml:space="preserve"> organizovaného </w:t>
      </w:r>
      <w:proofErr w:type="spellStart"/>
      <w:r w:rsidRPr="00CF38ED">
        <w:rPr>
          <w:rFonts w:ascii="Times New Roman" w:eastAsia="Calibri" w:hAnsi="Times New Roman" w:cs="Times New Roman"/>
          <w:sz w:val="24"/>
          <w:szCs w:val="24"/>
        </w:rPr>
        <w:t>ZCHaFP</w:t>
      </w:r>
      <w:proofErr w:type="spellEnd"/>
      <w:r w:rsidRPr="00CF38ED">
        <w:rPr>
          <w:rFonts w:ascii="Times New Roman" w:eastAsia="Calibri" w:hAnsi="Times New Roman" w:cs="Times New Roman"/>
          <w:sz w:val="24"/>
          <w:szCs w:val="24"/>
        </w:rPr>
        <w:t xml:space="preserve"> dňa 10.</w:t>
      </w:r>
      <w:r>
        <w:rPr>
          <w:rFonts w:ascii="Times New Roman" w:eastAsia="Calibri" w:hAnsi="Times New Roman" w:cs="Times New Roman"/>
          <w:sz w:val="24"/>
          <w:szCs w:val="24"/>
        </w:rPr>
        <w:t xml:space="preserve"> </w:t>
      </w:r>
      <w:r w:rsidRPr="00CF38ED">
        <w:rPr>
          <w:rFonts w:ascii="Times New Roman" w:eastAsia="Calibri" w:hAnsi="Times New Roman" w:cs="Times New Roman"/>
          <w:sz w:val="24"/>
          <w:szCs w:val="24"/>
        </w:rPr>
        <w:t>3.</w:t>
      </w:r>
      <w:r>
        <w:rPr>
          <w:rFonts w:ascii="Times New Roman" w:eastAsia="Calibri" w:hAnsi="Times New Roman" w:cs="Times New Roman"/>
          <w:sz w:val="24"/>
          <w:szCs w:val="24"/>
        </w:rPr>
        <w:t xml:space="preserve"> </w:t>
      </w:r>
      <w:r w:rsidRPr="00CF38ED">
        <w:rPr>
          <w:rFonts w:ascii="Times New Roman" w:eastAsia="Calibri" w:hAnsi="Times New Roman" w:cs="Times New Roman"/>
          <w:sz w:val="24"/>
          <w:szCs w:val="24"/>
        </w:rPr>
        <w:t xml:space="preserve">2021. </w:t>
      </w:r>
      <w:proofErr w:type="spellStart"/>
      <w:r w:rsidRPr="00CF38ED">
        <w:rPr>
          <w:rFonts w:ascii="Times New Roman" w:eastAsia="Calibri" w:hAnsi="Times New Roman" w:cs="Times New Roman"/>
          <w:sz w:val="24"/>
          <w:szCs w:val="24"/>
        </w:rPr>
        <w:t>ZCHaFP</w:t>
      </w:r>
      <w:proofErr w:type="spellEnd"/>
      <w:r w:rsidRPr="00CF38ED">
        <w:rPr>
          <w:rFonts w:ascii="Times New Roman" w:eastAsia="Calibri" w:hAnsi="Times New Roman" w:cs="Times New Roman"/>
          <w:sz w:val="24"/>
          <w:szCs w:val="24"/>
        </w:rPr>
        <w:t xml:space="preserve"> alternatívu zákazu nepovažuje za hrozbu činnosti ich členov aj vzhľadom na nízku koncentráciu uvedených látok v hotových výrobkoch. Rovnako bola problematika prezentovaná v rámci </w:t>
      </w:r>
      <w:proofErr w:type="spellStart"/>
      <w:r w:rsidRPr="00CF38ED">
        <w:rPr>
          <w:rFonts w:ascii="Times New Roman" w:eastAsia="Calibri" w:hAnsi="Times New Roman" w:cs="Times New Roman"/>
          <w:sz w:val="24"/>
          <w:szCs w:val="24"/>
        </w:rPr>
        <w:t>webinára</w:t>
      </w:r>
      <w:proofErr w:type="spellEnd"/>
      <w:r w:rsidRPr="00CF38ED">
        <w:rPr>
          <w:rFonts w:ascii="Times New Roman" w:eastAsia="Calibri" w:hAnsi="Times New Roman" w:cs="Times New Roman"/>
          <w:sz w:val="24"/>
          <w:szCs w:val="24"/>
        </w:rPr>
        <w:t xml:space="preserve"> organizovaného SZZV v rámci sekcie kozmetiky a ich členovia nepovažujú zákaz za obmedzenie ich činnosti. K pripravovanej novele neboli vznesené námietky.</w:t>
      </w:r>
      <w:r>
        <w:rPr>
          <w:rFonts w:ascii="Times New Roman" w:eastAsia="Calibri" w:hAnsi="Times New Roman" w:cs="Times New Roman"/>
          <w:sz w:val="24"/>
          <w:szCs w:val="24"/>
        </w:rPr>
        <w:t xml:space="preserve"> </w:t>
      </w:r>
      <w:r w:rsidRPr="00CF38ED">
        <w:rPr>
          <w:rFonts w:ascii="Times New Roman" w:eastAsia="Times New Roman" w:hAnsi="Times New Roman" w:cs="Times New Roman"/>
          <w:sz w:val="24"/>
          <w:szCs w:val="24"/>
          <w:lang w:eastAsia="sk-SK"/>
        </w:rPr>
        <w:t>K otázkam regulácie sprístupňovania H</w:t>
      </w:r>
      <w:r w:rsidRPr="003C4AFA">
        <w:rPr>
          <w:rFonts w:ascii="Times New Roman" w:eastAsia="Times New Roman" w:hAnsi="Times New Roman" w:cs="Times New Roman"/>
          <w:sz w:val="24"/>
          <w:szCs w:val="24"/>
          <w:vertAlign w:val="subscript"/>
          <w:lang w:eastAsia="sk-SK"/>
        </w:rPr>
        <w:t>2</w:t>
      </w:r>
      <w:r w:rsidRPr="00CF38ED">
        <w:rPr>
          <w:rFonts w:ascii="Times New Roman" w:eastAsia="Times New Roman" w:hAnsi="Times New Roman" w:cs="Times New Roman"/>
          <w:sz w:val="24"/>
          <w:szCs w:val="24"/>
          <w:lang w:eastAsia="sk-SK"/>
        </w:rPr>
        <w:t>O</w:t>
      </w:r>
      <w:r w:rsidRPr="003C4AFA">
        <w:rPr>
          <w:rFonts w:ascii="Times New Roman" w:eastAsia="Times New Roman" w:hAnsi="Times New Roman" w:cs="Times New Roman"/>
          <w:sz w:val="24"/>
          <w:szCs w:val="24"/>
          <w:vertAlign w:val="subscript"/>
          <w:lang w:eastAsia="sk-SK"/>
        </w:rPr>
        <w:t>2</w:t>
      </w:r>
      <w:r w:rsidRPr="00CF38ED">
        <w:rPr>
          <w:rFonts w:ascii="Times New Roman" w:eastAsia="Times New Roman" w:hAnsi="Times New Roman" w:cs="Times New Roman"/>
          <w:sz w:val="24"/>
          <w:szCs w:val="24"/>
          <w:lang w:eastAsia="sk-SK"/>
        </w:rPr>
        <w:t xml:space="preserve"> verejnosti prebehlo 26.</w:t>
      </w:r>
      <w:r>
        <w:rPr>
          <w:rFonts w:ascii="Times New Roman" w:eastAsia="Times New Roman" w:hAnsi="Times New Roman" w:cs="Times New Roman"/>
          <w:sz w:val="24"/>
          <w:szCs w:val="24"/>
          <w:lang w:eastAsia="sk-SK"/>
        </w:rPr>
        <w:t xml:space="preserve"> </w:t>
      </w:r>
      <w:r w:rsidRPr="00CF38ED">
        <w:rPr>
          <w:rFonts w:ascii="Times New Roman" w:eastAsia="Times New Roman" w:hAnsi="Times New Roman" w:cs="Times New Roman"/>
          <w:sz w:val="24"/>
          <w:szCs w:val="24"/>
          <w:lang w:eastAsia="sk-SK"/>
        </w:rPr>
        <w:t>5.</w:t>
      </w:r>
      <w:r>
        <w:rPr>
          <w:rFonts w:ascii="Times New Roman" w:eastAsia="Times New Roman" w:hAnsi="Times New Roman" w:cs="Times New Roman"/>
          <w:sz w:val="24"/>
          <w:szCs w:val="24"/>
          <w:lang w:eastAsia="sk-SK"/>
        </w:rPr>
        <w:t xml:space="preserve"> </w:t>
      </w:r>
      <w:r w:rsidRPr="00CF38ED">
        <w:rPr>
          <w:rFonts w:ascii="Times New Roman" w:eastAsia="Times New Roman" w:hAnsi="Times New Roman" w:cs="Times New Roman"/>
          <w:sz w:val="24"/>
          <w:szCs w:val="24"/>
          <w:lang w:eastAsia="sk-SK"/>
        </w:rPr>
        <w:t xml:space="preserve">2021 spoločné rokovanie zástupcov MH SR, MV SR a SPK prostredníctvom </w:t>
      </w:r>
      <w:proofErr w:type="spellStart"/>
      <w:r w:rsidRPr="00CF38ED">
        <w:rPr>
          <w:rFonts w:ascii="Times New Roman" w:eastAsia="Times New Roman" w:hAnsi="Times New Roman" w:cs="Times New Roman"/>
          <w:sz w:val="24"/>
          <w:szCs w:val="24"/>
          <w:lang w:eastAsia="sk-SK"/>
        </w:rPr>
        <w:t>online</w:t>
      </w:r>
      <w:proofErr w:type="spellEnd"/>
      <w:r w:rsidRPr="00CF38ED">
        <w:rPr>
          <w:rFonts w:ascii="Times New Roman" w:eastAsia="Times New Roman" w:hAnsi="Times New Roman" w:cs="Times New Roman"/>
          <w:sz w:val="24"/>
          <w:szCs w:val="24"/>
          <w:lang w:eastAsia="sk-SK"/>
        </w:rPr>
        <w:t xml:space="preserve"> schôdze cez </w:t>
      </w:r>
      <w:proofErr w:type="spellStart"/>
      <w:r w:rsidRPr="00CF38ED">
        <w:rPr>
          <w:rFonts w:ascii="Times New Roman" w:eastAsia="Times New Roman" w:hAnsi="Times New Roman" w:cs="Times New Roman"/>
          <w:sz w:val="24"/>
          <w:szCs w:val="24"/>
          <w:lang w:eastAsia="sk-SK"/>
        </w:rPr>
        <w:t>Teams</w:t>
      </w:r>
      <w:proofErr w:type="spellEnd"/>
      <w:r w:rsidRPr="00CF38ED">
        <w:rPr>
          <w:rFonts w:ascii="Times New Roman" w:eastAsia="Times New Roman" w:hAnsi="Times New Roman" w:cs="Times New Roman"/>
          <w:sz w:val="24"/>
          <w:szCs w:val="24"/>
          <w:lang w:eastAsia="sk-SK"/>
        </w:rPr>
        <w:t>, na ktorom bolo predstavené riešenie v podobe pripravovanej vyhlášky MH SR. SPK s týmto riešením súhlasila.</w:t>
      </w:r>
    </w:p>
    <w:p w:rsidR="00CD75DE" w:rsidRPr="00CF38ED" w:rsidRDefault="00CD75DE" w:rsidP="00CD75DE">
      <w:pPr>
        <w:spacing w:after="0"/>
        <w:jc w:val="both"/>
        <w:rPr>
          <w:rFonts w:ascii="Times New Roman" w:eastAsia="Calibri" w:hAnsi="Times New Roman" w:cs="Times New Roman"/>
          <w:i/>
          <w:sz w:val="24"/>
          <w:szCs w:val="24"/>
        </w:rPr>
      </w:pPr>
    </w:p>
    <w:p w:rsidR="00CD75DE" w:rsidRPr="00CF38ED" w:rsidRDefault="00CD75DE" w:rsidP="00CD75DE">
      <w:pPr>
        <w:jc w:val="both"/>
        <w:rPr>
          <w:rFonts w:ascii="Times New Roman" w:eastAsia="Calibri" w:hAnsi="Times New Roman" w:cs="Times New Roman"/>
          <w:b/>
          <w:sz w:val="24"/>
          <w:szCs w:val="24"/>
        </w:rPr>
      </w:pPr>
      <w:bookmarkStart w:id="1" w:name="_Hlk47698091"/>
      <w:r w:rsidRPr="00CF38ED">
        <w:rPr>
          <w:rFonts w:ascii="Times New Roman" w:eastAsia="Calibri" w:hAnsi="Times New Roman" w:cs="Times New Roman"/>
          <w:b/>
          <w:sz w:val="24"/>
          <w:szCs w:val="24"/>
        </w:rPr>
        <w:t>3.3 Vplyvy na konkurencieschopnosť a produktivitu</w:t>
      </w:r>
    </w:p>
    <w:bookmarkEnd w:id="1"/>
    <w:p w:rsidR="00CD75DE" w:rsidRPr="00CF38ED" w:rsidRDefault="00CD75DE" w:rsidP="00CD75DE">
      <w:pPr>
        <w:spacing w:after="0"/>
        <w:jc w:val="both"/>
        <w:rPr>
          <w:rFonts w:ascii="Times New Roman" w:eastAsia="Calibri" w:hAnsi="Times New Roman" w:cs="Times New Roman"/>
          <w:i/>
          <w:sz w:val="24"/>
          <w:szCs w:val="24"/>
        </w:rPr>
      </w:pPr>
      <w:r w:rsidRPr="00CF38ED">
        <w:rPr>
          <w:rFonts w:ascii="Times New Roman" w:eastAsia="Calibri" w:hAnsi="Times New Roman" w:cs="Times New Roman"/>
          <w:i/>
          <w:sz w:val="24"/>
          <w:szCs w:val="24"/>
        </w:rPr>
        <w:t xml:space="preserve">Dochádza k vytvoreniu resp. k zmene bariér na trhu? </w:t>
      </w:r>
    </w:p>
    <w:p w:rsidR="00CD75DE" w:rsidRPr="00CF38ED" w:rsidRDefault="00CD75DE" w:rsidP="00CD75DE">
      <w:pPr>
        <w:spacing w:after="0"/>
        <w:jc w:val="both"/>
        <w:rPr>
          <w:rFonts w:ascii="Times New Roman" w:eastAsia="Calibri" w:hAnsi="Times New Roman" w:cs="Times New Roman"/>
          <w:i/>
          <w:sz w:val="24"/>
          <w:szCs w:val="24"/>
        </w:rPr>
      </w:pPr>
      <w:r w:rsidRPr="00CF38ED">
        <w:rPr>
          <w:rFonts w:ascii="Times New Roman" w:eastAsia="Calibri" w:hAnsi="Times New Roman" w:cs="Times New Roman"/>
          <w:i/>
          <w:sz w:val="24"/>
          <w:szCs w:val="24"/>
        </w:rPr>
        <w:t xml:space="preserve">Bude sa s niektorými podnikmi alebo produktmi zaobchádzať v porovnateľnej situácii rôzne (napr. špeciálne režimy pre </w:t>
      </w:r>
      <w:proofErr w:type="spellStart"/>
      <w:r w:rsidRPr="00CF38ED">
        <w:rPr>
          <w:rFonts w:ascii="Times New Roman" w:eastAsia="Calibri" w:hAnsi="Times New Roman" w:cs="Times New Roman"/>
          <w:i/>
          <w:sz w:val="24"/>
          <w:szCs w:val="24"/>
        </w:rPr>
        <w:t>mikro</w:t>
      </w:r>
      <w:proofErr w:type="spellEnd"/>
      <w:r w:rsidRPr="00CF38ED">
        <w:rPr>
          <w:rFonts w:ascii="Times New Roman" w:eastAsia="Calibri" w:hAnsi="Times New Roman" w:cs="Times New Roman"/>
          <w:i/>
          <w:sz w:val="24"/>
          <w:szCs w:val="24"/>
        </w:rPr>
        <w:t xml:space="preserve">, malé a stredné podniky tzv. MSP)? </w:t>
      </w:r>
    </w:p>
    <w:p w:rsidR="00CD75DE" w:rsidRPr="00CF38ED" w:rsidRDefault="00CD75DE" w:rsidP="00CD75DE">
      <w:pPr>
        <w:spacing w:after="0"/>
        <w:jc w:val="both"/>
        <w:rPr>
          <w:rFonts w:ascii="Times New Roman" w:eastAsia="Calibri" w:hAnsi="Times New Roman" w:cs="Times New Roman"/>
          <w:i/>
          <w:sz w:val="24"/>
          <w:szCs w:val="24"/>
        </w:rPr>
      </w:pPr>
      <w:r w:rsidRPr="00CF38ED">
        <w:rPr>
          <w:rFonts w:ascii="Times New Roman" w:eastAsia="Calibri" w:hAnsi="Times New Roman" w:cs="Times New Roman"/>
          <w:i/>
          <w:sz w:val="24"/>
          <w:szCs w:val="24"/>
        </w:rPr>
        <w:t xml:space="preserve">Ovplyvňuje zmena regulácie cezhraničné investície (príliv/odliv zahraničných investícií resp. uplatnenie slovenských podnikov na zahraničných trhoch)? </w:t>
      </w:r>
    </w:p>
    <w:p w:rsidR="00CD75DE" w:rsidRPr="00CF38ED" w:rsidRDefault="00CD75DE" w:rsidP="00CD75DE">
      <w:pPr>
        <w:spacing w:after="0"/>
        <w:jc w:val="both"/>
        <w:rPr>
          <w:rFonts w:ascii="Times New Roman" w:eastAsia="Calibri" w:hAnsi="Times New Roman" w:cs="Times New Roman"/>
          <w:i/>
          <w:sz w:val="24"/>
          <w:szCs w:val="24"/>
        </w:rPr>
      </w:pPr>
      <w:r w:rsidRPr="00CF38ED">
        <w:rPr>
          <w:rFonts w:ascii="Times New Roman" w:eastAsia="Calibri" w:hAnsi="Times New Roman" w:cs="Times New Roman"/>
          <w:i/>
          <w:sz w:val="24"/>
          <w:szCs w:val="24"/>
        </w:rPr>
        <w:t xml:space="preserve">Ovplyvní dostupnosť základných zdrojov (financie, pracovná sila, suroviny, mechanizmy, energie atď.)? </w:t>
      </w:r>
    </w:p>
    <w:p w:rsidR="00CD75DE" w:rsidRPr="00CF38ED" w:rsidRDefault="00CD75DE" w:rsidP="00CD75DE">
      <w:pPr>
        <w:spacing w:after="0"/>
        <w:jc w:val="both"/>
        <w:rPr>
          <w:rFonts w:ascii="Times New Roman" w:eastAsia="Calibri" w:hAnsi="Times New Roman" w:cs="Times New Roman"/>
          <w:i/>
          <w:sz w:val="24"/>
          <w:szCs w:val="24"/>
        </w:rPr>
      </w:pPr>
      <w:r w:rsidRPr="00CF38ED">
        <w:rPr>
          <w:rFonts w:ascii="Times New Roman" w:eastAsia="Calibri" w:hAnsi="Times New Roman" w:cs="Times New Roman"/>
          <w:i/>
          <w:sz w:val="24"/>
          <w:szCs w:val="24"/>
        </w:rPr>
        <w:t>Ovplyvňuje zmena regulácie inovácie, vedu a výskum?</w:t>
      </w:r>
    </w:p>
    <w:p w:rsidR="00CD75DE" w:rsidRDefault="00CD75DE" w:rsidP="00CD75DE">
      <w:pPr>
        <w:spacing w:after="0"/>
        <w:jc w:val="both"/>
        <w:rPr>
          <w:rFonts w:ascii="Times New Roman" w:eastAsia="Calibri" w:hAnsi="Times New Roman" w:cs="Times New Roman"/>
          <w:i/>
          <w:iCs/>
          <w:sz w:val="24"/>
          <w:szCs w:val="24"/>
        </w:rPr>
      </w:pPr>
      <w:r w:rsidRPr="00CF38ED">
        <w:rPr>
          <w:rFonts w:ascii="Times New Roman" w:eastAsia="Calibri" w:hAnsi="Times New Roman" w:cs="Times New Roman"/>
          <w:i/>
          <w:iCs/>
          <w:sz w:val="24"/>
          <w:szCs w:val="24"/>
        </w:rPr>
        <w:t>Ako prispieva zmena regulácie k cieľu Slovenska mať najlepšie podnikateľské prostredie spomedzi susediacich krajín EÚ?</w:t>
      </w:r>
    </w:p>
    <w:p w:rsidR="00CD75DE" w:rsidRPr="003C4AFA" w:rsidRDefault="00CD75DE" w:rsidP="00852070">
      <w:pPr>
        <w:spacing w:after="0"/>
        <w:ind w:firstLine="708"/>
        <w:jc w:val="both"/>
        <w:rPr>
          <w:rFonts w:ascii="Times New Roman" w:eastAsia="Calibri" w:hAnsi="Times New Roman" w:cs="Times New Roman"/>
          <w:iCs/>
          <w:sz w:val="24"/>
          <w:szCs w:val="24"/>
        </w:rPr>
      </w:pPr>
      <w:r w:rsidRPr="003C4AFA">
        <w:rPr>
          <w:rFonts w:ascii="Times New Roman" w:eastAsia="Calibri" w:hAnsi="Times New Roman" w:cs="Times New Roman"/>
          <w:sz w:val="24"/>
          <w:szCs w:val="24"/>
        </w:rPr>
        <w:t>Navrhovanou zmenou regulácie sa pridáme k niektorým susedným krajinám (Česká republika, Nemecko, Maďarsko), ktoré tiež majú zavedený režim zákazu na prekurzory výbušnín. Niektoré ďalšie susedné krajiny (Poľsko, Rakúsko) majú alternatívu 2. licenčné povolenia, toto však SR nepodporuje z dôvodu vyšších nákladov pre štát, hosp. subjekty ako aj členov širokej verejnosti.</w:t>
      </w:r>
    </w:p>
    <w:p w:rsidR="00852070" w:rsidRDefault="00852070" w:rsidP="00CD75DE">
      <w:pPr>
        <w:spacing w:after="0"/>
        <w:jc w:val="both"/>
        <w:rPr>
          <w:rFonts w:ascii="Times New Roman" w:eastAsia="Calibri" w:hAnsi="Times New Roman" w:cs="Times New Roman"/>
          <w:b/>
          <w:i/>
          <w:sz w:val="24"/>
          <w:szCs w:val="24"/>
        </w:rPr>
      </w:pPr>
    </w:p>
    <w:p w:rsidR="00CD75DE" w:rsidRPr="00CF38ED" w:rsidRDefault="00CD75DE" w:rsidP="00CD75DE">
      <w:pPr>
        <w:spacing w:after="0"/>
        <w:jc w:val="both"/>
        <w:rPr>
          <w:rFonts w:ascii="Times New Roman" w:eastAsia="Calibri" w:hAnsi="Times New Roman" w:cs="Times New Roman"/>
          <w:i/>
          <w:iCs/>
          <w:sz w:val="24"/>
          <w:szCs w:val="24"/>
        </w:rPr>
      </w:pPr>
      <w:r w:rsidRPr="00CF38ED">
        <w:rPr>
          <w:rFonts w:ascii="Times New Roman" w:eastAsia="Calibri" w:hAnsi="Times New Roman" w:cs="Times New Roman"/>
          <w:b/>
          <w:i/>
          <w:sz w:val="24"/>
          <w:szCs w:val="24"/>
        </w:rPr>
        <w:t>Konkurencieschopnosť:</w:t>
      </w:r>
    </w:p>
    <w:p w:rsidR="00CD75DE" w:rsidRPr="00CF38ED" w:rsidRDefault="00CD75DE" w:rsidP="00CD75DE">
      <w:pPr>
        <w:spacing w:after="0"/>
        <w:jc w:val="both"/>
        <w:rPr>
          <w:rFonts w:ascii="Times New Roman" w:eastAsia="Calibri" w:hAnsi="Times New Roman" w:cs="Times New Roman"/>
          <w:i/>
          <w:sz w:val="24"/>
          <w:szCs w:val="24"/>
        </w:rPr>
      </w:pPr>
      <w:r w:rsidRPr="00CF38ED">
        <w:rPr>
          <w:rFonts w:ascii="Times New Roman" w:eastAsia="Calibri" w:hAnsi="Times New Roman" w:cs="Times New Roman"/>
          <w:i/>
          <w:sz w:val="24"/>
          <w:szCs w:val="24"/>
        </w:rPr>
        <w:t>Na základe uvedených odpovedí zaškrtnite a popíšte, či materiál konkurencieschopnosť:</w:t>
      </w:r>
    </w:p>
    <w:p w:rsidR="00CD75DE" w:rsidRPr="00CF38ED" w:rsidRDefault="002F35B5" w:rsidP="00CD75DE">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798576880"/>
        </w:sdtPr>
        <w:sdtEndPr/>
        <w:sdtContent>
          <w:sdt>
            <w:sdtPr>
              <w:rPr>
                <w:rFonts w:ascii="Times New Roman" w:eastAsia="Calibri" w:hAnsi="Times New Roman" w:cs="Times New Roman"/>
                <w:i/>
                <w:sz w:val="24"/>
                <w:szCs w:val="24"/>
              </w:rPr>
              <w:id w:val="1729873660"/>
            </w:sdtPr>
            <w:sdtEndPr/>
            <w:sdtContent>
              <w:r w:rsidR="00CD75DE" w:rsidRPr="00CF38ED">
                <w:rPr>
                  <w:rFonts w:ascii="Segoe UI Symbol" w:eastAsia="Calibri" w:hAnsi="Segoe UI Symbol" w:cs="Segoe UI Symbol"/>
                  <w:i/>
                  <w:sz w:val="24"/>
                  <w:szCs w:val="24"/>
                </w:rPr>
                <w:t>☐</w:t>
              </w:r>
            </w:sdtContent>
          </w:sdt>
        </w:sdtContent>
      </w:sdt>
      <w:r w:rsidR="00CD75DE" w:rsidRPr="00CF38ED">
        <w:rPr>
          <w:rFonts w:ascii="Times New Roman" w:eastAsia="Calibri" w:hAnsi="Times New Roman" w:cs="Times New Roman"/>
          <w:i/>
          <w:sz w:val="24"/>
          <w:szCs w:val="24"/>
        </w:rPr>
        <w:t xml:space="preserve"> zvyšuje  </w:t>
      </w:r>
      <w:r w:rsidR="00CD75DE" w:rsidRPr="00CF38ED">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10579887"/>
        </w:sdtPr>
        <w:sdtEndPr/>
        <w:sdtContent>
          <w:sdt>
            <w:sdtPr>
              <w:rPr>
                <w:rFonts w:ascii="Times New Roman" w:eastAsia="Calibri" w:hAnsi="Times New Roman" w:cs="Times New Roman"/>
                <w:i/>
                <w:sz w:val="24"/>
                <w:szCs w:val="24"/>
              </w:rPr>
              <w:id w:val="-80300261"/>
            </w:sdtPr>
            <w:sdtEndPr/>
            <w:sdtContent>
              <w:r w:rsidR="00CD75DE" w:rsidRPr="00CF38ED">
                <w:rPr>
                  <w:rFonts w:ascii="Segoe UI Symbol" w:eastAsia="Calibri" w:hAnsi="Segoe UI Symbol" w:cs="Segoe UI Symbol"/>
                  <w:b/>
                  <w:i/>
                  <w:color w:val="002060"/>
                  <w:sz w:val="24"/>
                  <w:szCs w:val="24"/>
                </w:rPr>
                <w:t>x</w:t>
              </w:r>
            </w:sdtContent>
          </w:sdt>
        </w:sdtContent>
      </w:sdt>
      <w:r w:rsidR="00CD75DE" w:rsidRPr="00CF38ED">
        <w:rPr>
          <w:rFonts w:ascii="Times New Roman" w:eastAsia="Calibri" w:hAnsi="Times New Roman" w:cs="Times New Roman"/>
          <w:i/>
          <w:sz w:val="24"/>
          <w:szCs w:val="24"/>
        </w:rPr>
        <w:t xml:space="preserve"> nemení</w:t>
      </w:r>
      <w:r w:rsidR="00CD75DE" w:rsidRPr="00CF38ED">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74604883"/>
        </w:sdtPr>
        <w:sdtEndPr/>
        <w:sdtContent>
          <w:sdt>
            <w:sdtPr>
              <w:rPr>
                <w:rFonts w:ascii="Times New Roman" w:eastAsia="Calibri" w:hAnsi="Times New Roman" w:cs="Times New Roman"/>
                <w:i/>
                <w:sz w:val="24"/>
                <w:szCs w:val="24"/>
              </w:rPr>
              <w:id w:val="-1706551548"/>
            </w:sdtPr>
            <w:sdtEndPr/>
            <w:sdtContent>
              <w:r w:rsidR="00CD75DE" w:rsidRPr="00CF38ED">
                <w:rPr>
                  <w:rFonts w:ascii="Segoe UI Symbol" w:eastAsia="Calibri" w:hAnsi="Segoe UI Symbol" w:cs="Segoe UI Symbol"/>
                  <w:i/>
                  <w:sz w:val="24"/>
                  <w:szCs w:val="24"/>
                </w:rPr>
                <w:t>☐</w:t>
              </w:r>
            </w:sdtContent>
          </w:sdt>
        </w:sdtContent>
      </w:sdt>
      <w:r w:rsidR="00CD75DE" w:rsidRPr="00CF38ED">
        <w:rPr>
          <w:rFonts w:ascii="Times New Roman" w:eastAsia="Calibri" w:hAnsi="Times New Roman" w:cs="Times New Roman"/>
          <w:i/>
          <w:sz w:val="24"/>
          <w:szCs w:val="24"/>
        </w:rPr>
        <w:t xml:space="preserve"> znižuje</w:t>
      </w:r>
    </w:p>
    <w:p w:rsidR="00CD75DE" w:rsidRPr="00CF38ED" w:rsidRDefault="00CD75DE" w:rsidP="00CD75DE">
      <w:pPr>
        <w:spacing w:after="0"/>
        <w:jc w:val="both"/>
        <w:rPr>
          <w:rFonts w:ascii="Times New Roman" w:eastAsia="Calibri" w:hAnsi="Times New Roman" w:cs="Times New Roman"/>
          <w:i/>
          <w:sz w:val="24"/>
          <w:szCs w:val="24"/>
        </w:rPr>
      </w:pPr>
    </w:p>
    <w:p w:rsidR="00CD75DE" w:rsidRPr="00CF38ED" w:rsidRDefault="00CD75DE" w:rsidP="00CD75DE">
      <w:pPr>
        <w:spacing w:after="0"/>
        <w:jc w:val="both"/>
        <w:rPr>
          <w:rFonts w:ascii="Times New Roman" w:eastAsia="Calibri" w:hAnsi="Times New Roman" w:cs="Times New Roman"/>
          <w:b/>
          <w:i/>
          <w:sz w:val="24"/>
          <w:szCs w:val="24"/>
        </w:rPr>
      </w:pPr>
      <w:r w:rsidRPr="00CF38ED">
        <w:rPr>
          <w:rFonts w:ascii="Times New Roman" w:eastAsia="Calibri" w:hAnsi="Times New Roman" w:cs="Times New Roman"/>
          <w:b/>
          <w:i/>
          <w:sz w:val="24"/>
          <w:szCs w:val="24"/>
        </w:rPr>
        <w:t>Produktivita:</w:t>
      </w:r>
    </w:p>
    <w:p w:rsidR="00CD75DE" w:rsidRPr="00CF38ED" w:rsidRDefault="00CD75DE" w:rsidP="00CD75DE">
      <w:pPr>
        <w:spacing w:after="0"/>
        <w:jc w:val="both"/>
        <w:rPr>
          <w:rFonts w:ascii="Times New Roman" w:eastAsia="Calibri" w:hAnsi="Times New Roman" w:cs="Times New Roman"/>
          <w:i/>
          <w:sz w:val="24"/>
          <w:szCs w:val="24"/>
        </w:rPr>
      </w:pPr>
      <w:r w:rsidRPr="00CF38ED">
        <w:rPr>
          <w:rFonts w:ascii="Times New Roman" w:eastAsia="Calibri" w:hAnsi="Times New Roman" w:cs="Times New Roman"/>
          <w:i/>
          <w:sz w:val="24"/>
          <w:szCs w:val="24"/>
        </w:rPr>
        <w:t xml:space="preserve">Aký má materiál vplyv na zmenu pomeru medzi produkciou podnikov a ich nákladmi? </w:t>
      </w:r>
    </w:p>
    <w:p w:rsidR="00CD75DE" w:rsidRPr="000A09E8" w:rsidRDefault="00CD75DE" w:rsidP="00CD75DE">
      <w:pPr>
        <w:spacing w:after="0"/>
        <w:jc w:val="both"/>
        <w:rPr>
          <w:rFonts w:ascii="Times New Roman" w:eastAsia="Calibri" w:hAnsi="Times New Roman" w:cs="Times New Roman"/>
          <w:i/>
          <w:sz w:val="24"/>
          <w:szCs w:val="24"/>
        </w:rPr>
      </w:pPr>
      <w:r w:rsidRPr="000A09E8">
        <w:rPr>
          <w:rFonts w:ascii="Times New Roman" w:eastAsia="Calibri" w:hAnsi="Times New Roman" w:cs="Times New Roman"/>
          <w:i/>
          <w:sz w:val="24"/>
          <w:szCs w:val="24"/>
        </w:rPr>
        <w:t>V súvislo</w:t>
      </w:r>
      <w:r>
        <w:rPr>
          <w:rFonts w:ascii="Times New Roman" w:eastAsia="Calibri" w:hAnsi="Times New Roman" w:cs="Times New Roman"/>
          <w:i/>
          <w:sz w:val="24"/>
          <w:szCs w:val="24"/>
        </w:rPr>
        <w:t xml:space="preserve">sti so znížením koncentrácie výrobkov, sa </w:t>
      </w:r>
      <w:r w:rsidRPr="000A09E8">
        <w:rPr>
          <w:rFonts w:ascii="Times New Roman" w:eastAsia="Calibri" w:hAnsi="Times New Roman" w:cs="Times New Roman"/>
          <w:i/>
          <w:sz w:val="24"/>
          <w:szCs w:val="24"/>
        </w:rPr>
        <w:t xml:space="preserve"> zvýši </w:t>
      </w:r>
      <w:r>
        <w:rPr>
          <w:rFonts w:ascii="Times New Roman" w:eastAsia="Calibri" w:hAnsi="Times New Roman" w:cs="Times New Roman"/>
          <w:i/>
          <w:sz w:val="24"/>
          <w:szCs w:val="24"/>
        </w:rPr>
        <w:t>objem prepravovaných surovín a predpokladá</w:t>
      </w:r>
      <w:r>
        <w:rPr>
          <w:rFonts w:ascii="Times New Roman" w:eastAsia="Calibri" w:hAnsi="Times New Roman" w:cs="Times New Roman"/>
          <w:i/>
          <w:sz w:val="24"/>
          <w:szCs w:val="24"/>
        </w:rPr>
        <w:br/>
        <w:t>sa zvýšenie nákladov za prepravu.</w:t>
      </w:r>
    </w:p>
    <w:p w:rsidR="00CD75DE" w:rsidRPr="00CF38ED" w:rsidRDefault="00CD75DE" w:rsidP="00CD75DE">
      <w:pPr>
        <w:spacing w:after="0"/>
        <w:jc w:val="both"/>
        <w:rPr>
          <w:rFonts w:ascii="Times New Roman" w:eastAsia="Calibri" w:hAnsi="Times New Roman" w:cs="Times New Roman"/>
          <w:i/>
          <w:sz w:val="24"/>
          <w:szCs w:val="24"/>
        </w:rPr>
      </w:pPr>
      <w:r w:rsidRPr="00CF38ED">
        <w:rPr>
          <w:rFonts w:ascii="Times New Roman" w:eastAsia="Calibri" w:hAnsi="Times New Roman" w:cs="Times New Roman"/>
          <w:i/>
          <w:sz w:val="24"/>
          <w:szCs w:val="24"/>
        </w:rPr>
        <w:t>Na základe uvedenej odpovede zaškrtnite a popíšte, či materiál produktivitu:</w:t>
      </w:r>
    </w:p>
    <w:p w:rsidR="00CD75DE" w:rsidRPr="00CF38ED" w:rsidRDefault="002F35B5" w:rsidP="00CD75DE">
      <w:pPr>
        <w:spacing w:after="12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1545903528"/>
        </w:sdtPr>
        <w:sdtEndPr/>
        <w:sdtContent>
          <w:sdt>
            <w:sdtPr>
              <w:rPr>
                <w:rFonts w:ascii="Times New Roman" w:eastAsia="Calibri" w:hAnsi="Times New Roman" w:cs="Times New Roman"/>
                <w:i/>
                <w:sz w:val="24"/>
                <w:szCs w:val="24"/>
              </w:rPr>
              <w:id w:val="825715010"/>
            </w:sdtPr>
            <w:sdtEndPr/>
            <w:sdtContent>
              <w:r w:rsidR="00CD75DE" w:rsidRPr="00CF38ED">
                <w:rPr>
                  <w:rFonts w:ascii="Segoe UI Symbol" w:eastAsia="Calibri" w:hAnsi="Segoe UI Symbol" w:cs="Segoe UI Symbol"/>
                  <w:i/>
                  <w:sz w:val="24"/>
                  <w:szCs w:val="24"/>
                </w:rPr>
                <w:t>☐</w:t>
              </w:r>
            </w:sdtContent>
          </w:sdt>
        </w:sdtContent>
      </w:sdt>
      <w:r w:rsidR="00CD75DE" w:rsidRPr="00CF38ED">
        <w:rPr>
          <w:rFonts w:ascii="Times New Roman" w:eastAsia="Calibri" w:hAnsi="Times New Roman" w:cs="Times New Roman"/>
          <w:i/>
          <w:sz w:val="24"/>
          <w:szCs w:val="24"/>
        </w:rPr>
        <w:t xml:space="preserve"> zvyšuje  </w:t>
      </w:r>
      <w:r w:rsidR="00CD75DE" w:rsidRPr="00CF38ED">
        <w:rPr>
          <w:rFonts w:ascii="Times New Roman" w:eastAsia="Calibri" w:hAnsi="Times New Roman" w:cs="Times New Roman"/>
          <w:i/>
          <w:sz w:val="24"/>
          <w:szCs w:val="24"/>
        </w:rPr>
        <w:tab/>
      </w:r>
      <w:sdt>
        <w:sdtPr>
          <w:rPr>
            <w:rFonts w:ascii="Times New Roman" w:eastAsia="Calibri" w:hAnsi="Times New Roman" w:cs="Times New Roman"/>
            <w:i/>
            <w:sz w:val="24"/>
            <w:szCs w:val="24"/>
          </w:rPr>
          <w:id w:val="-353966921"/>
        </w:sdtPr>
        <w:sdtEndPr/>
        <w:sdtContent>
          <w:sdt>
            <w:sdtPr>
              <w:rPr>
                <w:rFonts w:ascii="Times New Roman" w:eastAsia="Calibri" w:hAnsi="Times New Roman" w:cs="Times New Roman"/>
                <w:i/>
                <w:sz w:val="24"/>
                <w:szCs w:val="24"/>
              </w:rPr>
              <w:id w:val="-1222205104"/>
            </w:sdtPr>
            <w:sdtEndPr/>
            <w:sdtContent>
              <w:r w:rsidR="00CD75DE" w:rsidRPr="00CF38ED">
                <w:rPr>
                  <w:rFonts w:ascii="Segoe UI Symbol" w:eastAsia="Calibri" w:hAnsi="Segoe UI Symbol" w:cs="Segoe UI Symbol"/>
                  <w:i/>
                  <w:sz w:val="24"/>
                  <w:szCs w:val="24"/>
                </w:rPr>
                <w:t>☐</w:t>
              </w:r>
            </w:sdtContent>
          </w:sdt>
        </w:sdtContent>
      </w:sdt>
      <w:r w:rsidR="00CD75DE" w:rsidRPr="00CF38ED">
        <w:rPr>
          <w:rFonts w:ascii="Times New Roman" w:eastAsia="Calibri" w:hAnsi="Times New Roman" w:cs="Times New Roman"/>
          <w:i/>
          <w:sz w:val="24"/>
          <w:szCs w:val="24"/>
        </w:rPr>
        <w:t xml:space="preserve"> nemení</w:t>
      </w:r>
      <w:r w:rsidR="00CD75DE" w:rsidRPr="00CF38ED">
        <w:rPr>
          <w:rFonts w:ascii="Times New Roman" w:eastAsia="Calibri" w:hAnsi="Times New Roman" w:cs="Times New Roman"/>
          <w:i/>
          <w:sz w:val="24"/>
          <w:szCs w:val="24"/>
        </w:rPr>
        <w:tab/>
      </w:r>
      <w:sdt>
        <w:sdtPr>
          <w:rPr>
            <w:rFonts w:ascii="Times New Roman" w:eastAsia="Calibri" w:hAnsi="Times New Roman" w:cs="Times New Roman"/>
            <w:i/>
            <w:sz w:val="24"/>
            <w:szCs w:val="24"/>
          </w:rPr>
          <w:id w:val="-1457723544"/>
        </w:sdtPr>
        <w:sdtEndPr/>
        <w:sdtContent>
          <w:sdt>
            <w:sdtPr>
              <w:rPr>
                <w:rFonts w:ascii="Times New Roman" w:eastAsia="Calibri" w:hAnsi="Times New Roman" w:cs="Times New Roman"/>
                <w:i/>
                <w:sz w:val="24"/>
                <w:szCs w:val="24"/>
              </w:rPr>
              <w:id w:val="-623767955"/>
            </w:sdtPr>
            <w:sdtEndPr/>
            <w:sdtContent>
              <w:sdt>
                <w:sdtPr>
                  <w:rPr>
                    <w:rFonts w:ascii="Times New Roman" w:eastAsia="Calibri" w:hAnsi="Times New Roman" w:cs="Times New Roman"/>
                    <w:i/>
                    <w:sz w:val="24"/>
                    <w:szCs w:val="24"/>
                  </w:rPr>
                  <w:id w:val="1926922446"/>
                </w:sdtPr>
                <w:sdtEndPr/>
                <w:sdtContent>
                  <w:r w:rsidR="00CD75DE" w:rsidRPr="00CF38ED">
                    <w:rPr>
                      <w:rFonts w:ascii="Segoe UI Symbol" w:eastAsia="Calibri" w:hAnsi="Segoe UI Symbol" w:cs="Segoe UI Symbol"/>
                      <w:b/>
                      <w:i/>
                      <w:color w:val="002060"/>
                      <w:sz w:val="24"/>
                      <w:szCs w:val="24"/>
                    </w:rPr>
                    <w:t>x</w:t>
                  </w:r>
                </w:sdtContent>
              </w:sdt>
              <w:r w:rsidR="00CD75DE" w:rsidRPr="00CF38ED">
                <w:rPr>
                  <w:rFonts w:ascii="Times New Roman" w:eastAsia="Calibri" w:hAnsi="Times New Roman" w:cs="Times New Roman"/>
                  <w:i/>
                  <w:sz w:val="24"/>
                  <w:szCs w:val="24"/>
                </w:rPr>
                <w:t xml:space="preserve"> </w:t>
              </w:r>
            </w:sdtContent>
          </w:sdt>
        </w:sdtContent>
      </w:sdt>
      <w:r w:rsidR="00CD75DE" w:rsidRPr="00CF38ED">
        <w:rPr>
          <w:rFonts w:ascii="Times New Roman" w:eastAsia="Calibri" w:hAnsi="Times New Roman" w:cs="Times New Roman"/>
          <w:i/>
          <w:sz w:val="24"/>
          <w:szCs w:val="24"/>
        </w:rPr>
        <w:t xml:space="preserve"> znižuje</w:t>
      </w:r>
    </w:p>
    <w:p w:rsidR="00CD75DE" w:rsidRPr="00CF38ED" w:rsidRDefault="00CD75DE" w:rsidP="00CD75DE">
      <w:pPr>
        <w:jc w:val="both"/>
        <w:rPr>
          <w:rFonts w:ascii="Times New Roman" w:eastAsia="Calibri" w:hAnsi="Times New Roman" w:cs="Times New Roman"/>
          <w:b/>
          <w:sz w:val="24"/>
          <w:szCs w:val="24"/>
        </w:rPr>
      </w:pPr>
      <w:r w:rsidRPr="00CF38ED">
        <w:rPr>
          <w:rFonts w:ascii="Times New Roman" w:eastAsia="Calibri" w:hAnsi="Times New Roman" w:cs="Times New Roman"/>
          <w:b/>
          <w:sz w:val="24"/>
          <w:szCs w:val="24"/>
        </w:rPr>
        <w:t xml:space="preserve">3.4  Iné vplyvy na podnikateľské prostredie </w:t>
      </w:r>
    </w:p>
    <w:p w:rsidR="00CD75DE" w:rsidRPr="00CF38ED" w:rsidRDefault="00CD75DE" w:rsidP="00CD75DE">
      <w:pPr>
        <w:spacing w:after="0"/>
        <w:jc w:val="both"/>
        <w:rPr>
          <w:rFonts w:ascii="Times New Roman" w:eastAsia="Calibri" w:hAnsi="Times New Roman" w:cs="Times New Roman"/>
          <w:i/>
          <w:sz w:val="24"/>
          <w:szCs w:val="24"/>
        </w:rPr>
      </w:pPr>
      <w:r w:rsidRPr="00CF38ED">
        <w:rPr>
          <w:rFonts w:ascii="Times New Roman" w:eastAsia="Calibri" w:hAnsi="Times New Roman" w:cs="Times New Roman"/>
          <w:i/>
          <w:sz w:val="24"/>
          <w:szCs w:val="24"/>
        </w:rPr>
        <w:t xml:space="preserve">Ak má materiál vplyvy na PP, ktoré nemožno zaradiť do predchádzajúcich častí, či už pozitívne alebo negatívne, tu ich uveďte.  Patria sem: </w:t>
      </w:r>
    </w:p>
    <w:p w:rsidR="00CD75DE" w:rsidRPr="00CF38ED" w:rsidRDefault="00CD75DE" w:rsidP="00CD75DE">
      <w:pPr>
        <w:numPr>
          <w:ilvl w:val="0"/>
          <w:numId w:val="1"/>
        </w:numPr>
        <w:spacing w:after="0" w:line="254" w:lineRule="auto"/>
        <w:contextualSpacing/>
        <w:jc w:val="both"/>
        <w:rPr>
          <w:rFonts w:ascii="Times New Roman" w:eastAsia="Calibri" w:hAnsi="Times New Roman" w:cs="Times New Roman"/>
          <w:i/>
          <w:sz w:val="24"/>
          <w:szCs w:val="24"/>
        </w:rPr>
      </w:pPr>
      <w:r w:rsidRPr="00CF38ED">
        <w:rPr>
          <w:rFonts w:ascii="Times New Roman" w:eastAsia="Calibri" w:hAnsi="Times New Roman" w:cs="Times New Roman"/>
          <w:i/>
          <w:sz w:val="24"/>
          <w:szCs w:val="24"/>
        </w:rPr>
        <w:t>sankcie alebo pokuty, ako dôsledok porušenia právne záväzných ustanovení;</w:t>
      </w:r>
    </w:p>
    <w:p w:rsidR="00CD75DE" w:rsidRPr="00CF38ED" w:rsidRDefault="00CD75DE" w:rsidP="00CD75DE">
      <w:pPr>
        <w:spacing w:after="0" w:line="254" w:lineRule="auto"/>
        <w:ind w:left="720"/>
        <w:contextualSpacing/>
        <w:jc w:val="both"/>
        <w:rPr>
          <w:rFonts w:ascii="Times New Roman" w:eastAsia="Calibri" w:hAnsi="Times New Roman" w:cs="Times New Roman"/>
          <w:sz w:val="24"/>
          <w:szCs w:val="24"/>
        </w:rPr>
      </w:pPr>
      <w:r w:rsidRPr="00CF38ED">
        <w:rPr>
          <w:rFonts w:ascii="Times New Roman" w:eastAsia="Calibri" w:hAnsi="Times New Roman" w:cs="Times New Roman"/>
          <w:sz w:val="24"/>
          <w:szCs w:val="24"/>
        </w:rPr>
        <w:t>Návrh zákona ukladá sankcie PP za porušenie povinností  navrhovanou právnou úpravou vo výške od 500 do 50 000 eur.</w:t>
      </w:r>
    </w:p>
    <w:p w:rsidR="00CD75DE" w:rsidRPr="00CF38ED" w:rsidRDefault="00CD75DE" w:rsidP="00CD75DE">
      <w:pPr>
        <w:numPr>
          <w:ilvl w:val="0"/>
          <w:numId w:val="1"/>
        </w:numPr>
        <w:spacing w:after="0" w:line="254" w:lineRule="auto"/>
        <w:contextualSpacing/>
        <w:jc w:val="both"/>
        <w:rPr>
          <w:rFonts w:ascii="Times New Roman" w:eastAsia="Calibri" w:hAnsi="Times New Roman" w:cs="Times New Roman"/>
          <w:i/>
          <w:sz w:val="24"/>
          <w:szCs w:val="24"/>
        </w:rPr>
      </w:pPr>
      <w:r w:rsidRPr="00CF38ED">
        <w:rPr>
          <w:rFonts w:ascii="Times New Roman" w:eastAsia="Calibri" w:hAnsi="Times New Roman" w:cs="Times New Roman"/>
          <w:i/>
          <w:sz w:val="24"/>
          <w:szCs w:val="24"/>
        </w:rPr>
        <w:t>vplyvy súvisiace so žiadosťami o alebo prijímaním dotácií, fondov, štátnej pomoci a čerpaním iných obdobných foriem podpory zo strany štátu, keďže sú sprievodným javom uchádzania sa či získania benefitov, na ktoré nie je právny nárok priamo zo zákona, ale vzniká na základe prejavu vôle dotknutého subjektu;</w:t>
      </w:r>
    </w:p>
    <w:p w:rsidR="00CD75DE" w:rsidRPr="00CF38ED" w:rsidRDefault="00CD75DE" w:rsidP="00CD75DE">
      <w:pPr>
        <w:numPr>
          <w:ilvl w:val="0"/>
          <w:numId w:val="1"/>
        </w:numPr>
        <w:spacing w:after="0" w:line="254" w:lineRule="auto"/>
        <w:contextualSpacing/>
        <w:jc w:val="both"/>
        <w:rPr>
          <w:rFonts w:ascii="Times New Roman" w:eastAsia="Calibri" w:hAnsi="Times New Roman" w:cs="Times New Roman"/>
          <w:i/>
          <w:sz w:val="24"/>
          <w:szCs w:val="24"/>
        </w:rPr>
      </w:pPr>
      <w:r w:rsidRPr="00CF38ED">
        <w:rPr>
          <w:rFonts w:ascii="Times New Roman" w:eastAsia="Calibri" w:hAnsi="Times New Roman" w:cs="Times New Roman"/>
          <w:i/>
          <w:sz w:val="24"/>
          <w:szCs w:val="24"/>
        </w:rPr>
        <w:t>regulované ceny podľa zákona č. 18/1996 Z. z. o cenách;</w:t>
      </w:r>
    </w:p>
    <w:p w:rsidR="00CD75DE" w:rsidRPr="00CF38ED" w:rsidRDefault="00CD75DE" w:rsidP="00CD75DE">
      <w:pPr>
        <w:numPr>
          <w:ilvl w:val="0"/>
          <w:numId w:val="1"/>
        </w:numPr>
        <w:spacing w:after="0" w:line="254" w:lineRule="auto"/>
        <w:contextualSpacing/>
        <w:jc w:val="both"/>
        <w:rPr>
          <w:rFonts w:ascii="Times New Roman" w:eastAsia="Calibri" w:hAnsi="Times New Roman" w:cs="Times New Roman"/>
          <w:i/>
          <w:sz w:val="24"/>
          <w:szCs w:val="24"/>
        </w:rPr>
      </w:pPr>
      <w:r w:rsidRPr="00CF38ED">
        <w:rPr>
          <w:rFonts w:ascii="Times New Roman" w:eastAsia="Calibri" w:hAnsi="Times New Roman" w:cs="Times New Roman"/>
          <w:i/>
          <w:sz w:val="24"/>
          <w:szCs w:val="24"/>
        </w:rPr>
        <w:t xml:space="preserve">iné vplyvy, ktoré predpokladá materiál, ale nemožno ich zaradiť do častí 3.1 a 3.3. </w:t>
      </w:r>
    </w:p>
    <w:sectPr w:rsidR="00CD75DE" w:rsidRPr="00CF38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altName w:val="Times New Roman PSMT"/>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5DE"/>
    <w:rsid w:val="000B36A0"/>
    <w:rsid w:val="002F35B5"/>
    <w:rsid w:val="00852070"/>
    <w:rsid w:val="00880845"/>
    <w:rsid w:val="00A5166D"/>
    <w:rsid w:val="00BE28A0"/>
    <w:rsid w:val="00CD75DE"/>
    <w:rsid w:val="00DE7030"/>
    <w:rsid w:val="00E662A0"/>
    <w:rsid w:val="00F53AE8"/>
    <w:rsid w:val="00FB791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D75DE"/>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Mriekatabuky2">
    <w:name w:val="Mriežka tabuľky2"/>
    <w:basedOn w:val="Normlnatabuka"/>
    <w:next w:val="Mriekatabuky"/>
    <w:uiPriority w:val="59"/>
    <w:rsid w:val="00CD7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CD7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85207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520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D75DE"/>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Mriekatabuky2">
    <w:name w:val="Mriežka tabuľky2"/>
    <w:basedOn w:val="Normlnatabuka"/>
    <w:next w:val="Mriekatabuky"/>
    <w:uiPriority w:val="59"/>
    <w:rsid w:val="00CD7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CD7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85207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520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770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hsr.sk/podnikatelske-prostredie/lepsia-regulacia/regulacne-zatazenie/kalkulacka-nakladov-regulaci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1606</Words>
  <Characters>9160</Characters>
  <Application>Microsoft Office Word</Application>
  <DocSecurity>4</DocSecurity>
  <Lines>76</Lines>
  <Paragraphs>21</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10745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dc:creator>
  <cp:lastModifiedBy>Hajdu Ladislav</cp:lastModifiedBy>
  <cp:revision>2</cp:revision>
  <cp:lastPrinted>2021-07-12T05:36:00Z</cp:lastPrinted>
  <dcterms:created xsi:type="dcterms:W3CDTF">2021-10-15T05:59:00Z</dcterms:created>
  <dcterms:modified xsi:type="dcterms:W3CDTF">2021-10-15T05:59:00Z</dcterms:modified>
</cp:coreProperties>
</file>