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8" w:rsidRPr="009045B4" w:rsidRDefault="009A659D" w:rsidP="00E03758">
      <w:pPr>
        <w:pStyle w:val="Nadpis5"/>
        <w:spacing w:before="0"/>
        <w:ind w:firstLine="709"/>
      </w:pPr>
      <w:r>
        <w:t xml:space="preserve">  </w:t>
      </w:r>
      <w:r w:rsidR="00E03758" w:rsidRPr="009045B4">
        <w:t>ÚSTAVNOPRÁVNY VÝBOR</w:t>
      </w:r>
    </w:p>
    <w:p w:rsidR="00E03758" w:rsidRDefault="00E03758" w:rsidP="00E03758">
      <w:pPr>
        <w:spacing w:before="120"/>
      </w:pPr>
      <w:r w:rsidRPr="009045B4">
        <w:rPr>
          <w:b/>
        </w:rPr>
        <w:t>NÁRODNEJ RADY SLOVENSKEJ REPUBLIKY</w:t>
      </w:r>
      <w:r w:rsidRPr="009045B4">
        <w:tab/>
      </w:r>
    </w:p>
    <w:p w:rsidR="007720A6" w:rsidRDefault="007720A6" w:rsidP="00D25F6F">
      <w:pPr>
        <w:pStyle w:val="Bezriadkovania"/>
      </w:pPr>
    </w:p>
    <w:p w:rsidR="00D25F6F" w:rsidRPr="009045B4" w:rsidRDefault="00D25F6F" w:rsidP="00D25F6F">
      <w:pPr>
        <w:pStyle w:val="Bezriadkovania"/>
      </w:pPr>
    </w:p>
    <w:p w:rsidR="00E03758" w:rsidRPr="009045B4" w:rsidRDefault="00E03758" w:rsidP="00E03758">
      <w:pPr>
        <w:ind w:firstLine="708"/>
        <w:rPr>
          <w:lang w:eastAsia="en-US"/>
        </w:rPr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</w:t>
      </w:r>
      <w:r w:rsidRPr="009045B4">
        <w:tab/>
      </w:r>
      <w:r w:rsidRPr="009045B4">
        <w:tab/>
      </w:r>
      <w:r w:rsidRPr="009045B4">
        <w:tab/>
      </w:r>
      <w:r w:rsidR="007720A6">
        <w:t>104</w:t>
      </w:r>
      <w:r w:rsidR="009A659D">
        <w:t>.</w:t>
      </w:r>
      <w:r w:rsidRPr="009045B4">
        <w:t xml:space="preserve"> schôdza</w:t>
      </w:r>
    </w:p>
    <w:p w:rsidR="00E03758" w:rsidRDefault="00E03758" w:rsidP="00E0375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 w:rsidR="00C96E2B">
        <w:t>-</w:t>
      </w:r>
      <w:r w:rsidR="007C1B8A">
        <w:t>2404</w:t>
      </w:r>
      <w:r w:rsidR="003E532E">
        <w:t>/</w:t>
      </w:r>
      <w:r w:rsidR="009A659D">
        <w:t>202</w:t>
      </w:r>
      <w:r w:rsidR="00FE4C8C">
        <w:t>1</w:t>
      </w:r>
    </w:p>
    <w:p w:rsidR="00D66A33" w:rsidRDefault="00D66A33" w:rsidP="00E03758">
      <w:pPr>
        <w:rPr>
          <w:lang w:eastAsia="en-US"/>
        </w:rPr>
      </w:pPr>
    </w:p>
    <w:p w:rsidR="00D25F6F" w:rsidRDefault="00D25F6F" w:rsidP="00E03758">
      <w:pPr>
        <w:rPr>
          <w:lang w:eastAsia="en-US"/>
        </w:rPr>
      </w:pPr>
    </w:p>
    <w:p w:rsidR="00624355" w:rsidRPr="009045B4" w:rsidRDefault="00624355" w:rsidP="00E03758">
      <w:pPr>
        <w:rPr>
          <w:lang w:eastAsia="en-US"/>
        </w:rPr>
      </w:pPr>
    </w:p>
    <w:p w:rsidR="00D66A33" w:rsidRPr="00624355" w:rsidRDefault="009A578D" w:rsidP="00D66A33">
      <w:pPr>
        <w:pStyle w:val="Bezriadkovania"/>
        <w:jc w:val="center"/>
        <w:rPr>
          <w:i/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422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U z n e s e n i e</w:t>
      </w:r>
    </w:p>
    <w:p w:rsidR="00D66A33" w:rsidRPr="009045B4" w:rsidRDefault="00D66A33" w:rsidP="00D66A33">
      <w:pPr>
        <w:pStyle w:val="Bezriadkovania"/>
        <w:jc w:val="center"/>
        <w:rPr>
          <w:b/>
          <w:lang w:eastAsia="en-US"/>
        </w:rPr>
      </w:pPr>
      <w:r w:rsidRPr="009045B4">
        <w:rPr>
          <w:b/>
        </w:rPr>
        <w:t>Ústavnoprávneho výboru Národnej rady Slovenskej republiky</w:t>
      </w:r>
    </w:p>
    <w:p w:rsidR="00D66A33" w:rsidRDefault="007A7A81" w:rsidP="00D66A33">
      <w:pPr>
        <w:pStyle w:val="Bezriadkovania"/>
        <w:jc w:val="center"/>
        <w:rPr>
          <w:b/>
        </w:rPr>
      </w:pPr>
      <w:r>
        <w:rPr>
          <w:b/>
        </w:rPr>
        <w:t>z</w:t>
      </w:r>
      <w:r w:rsidR="009157A2">
        <w:rPr>
          <w:b/>
        </w:rPr>
        <w:t>o</w:t>
      </w:r>
      <w:r>
        <w:rPr>
          <w:b/>
        </w:rPr>
        <w:t xml:space="preserve"> </w:t>
      </w:r>
      <w:r w:rsidR="009157A2">
        <w:rPr>
          <w:b/>
        </w:rPr>
        <w:t>14</w:t>
      </w:r>
      <w:r>
        <w:rPr>
          <w:b/>
        </w:rPr>
        <w:t xml:space="preserve">. </w:t>
      </w:r>
      <w:r w:rsidR="007720A6">
        <w:rPr>
          <w:b/>
        </w:rPr>
        <w:t>decembra</w:t>
      </w:r>
      <w:r w:rsidR="00D66A33" w:rsidRPr="009045B4">
        <w:rPr>
          <w:b/>
        </w:rPr>
        <w:t xml:space="preserve"> 20</w:t>
      </w:r>
      <w:r w:rsidR="00D66A33">
        <w:rPr>
          <w:b/>
        </w:rPr>
        <w:t>2</w:t>
      </w:r>
      <w:r>
        <w:rPr>
          <w:b/>
        </w:rPr>
        <w:t>1</w:t>
      </w:r>
    </w:p>
    <w:p w:rsidR="00D25F6F" w:rsidRDefault="00D25F6F" w:rsidP="007A7A81">
      <w:pPr>
        <w:pStyle w:val="Odsekzoznamu"/>
        <w:tabs>
          <w:tab w:val="left" w:pos="3828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</w:p>
    <w:p w:rsidR="007720A6" w:rsidRPr="007720A6" w:rsidRDefault="00D66A33" w:rsidP="007720A6">
      <w:pPr>
        <w:pStyle w:val="Odsekzoznamu"/>
        <w:tabs>
          <w:tab w:val="left" w:pos="3828"/>
        </w:tabs>
        <w:spacing w:after="0" w:line="240" w:lineRule="auto"/>
        <w:ind w:left="0"/>
        <w:jc w:val="both"/>
        <w:rPr>
          <w:iCs/>
        </w:rPr>
      </w:pPr>
      <w:r w:rsidRPr="00F2595A">
        <w:rPr>
          <w:iCs/>
        </w:rPr>
        <w:t>k vládn</w:t>
      </w:r>
      <w:r w:rsidR="00D415AE" w:rsidRPr="00F2595A">
        <w:rPr>
          <w:iCs/>
        </w:rPr>
        <w:t>e</w:t>
      </w:r>
      <w:r w:rsidR="0052385D" w:rsidRPr="00F2595A">
        <w:rPr>
          <w:iCs/>
        </w:rPr>
        <w:t>m</w:t>
      </w:r>
      <w:r w:rsidR="00D415AE" w:rsidRPr="00F2595A">
        <w:rPr>
          <w:iCs/>
        </w:rPr>
        <w:t>u</w:t>
      </w:r>
      <w:r w:rsidR="0052385D" w:rsidRPr="00F2595A">
        <w:rPr>
          <w:iCs/>
        </w:rPr>
        <w:t xml:space="preserve"> návrhu zákona,</w:t>
      </w:r>
      <w:r w:rsidR="007720A6">
        <w:rPr>
          <w:iCs/>
        </w:rPr>
        <w:t xml:space="preserve"> kt</w:t>
      </w:r>
      <w:r w:rsidR="007720A6" w:rsidRPr="00313498">
        <w:rPr>
          <w:szCs w:val="24"/>
        </w:rPr>
        <w:t xml:space="preserve">orým sa dopĺňa </w:t>
      </w:r>
      <w:r w:rsidR="007720A6" w:rsidRPr="00313498">
        <w:rPr>
          <w:b/>
          <w:szCs w:val="24"/>
        </w:rPr>
        <w:t>zákon č. 513/1991 Zb. Obchodný zákonník</w:t>
      </w:r>
      <w:r w:rsidR="007720A6" w:rsidRPr="00313498">
        <w:rPr>
          <w:szCs w:val="24"/>
        </w:rPr>
        <w:t xml:space="preserve"> v  znení neskorších predpisov (tlač</w:t>
      </w:r>
      <w:r w:rsidR="007C1B8A">
        <w:rPr>
          <w:szCs w:val="24"/>
        </w:rPr>
        <w:t xml:space="preserve"> 817</w:t>
      </w:r>
      <w:r w:rsidR="007720A6" w:rsidRPr="00313498">
        <w:rPr>
          <w:szCs w:val="24"/>
        </w:rPr>
        <w:t>)</w:t>
      </w:r>
    </w:p>
    <w:p w:rsidR="007A7A81" w:rsidRDefault="007A7A81" w:rsidP="00D25F6F">
      <w:pPr>
        <w:pStyle w:val="Bezriadkovania"/>
      </w:pPr>
    </w:p>
    <w:p w:rsidR="00D25F6F" w:rsidRPr="00EE30F1" w:rsidRDefault="00D25F6F" w:rsidP="00D25F6F">
      <w:pPr>
        <w:pStyle w:val="Bezriadkovania"/>
      </w:pPr>
    </w:p>
    <w:p w:rsidR="00D66A33" w:rsidRPr="009045B4" w:rsidRDefault="00D66A33" w:rsidP="00D66A33">
      <w:pPr>
        <w:spacing w:before="120"/>
        <w:rPr>
          <w:b/>
        </w:rPr>
      </w:pPr>
      <w:r w:rsidRPr="009045B4">
        <w:tab/>
      </w:r>
      <w:r w:rsidRPr="009045B4">
        <w:rPr>
          <w:b/>
        </w:rPr>
        <w:t>Ústavnoprávny výbor Národnej rady Slovenskej republiky</w:t>
      </w:r>
    </w:p>
    <w:p w:rsidR="00D66A33" w:rsidRDefault="00D66A33" w:rsidP="00D66A33">
      <w:pPr>
        <w:pStyle w:val="kurz"/>
        <w:ind w:firstLine="0"/>
        <w:rPr>
          <w:i w:val="0"/>
          <w:sz w:val="24"/>
          <w:szCs w:val="24"/>
        </w:rPr>
      </w:pPr>
    </w:p>
    <w:p w:rsidR="00D66A33" w:rsidRPr="000F4C28" w:rsidRDefault="00D66A33" w:rsidP="00D66A33">
      <w:pPr>
        <w:pStyle w:val="kurz"/>
        <w:numPr>
          <w:ilvl w:val="0"/>
          <w:numId w:val="12"/>
        </w:num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s </w:t>
      </w:r>
      <w:r w:rsidRPr="000F4C28">
        <w:rPr>
          <w:b/>
          <w:i w:val="0"/>
          <w:sz w:val="24"/>
          <w:szCs w:val="24"/>
        </w:rPr>
        <w:t>ú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h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l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a</w:t>
      </w:r>
      <w:r>
        <w:rPr>
          <w:b/>
          <w:i w:val="0"/>
          <w:sz w:val="24"/>
          <w:szCs w:val="24"/>
        </w:rPr>
        <w:t> </w:t>
      </w:r>
      <w:r w:rsidRPr="000F4C28">
        <w:rPr>
          <w:b/>
          <w:i w:val="0"/>
          <w:sz w:val="24"/>
          <w:szCs w:val="24"/>
        </w:rPr>
        <w:t>s</w:t>
      </w:r>
      <w:r>
        <w:rPr>
          <w:b/>
          <w:i w:val="0"/>
          <w:sz w:val="24"/>
          <w:szCs w:val="24"/>
        </w:rPr>
        <w:t xml:space="preserve"> </w:t>
      </w:r>
      <w:r w:rsidRPr="000F4C28">
        <w:rPr>
          <w:b/>
          <w:i w:val="0"/>
          <w:sz w:val="24"/>
          <w:szCs w:val="24"/>
        </w:rPr>
        <w:t>í</w:t>
      </w:r>
    </w:p>
    <w:p w:rsidR="00D66A33" w:rsidRPr="007A7A81" w:rsidRDefault="00D66A33" w:rsidP="00D66A33">
      <w:pPr>
        <w:pStyle w:val="kurz"/>
        <w:ind w:left="720" w:firstLine="0"/>
        <w:rPr>
          <w:i w:val="0"/>
          <w:sz w:val="24"/>
          <w:szCs w:val="24"/>
        </w:rPr>
      </w:pPr>
    </w:p>
    <w:p w:rsidR="007720A6" w:rsidRDefault="00D66A33" w:rsidP="007720A6">
      <w:pPr>
        <w:pStyle w:val="Odsekzoznamu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7A7A81">
        <w:rPr>
          <w:szCs w:val="24"/>
        </w:rPr>
        <w:t xml:space="preserve">      </w:t>
      </w:r>
      <w:r w:rsidR="0052385D" w:rsidRPr="007A7A81">
        <w:rPr>
          <w:szCs w:val="24"/>
        </w:rPr>
        <w:tab/>
      </w:r>
      <w:r w:rsidRPr="007A7A81">
        <w:rPr>
          <w:szCs w:val="24"/>
        </w:rPr>
        <w:t>s vládn</w:t>
      </w:r>
      <w:r w:rsidR="00D415AE" w:rsidRPr="007A7A81">
        <w:rPr>
          <w:szCs w:val="24"/>
        </w:rPr>
        <w:t>y</w:t>
      </w:r>
      <w:r w:rsidRPr="007A7A81">
        <w:rPr>
          <w:szCs w:val="24"/>
        </w:rPr>
        <w:t>m návrh</w:t>
      </w:r>
      <w:r w:rsidR="00D415AE" w:rsidRPr="007A7A81">
        <w:rPr>
          <w:szCs w:val="24"/>
        </w:rPr>
        <w:t>om</w:t>
      </w:r>
      <w:r w:rsidRPr="007A7A81">
        <w:rPr>
          <w:szCs w:val="24"/>
        </w:rPr>
        <w:t xml:space="preserve"> zákona, </w:t>
      </w:r>
      <w:r w:rsidR="007720A6">
        <w:rPr>
          <w:iCs/>
        </w:rPr>
        <w:t>kt</w:t>
      </w:r>
      <w:r w:rsidR="007720A6" w:rsidRPr="00313498">
        <w:rPr>
          <w:szCs w:val="24"/>
        </w:rPr>
        <w:t xml:space="preserve">orým sa </w:t>
      </w:r>
      <w:r w:rsidR="007720A6" w:rsidRPr="007720A6">
        <w:rPr>
          <w:szCs w:val="24"/>
        </w:rPr>
        <w:t>dopĺňa zákon č. 513/1991 Zb. Obchodný zákonník v  znení neskorších predpisov (tlač</w:t>
      </w:r>
      <w:r w:rsidR="007C1B8A">
        <w:rPr>
          <w:szCs w:val="24"/>
        </w:rPr>
        <w:t xml:space="preserve"> 817</w:t>
      </w:r>
      <w:r w:rsidR="007720A6" w:rsidRPr="007720A6">
        <w:rPr>
          <w:szCs w:val="24"/>
        </w:rPr>
        <w:t>);</w:t>
      </w:r>
    </w:p>
    <w:p w:rsidR="007720A6" w:rsidRPr="007720A6" w:rsidRDefault="007720A6" w:rsidP="00D159A2">
      <w:pPr>
        <w:pStyle w:val="Bezriadkovania"/>
      </w:pPr>
    </w:p>
    <w:p w:rsidR="00D66A33" w:rsidRDefault="00D66A33" w:rsidP="00D66A33">
      <w:pPr>
        <w:pStyle w:val="Nadpis1"/>
        <w:numPr>
          <w:ilvl w:val="0"/>
          <w:numId w:val="12"/>
        </w:numPr>
      </w:pPr>
      <w:r w:rsidRPr="009045B4">
        <w:t>o d p o r ú č a</w:t>
      </w:r>
    </w:p>
    <w:p w:rsidR="00D66A33" w:rsidRPr="000F4C28" w:rsidRDefault="00D66A33" w:rsidP="00D66A33"/>
    <w:p w:rsidR="00D66A33" w:rsidRPr="0074614D" w:rsidRDefault="00D66A33" w:rsidP="0052385D">
      <w:pPr>
        <w:pStyle w:val="Bezriadkovania"/>
        <w:tabs>
          <w:tab w:val="left" w:pos="709"/>
          <w:tab w:val="left" w:pos="1134"/>
        </w:tabs>
      </w:pPr>
      <w:r w:rsidRPr="0074614D">
        <w:t xml:space="preserve">            </w:t>
      </w:r>
      <w:r w:rsidR="0052385D" w:rsidRPr="0074614D">
        <w:tab/>
      </w:r>
      <w:r w:rsidRPr="0074614D">
        <w:t>Národnej rade Slovenskej republiky</w:t>
      </w:r>
    </w:p>
    <w:p w:rsidR="00D66A33" w:rsidRPr="000F4C28" w:rsidRDefault="00D66A33" w:rsidP="0052385D">
      <w:pPr>
        <w:pStyle w:val="Bezriadkovania"/>
        <w:tabs>
          <w:tab w:val="left" w:pos="709"/>
        </w:tabs>
        <w:rPr>
          <w:b/>
          <w:iCs/>
        </w:rPr>
      </w:pPr>
    </w:p>
    <w:p w:rsidR="001C6D9C" w:rsidRPr="001C6D9C" w:rsidRDefault="00D66A33" w:rsidP="001C6D9C">
      <w:pPr>
        <w:pStyle w:val="Odsekzoznamu"/>
        <w:tabs>
          <w:tab w:val="left" w:pos="1134"/>
          <w:tab w:val="left" w:pos="3828"/>
        </w:tabs>
        <w:spacing w:after="0" w:line="240" w:lineRule="auto"/>
        <w:ind w:left="0"/>
        <w:jc w:val="both"/>
        <w:rPr>
          <w:b/>
          <w:iCs/>
        </w:rPr>
      </w:pPr>
      <w:r>
        <w:rPr>
          <w:b/>
          <w:iCs/>
        </w:rPr>
        <w:tab/>
      </w:r>
      <w:r w:rsidR="007720A6" w:rsidRPr="007720A6">
        <w:rPr>
          <w:iCs/>
        </w:rPr>
        <w:t>vládny návrh zákona, kt</w:t>
      </w:r>
      <w:r w:rsidR="007720A6" w:rsidRPr="007720A6">
        <w:rPr>
          <w:szCs w:val="24"/>
        </w:rPr>
        <w:t>orým sa dopĺňa zákon č. 513/1991 Zb. Obchodný zákonník v  znení neskorších</w:t>
      </w:r>
      <w:r w:rsidR="007720A6" w:rsidRPr="00313498">
        <w:rPr>
          <w:szCs w:val="24"/>
        </w:rPr>
        <w:t xml:space="preserve"> predpisov (tlač</w:t>
      </w:r>
      <w:r w:rsidR="007C1B8A">
        <w:rPr>
          <w:szCs w:val="24"/>
        </w:rPr>
        <w:t xml:space="preserve"> 817</w:t>
      </w:r>
      <w:r w:rsidR="007720A6" w:rsidRPr="00313498">
        <w:rPr>
          <w:szCs w:val="24"/>
        </w:rPr>
        <w:t>)</w:t>
      </w:r>
      <w:r w:rsidR="00510F59">
        <w:rPr>
          <w:szCs w:val="24"/>
          <w:lang w:eastAsia="sk-SK"/>
        </w:rPr>
        <w:t xml:space="preserve"> </w:t>
      </w:r>
      <w:r>
        <w:rPr>
          <w:b/>
          <w:iCs/>
        </w:rPr>
        <w:t>s</w:t>
      </w:r>
      <w:r w:rsidRPr="009045B4">
        <w:rPr>
          <w:b/>
          <w:iCs/>
        </w:rPr>
        <w:t>chváliť</w:t>
      </w:r>
      <w:r w:rsidR="001C6D9C">
        <w:rPr>
          <w:b/>
          <w:iCs/>
        </w:rPr>
        <w:t xml:space="preserve"> </w:t>
      </w:r>
      <w:r w:rsidR="001C6D9C" w:rsidRPr="00FC1C78">
        <w:rPr>
          <w:bCs/>
        </w:rPr>
        <w:t xml:space="preserve">so zmenami a doplnkami uvedenými v prílohe tohto uznesenia; </w:t>
      </w:r>
    </w:p>
    <w:p w:rsidR="001C6D9C" w:rsidRPr="00FC1C78" w:rsidRDefault="001C6D9C" w:rsidP="001C6D9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D66A33" w:rsidRPr="009045B4" w:rsidRDefault="00540703" w:rsidP="00D66A33">
      <w:pPr>
        <w:pStyle w:val="Zkladntext"/>
        <w:numPr>
          <w:ilvl w:val="0"/>
          <w:numId w:val="12"/>
        </w:numPr>
        <w:tabs>
          <w:tab w:val="left" w:pos="1021"/>
        </w:tabs>
        <w:rPr>
          <w:b/>
        </w:rPr>
      </w:pPr>
      <w:r>
        <w:rPr>
          <w:b/>
        </w:rPr>
        <w:t xml:space="preserve"> </w:t>
      </w:r>
      <w:r w:rsidR="00D66A33" w:rsidRPr="009045B4">
        <w:rPr>
          <w:b/>
        </w:rPr>
        <w:t>p o v e r u j e</w:t>
      </w:r>
    </w:p>
    <w:p w:rsidR="00D66A33" w:rsidRPr="009045B4" w:rsidRDefault="00D66A33" w:rsidP="00D66A33">
      <w:pPr>
        <w:pStyle w:val="Zkladntext"/>
        <w:tabs>
          <w:tab w:val="left" w:pos="993"/>
        </w:tabs>
      </w:pPr>
    </w:p>
    <w:p w:rsidR="00D415AE" w:rsidRPr="00B92C35" w:rsidRDefault="00D66A33" w:rsidP="00D415AE">
      <w:pPr>
        <w:pStyle w:val="Zkladntext"/>
        <w:tabs>
          <w:tab w:val="left" w:pos="1134"/>
          <w:tab w:val="left" w:pos="1276"/>
        </w:tabs>
      </w:pPr>
      <w:r>
        <w:tab/>
      </w:r>
      <w:r w:rsidR="00D415AE" w:rsidRPr="00B92C35">
        <w:t>predsedu výboru</w:t>
      </w:r>
      <w:r w:rsidR="00D415AE">
        <w:t>, aby spracoval výsledky rokovania Ústavnoprávneho výboru Národnej rady Slovenskej republiky z</w:t>
      </w:r>
      <w:r w:rsidR="009A578D">
        <w:t>o</w:t>
      </w:r>
      <w:r w:rsidR="00913ECD">
        <w:t xml:space="preserve"> </w:t>
      </w:r>
      <w:r w:rsidR="009A578D">
        <w:t>14</w:t>
      </w:r>
      <w:r w:rsidR="001C6D9C">
        <w:t>.</w:t>
      </w:r>
      <w:r w:rsidR="007720A6">
        <w:t xml:space="preserve"> decembra</w:t>
      </w:r>
      <w:r w:rsidR="00D415AE">
        <w:t xml:space="preserve"> 202</w:t>
      </w:r>
      <w:r w:rsidR="00913ECD">
        <w:t>1</w:t>
      </w:r>
      <w:r w:rsidR="00D415AE">
        <w:t xml:space="preserve"> do písomnej správy Ústavnoprávneho výboru </w:t>
      </w:r>
      <w:r w:rsidR="00D415AE" w:rsidRPr="00D95422">
        <w:t xml:space="preserve"> Národnej rady Slovenskej republiky a </w:t>
      </w:r>
      <w:r w:rsidR="00D415AE">
        <w:t> </w:t>
      </w:r>
      <w:r w:rsidR="00D415AE" w:rsidRPr="00D95422">
        <w:t xml:space="preserve">predložil ju na schválenie gestorskému výboru. </w:t>
      </w:r>
    </w:p>
    <w:p w:rsidR="00D66A33" w:rsidRDefault="00D66A33" w:rsidP="00D66A33">
      <w:pPr>
        <w:pStyle w:val="Zkladntext"/>
        <w:tabs>
          <w:tab w:val="left" w:pos="1021"/>
        </w:tabs>
      </w:pPr>
    </w:p>
    <w:p w:rsidR="00966104" w:rsidRDefault="00966104" w:rsidP="00D66A33">
      <w:pPr>
        <w:pStyle w:val="Zkladntext"/>
        <w:tabs>
          <w:tab w:val="left" w:pos="1021"/>
        </w:tabs>
      </w:pPr>
    </w:p>
    <w:p w:rsidR="00D25F6F" w:rsidRDefault="00D25F6F" w:rsidP="00D66A33">
      <w:pPr>
        <w:pStyle w:val="Zkladntext"/>
        <w:tabs>
          <w:tab w:val="left" w:pos="1021"/>
        </w:tabs>
      </w:pPr>
    </w:p>
    <w:p w:rsidR="00D66A33" w:rsidRPr="009045B4" w:rsidRDefault="00D66A33" w:rsidP="00D66A33">
      <w:pPr>
        <w:jc w:val="both"/>
      </w:pP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 xml:space="preserve">     </w:t>
      </w:r>
      <w:r>
        <w:t>Milan Vetrák</w:t>
      </w:r>
      <w:r w:rsidRPr="009045B4">
        <w:t xml:space="preserve"> </w:t>
      </w:r>
    </w:p>
    <w:p w:rsidR="00D66A33" w:rsidRPr="009045B4" w:rsidRDefault="00D66A33" w:rsidP="00D66A33">
      <w:pPr>
        <w:ind w:left="2124" w:firstLine="4989"/>
        <w:jc w:val="both"/>
      </w:pPr>
      <w:r w:rsidRPr="009045B4">
        <w:t xml:space="preserve">  predseda výboru</w:t>
      </w:r>
    </w:p>
    <w:p w:rsidR="00D66A33" w:rsidRDefault="00D66A33" w:rsidP="00D66A33">
      <w:pPr>
        <w:tabs>
          <w:tab w:val="left" w:pos="1021"/>
        </w:tabs>
        <w:jc w:val="both"/>
      </w:pPr>
      <w:r w:rsidRPr="009045B4">
        <w:t>overovatelia výboru:</w:t>
      </w:r>
    </w:p>
    <w:p w:rsidR="00D66A33" w:rsidRDefault="00D66A33" w:rsidP="00D66A33">
      <w:pPr>
        <w:tabs>
          <w:tab w:val="left" w:pos="1021"/>
        </w:tabs>
        <w:jc w:val="both"/>
      </w:pPr>
      <w:r>
        <w:t xml:space="preserve">Ondrej Dostál </w:t>
      </w:r>
    </w:p>
    <w:p w:rsidR="00111C66" w:rsidRDefault="00D66A33" w:rsidP="00D66A33">
      <w:pPr>
        <w:tabs>
          <w:tab w:val="left" w:pos="1021"/>
        </w:tabs>
        <w:jc w:val="both"/>
      </w:pPr>
      <w:r>
        <w:t xml:space="preserve">Matúš Šutaj Eštok </w:t>
      </w:r>
    </w:p>
    <w:p w:rsidR="00D25F6F" w:rsidRDefault="00D25F6F" w:rsidP="00D66A33">
      <w:pPr>
        <w:tabs>
          <w:tab w:val="left" w:pos="1021"/>
        </w:tabs>
        <w:jc w:val="both"/>
      </w:pPr>
    </w:p>
    <w:p w:rsidR="001C6D9C" w:rsidRPr="001A6FD1" w:rsidRDefault="001C6D9C" w:rsidP="001C6D9C">
      <w:pPr>
        <w:pStyle w:val="Nadpis2"/>
        <w:jc w:val="left"/>
      </w:pPr>
      <w:r w:rsidRPr="001A6FD1">
        <w:lastRenderedPageBreak/>
        <w:t>P r í l o h a</w:t>
      </w:r>
    </w:p>
    <w:p w:rsidR="001C6D9C" w:rsidRPr="001A6FD1" w:rsidRDefault="001C6D9C" w:rsidP="001C6D9C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C6D9C" w:rsidRPr="001A6FD1" w:rsidRDefault="001C6D9C" w:rsidP="001C6D9C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>
        <w:rPr>
          <w:b/>
        </w:rPr>
        <w:t>422</w:t>
      </w:r>
    </w:p>
    <w:p w:rsidR="001C6D9C" w:rsidRPr="001A6FD1" w:rsidRDefault="001C6D9C" w:rsidP="001C6D9C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>
        <w:rPr>
          <w:b/>
        </w:rPr>
        <w:t>o</w:t>
      </w:r>
      <w:r>
        <w:rPr>
          <w:b/>
        </w:rPr>
        <w:t> 1</w:t>
      </w:r>
      <w:r>
        <w:rPr>
          <w:b/>
        </w:rPr>
        <w:t>4</w:t>
      </w:r>
      <w:r>
        <w:rPr>
          <w:b/>
        </w:rPr>
        <w:t xml:space="preserve">. </w:t>
      </w:r>
      <w:r>
        <w:rPr>
          <w:b/>
        </w:rPr>
        <w:t>dec</w:t>
      </w:r>
      <w:r>
        <w:rPr>
          <w:b/>
        </w:rPr>
        <w:t>embra</w:t>
      </w:r>
      <w:r w:rsidRPr="001A6FD1">
        <w:rPr>
          <w:b/>
        </w:rPr>
        <w:t xml:space="preserve"> 2021</w:t>
      </w:r>
    </w:p>
    <w:p w:rsidR="001C6D9C" w:rsidRPr="001A6FD1" w:rsidRDefault="001C6D9C" w:rsidP="001C6D9C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____________________________</w:t>
      </w:r>
    </w:p>
    <w:p w:rsidR="001C6D9C" w:rsidRPr="001A6FD1" w:rsidRDefault="001C6D9C" w:rsidP="001C6D9C">
      <w:pPr>
        <w:jc w:val="center"/>
        <w:rPr>
          <w:lang w:eastAsia="en-US"/>
        </w:rPr>
      </w:pPr>
    </w:p>
    <w:p w:rsidR="001C6D9C" w:rsidRPr="001A6FD1" w:rsidRDefault="001C6D9C" w:rsidP="001C6D9C">
      <w:pPr>
        <w:rPr>
          <w:lang w:eastAsia="en-US"/>
        </w:rPr>
      </w:pPr>
    </w:p>
    <w:p w:rsidR="001C6D9C" w:rsidRPr="0000522D" w:rsidRDefault="001C6D9C" w:rsidP="001C6D9C">
      <w:pPr>
        <w:rPr>
          <w:lang w:eastAsia="en-US"/>
        </w:rPr>
      </w:pPr>
    </w:p>
    <w:p w:rsidR="001C6D9C" w:rsidRPr="0000522D" w:rsidRDefault="001C6D9C" w:rsidP="001C6D9C">
      <w:pPr>
        <w:pStyle w:val="Nadpis2"/>
        <w:ind w:left="0" w:firstLine="0"/>
        <w:jc w:val="center"/>
      </w:pPr>
      <w:r w:rsidRPr="0000522D">
        <w:t>Pozmeňujúce a doplňujúce návrhy</w:t>
      </w:r>
    </w:p>
    <w:p w:rsidR="001C6D9C" w:rsidRPr="0000522D" w:rsidRDefault="001C6D9C" w:rsidP="001C6D9C">
      <w:pPr>
        <w:tabs>
          <w:tab w:val="left" w:pos="1021"/>
        </w:tabs>
        <w:jc w:val="both"/>
      </w:pPr>
    </w:p>
    <w:p w:rsidR="001C6D9C" w:rsidRPr="001C6D9C" w:rsidRDefault="001C6D9C" w:rsidP="001C6D9C">
      <w:pPr>
        <w:pStyle w:val="Odsekzoznamu"/>
        <w:tabs>
          <w:tab w:val="left" w:pos="3828"/>
        </w:tabs>
        <w:spacing w:after="0" w:line="240" w:lineRule="auto"/>
        <w:ind w:left="0"/>
        <w:jc w:val="both"/>
        <w:rPr>
          <w:b/>
          <w:iCs/>
        </w:rPr>
      </w:pPr>
      <w:r w:rsidRPr="001C6D9C">
        <w:rPr>
          <w:b/>
          <w:iCs/>
        </w:rPr>
        <w:t>k vládnemu návrhu zákona, kt</w:t>
      </w:r>
      <w:r w:rsidRPr="001C6D9C">
        <w:rPr>
          <w:b/>
          <w:szCs w:val="24"/>
        </w:rPr>
        <w:t>orým sa dopĺňa zákon č. 513/1991 Zb. Obchodný zákonník v  znení neskorších predpisov (tlač 817)</w:t>
      </w:r>
    </w:p>
    <w:p w:rsidR="00D25F6F" w:rsidRDefault="001C6D9C" w:rsidP="001C6D9C">
      <w:pPr>
        <w:tabs>
          <w:tab w:val="left" w:pos="1021"/>
        </w:tabs>
        <w:jc w:val="both"/>
      </w:pPr>
      <w:r w:rsidRPr="00026256">
        <w:rPr>
          <w:b/>
          <w:bCs/>
        </w:rPr>
        <w:t>____________________________________________________________</w:t>
      </w:r>
      <w:r>
        <w:rPr>
          <w:b/>
          <w:bCs/>
        </w:rPr>
        <w:t>_______________</w:t>
      </w:r>
    </w:p>
    <w:p w:rsidR="00D25F6F" w:rsidRDefault="00D25F6F" w:rsidP="00D66A33">
      <w:pPr>
        <w:tabs>
          <w:tab w:val="left" w:pos="1021"/>
        </w:tabs>
        <w:jc w:val="both"/>
      </w:pPr>
    </w:p>
    <w:p w:rsidR="001C6D9C" w:rsidRPr="00D25F6F" w:rsidRDefault="001C6D9C" w:rsidP="00F0321C">
      <w:pPr>
        <w:pStyle w:val="Odsekzoznamu"/>
        <w:numPr>
          <w:ilvl w:val="0"/>
          <w:numId w:val="18"/>
        </w:numPr>
        <w:shd w:val="clear" w:color="auto" w:fill="FFFFFF"/>
        <w:spacing w:line="240" w:lineRule="auto"/>
        <w:ind w:left="284" w:hanging="284"/>
        <w:jc w:val="both"/>
        <w:outlineLvl w:val="1"/>
      </w:pPr>
      <w:bookmarkStart w:id="0" w:name="_GoBack"/>
      <w:bookmarkEnd w:id="0"/>
      <w:r w:rsidRPr="00D25F6F">
        <w:t xml:space="preserve">V čl. I v § 768t ods. 2 písm. c) a d) sa slová </w:t>
      </w:r>
      <w:r w:rsidRPr="001C6D9C">
        <w:rPr>
          <w:bCs/>
        </w:rPr>
        <w:t>„členom jej štatutárneho orgánu“ nahrádzajú slovami „osobou oprávnenou konať za spoločnosť“</w:t>
      </w:r>
      <w:r w:rsidRPr="00D25F6F">
        <w:t>.</w:t>
      </w:r>
    </w:p>
    <w:p w:rsidR="001C6D9C" w:rsidRPr="00D25F6F" w:rsidRDefault="001C6D9C" w:rsidP="00F0321C">
      <w:pPr>
        <w:shd w:val="clear" w:color="auto" w:fill="FFFFFF"/>
        <w:jc w:val="both"/>
        <w:rPr>
          <w:rFonts w:ascii="Calibri" w:eastAsia="Calibri" w:hAnsi="Calibri"/>
          <w:b/>
          <w:bCs/>
          <w:lang w:eastAsia="en-US"/>
        </w:rPr>
      </w:pPr>
    </w:p>
    <w:p w:rsidR="001C6D9C" w:rsidRPr="00D25F6F" w:rsidRDefault="001C6D9C" w:rsidP="00F0321C">
      <w:pPr>
        <w:ind w:left="3540"/>
        <w:jc w:val="both"/>
        <w:rPr>
          <w:rFonts w:eastAsia="Calibri"/>
          <w:iCs/>
          <w:lang w:eastAsia="en-US"/>
        </w:rPr>
      </w:pPr>
      <w:r w:rsidRPr="00D25F6F">
        <w:rPr>
          <w:rFonts w:eastAsia="Calibri"/>
          <w:iCs/>
          <w:lang w:eastAsia="en-US"/>
        </w:rPr>
        <w:t>Pojem „člen štatutárneho orgánu“ nevystihuje všetky možnosti postaveni</w:t>
      </w:r>
      <w:r>
        <w:rPr>
          <w:rFonts w:eastAsia="Calibri"/>
          <w:iCs/>
          <w:lang w:eastAsia="en-US"/>
        </w:rPr>
        <w:t xml:space="preserve">a a označenia osoby, ktorá koná </w:t>
      </w:r>
      <w:r w:rsidRPr="00D25F6F">
        <w:rPr>
          <w:rFonts w:eastAsia="Calibri"/>
          <w:iCs/>
          <w:lang w:eastAsia="en-US"/>
        </w:rPr>
        <w:t xml:space="preserve">za </w:t>
      </w:r>
      <w:r>
        <w:rPr>
          <w:rFonts w:eastAsia="Calibri"/>
          <w:iCs/>
          <w:lang w:eastAsia="en-US"/>
        </w:rPr>
        <w:t> </w:t>
      </w:r>
      <w:r w:rsidRPr="00D25F6F">
        <w:rPr>
          <w:rFonts w:eastAsia="Calibri"/>
          <w:iCs/>
          <w:lang w:eastAsia="en-US"/>
        </w:rPr>
        <w:t xml:space="preserve">spoločnosť, keď, napríklad, konateľ nie je členom štatutárneho orgánu, </w:t>
      </w:r>
      <w:r>
        <w:rPr>
          <w:rFonts w:eastAsia="Calibri"/>
          <w:iCs/>
          <w:lang w:eastAsia="en-US"/>
        </w:rPr>
        <w:t xml:space="preserve">ale sám je štatutárnym orgánom, </w:t>
      </w:r>
      <w:r w:rsidRPr="00D25F6F">
        <w:rPr>
          <w:rFonts w:eastAsia="Calibri"/>
          <w:iCs/>
          <w:lang w:eastAsia="en-US"/>
        </w:rPr>
        <w:t xml:space="preserve">a </w:t>
      </w:r>
      <w:r>
        <w:rPr>
          <w:rFonts w:eastAsia="Calibri"/>
          <w:iCs/>
          <w:lang w:eastAsia="en-US"/>
        </w:rPr>
        <w:t> </w:t>
      </w:r>
      <w:r w:rsidRPr="00D25F6F">
        <w:rPr>
          <w:rFonts w:eastAsia="Calibri"/>
          <w:iCs/>
          <w:lang w:eastAsia="en-US"/>
        </w:rPr>
        <w:t xml:space="preserve">Obchodný zákonník tiež pripúšťa aj ďalšie možnosti. Z toho dôvodu sa navrhuje, aby čestné vyhlásenia mohla podpísať osoba, ktorá bola ku dňu výmazu spoločnosti z obchodného registra oprávnená konať za spoločnosť.  </w:t>
      </w:r>
    </w:p>
    <w:p w:rsidR="001C6D9C" w:rsidRDefault="001C6D9C" w:rsidP="001C6D9C">
      <w:pPr>
        <w:pStyle w:val="Bezriadkovania"/>
      </w:pPr>
    </w:p>
    <w:p w:rsidR="00F0321C" w:rsidRPr="00F0321C" w:rsidRDefault="00F0321C" w:rsidP="00F0321C">
      <w:pPr>
        <w:pStyle w:val="Odsekzoznamu"/>
        <w:numPr>
          <w:ilvl w:val="0"/>
          <w:numId w:val="18"/>
        </w:numPr>
        <w:ind w:left="284" w:hanging="284"/>
        <w:jc w:val="both"/>
      </w:pPr>
      <w:r w:rsidRPr="00F0321C">
        <w:t>V čl. I sa § 786t dopĺňa odsekom 7, ktorý znie:</w:t>
      </w:r>
    </w:p>
    <w:p w:rsidR="00F0321C" w:rsidRDefault="00F0321C" w:rsidP="00F0321C">
      <w:pPr>
        <w:jc w:val="both"/>
      </w:pPr>
      <w:r>
        <w:t xml:space="preserve">„(7) </w:t>
      </w:r>
      <w:r w:rsidRPr="002A0E45">
        <w:t>Počas obdobia od výmazu spoločnosti do obnovenia jej zápisu v obchodnom registri sa plynutie lehôt podľa osobitných p</w:t>
      </w:r>
      <w:r>
        <w:t xml:space="preserve">redpisov považuje za prerušené. </w:t>
      </w:r>
      <w:r w:rsidRPr="002A0E45">
        <w:t>Povinnosti podľa pred</w:t>
      </w:r>
      <w:r>
        <w:t xml:space="preserve">pisov verejného práva, ktoré sa mali plniť, </w:t>
      </w:r>
      <w:r w:rsidRPr="002A0E45">
        <w:t xml:space="preserve">a práva podľa </w:t>
      </w:r>
      <w:r>
        <w:t>predpisov verejného práva</w:t>
      </w:r>
      <w:r w:rsidRPr="002A0E45">
        <w:t xml:space="preserve">, ktoré sa mohli uplatniť počas obdobia od výmazu spoločnosti do obnovenia jej zápisu, </w:t>
      </w:r>
      <w:r w:rsidRPr="00675A68">
        <w:t xml:space="preserve">sa musia dodatočne splniť alebo sa môžu dodatočne uplatniť do </w:t>
      </w:r>
      <w:r>
        <w:t>30</w:t>
      </w:r>
      <w:r w:rsidRPr="00675A68">
        <w:t xml:space="preserve"> dní po obnovení zápisu v obchodnom registri.</w:t>
      </w:r>
      <w:r w:rsidRPr="002A0E45">
        <w:t xml:space="preserve"> Na účinky alebo následky, ktoré osobitné predpisy spájajú so zánikom spoločnosti, sa hľadí ako by nenastali, ak dôjde k</w:t>
      </w:r>
      <w:r>
        <w:t xml:space="preserve"> obnoveniu </w:t>
      </w:r>
      <w:r w:rsidRPr="002A0E45">
        <w:t>jej zápisu v obchodnom registri.“.</w:t>
      </w:r>
    </w:p>
    <w:p w:rsidR="00F0321C" w:rsidRPr="00F0321C" w:rsidRDefault="00F0321C" w:rsidP="00F0321C">
      <w:pPr>
        <w:jc w:val="both"/>
      </w:pPr>
    </w:p>
    <w:p w:rsidR="00F0321C" w:rsidRPr="00F0321C" w:rsidRDefault="00F0321C" w:rsidP="00F0321C">
      <w:pPr>
        <w:ind w:left="3540" w:hanging="3540"/>
        <w:jc w:val="both"/>
      </w:pPr>
      <w:r w:rsidRPr="00F0321C">
        <w:tab/>
        <w:t xml:space="preserve">Cieľom pozmeňujúceho návrhu je riešenie vplyvu právnej úpravy obnovenia zápisu spoločnosti v obchodnom registri na uplatňovanie práv a plnenie povinností vyplývajúcich z hmotnoprávnej a procesnoprávnej úpravy osobitných predpisov, či už súkromnoprávnej alebo verejnoprávnej povahy. Na tento účel sa prerušuje plynutie lehôt, určuje sa dodatočná lehota na uplatňovanie práv a plnenie povinnosti v oblasti verejného práva (daňové predpisy, predpisy sociálneho zabezpečenia a pod.) a ustanovuje sa, že na zánik spoločnosti, ktorej zápis bol obnovený sa nebude prihliadať (napr. v rámci správy daní, v rámci súdneho alebo iného konania, ale aj v rámci súkromnoprávnych vzťahov).    </w:t>
      </w:r>
    </w:p>
    <w:p w:rsidR="00F0321C" w:rsidRPr="00F0321C" w:rsidRDefault="00F0321C" w:rsidP="00F0321C">
      <w:pPr>
        <w:jc w:val="both"/>
      </w:pPr>
    </w:p>
    <w:p w:rsidR="00D25F6F" w:rsidRPr="00F0321C" w:rsidRDefault="00D25F6F" w:rsidP="00D66A33">
      <w:pPr>
        <w:tabs>
          <w:tab w:val="left" w:pos="1021"/>
        </w:tabs>
        <w:jc w:val="both"/>
      </w:pPr>
    </w:p>
    <w:p w:rsidR="00D25F6F" w:rsidRPr="00F0321C" w:rsidRDefault="00D25F6F" w:rsidP="00D66A33">
      <w:pPr>
        <w:tabs>
          <w:tab w:val="left" w:pos="1021"/>
        </w:tabs>
        <w:jc w:val="both"/>
      </w:pPr>
    </w:p>
    <w:p w:rsidR="00D25F6F" w:rsidRPr="00F0321C" w:rsidRDefault="00D25F6F" w:rsidP="00D66A33">
      <w:pPr>
        <w:tabs>
          <w:tab w:val="left" w:pos="1021"/>
        </w:tabs>
        <w:jc w:val="both"/>
      </w:pPr>
    </w:p>
    <w:p w:rsidR="007720A6" w:rsidRPr="00F0321C" w:rsidRDefault="007720A6" w:rsidP="00D66A33">
      <w:pPr>
        <w:tabs>
          <w:tab w:val="left" w:pos="1021"/>
        </w:tabs>
        <w:jc w:val="both"/>
      </w:pPr>
    </w:p>
    <w:sectPr w:rsidR="007720A6" w:rsidRPr="00F0321C" w:rsidSect="00637DF8">
      <w:footerReference w:type="even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F1" w:rsidRDefault="006564F1">
      <w:r>
        <w:separator/>
      </w:r>
    </w:p>
  </w:endnote>
  <w:endnote w:type="continuationSeparator" w:id="0">
    <w:p w:rsidR="006564F1" w:rsidRDefault="006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A" w:rsidRDefault="0064773A" w:rsidP="00865CD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3A" w:rsidRDefault="006477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F1" w:rsidRDefault="006564F1">
      <w:r>
        <w:separator/>
      </w:r>
    </w:p>
  </w:footnote>
  <w:footnote w:type="continuationSeparator" w:id="0">
    <w:p w:rsidR="006564F1" w:rsidRDefault="0065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8F4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FA38D07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B7A02"/>
    <w:multiLevelType w:val="hybridMultilevel"/>
    <w:tmpl w:val="D8CCAD1E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AC0"/>
    <w:multiLevelType w:val="hybridMultilevel"/>
    <w:tmpl w:val="2A461F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15B3"/>
    <w:multiLevelType w:val="hybridMultilevel"/>
    <w:tmpl w:val="0DE2163C"/>
    <w:lvl w:ilvl="0" w:tplc="9F642626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C593749"/>
    <w:multiLevelType w:val="hybridMultilevel"/>
    <w:tmpl w:val="F04654D6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6410"/>
    <w:multiLevelType w:val="hybridMultilevel"/>
    <w:tmpl w:val="CDF4A606"/>
    <w:lvl w:ilvl="0" w:tplc="7F9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9573CD"/>
    <w:multiLevelType w:val="hybridMultilevel"/>
    <w:tmpl w:val="84204060"/>
    <w:lvl w:ilvl="0" w:tplc="DFA8D9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643A7"/>
    <w:multiLevelType w:val="hybridMultilevel"/>
    <w:tmpl w:val="58B800A0"/>
    <w:lvl w:ilvl="0" w:tplc="AA2AB73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F09EA"/>
    <w:multiLevelType w:val="hybridMultilevel"/>
    <w:tmpl w:val="86F6F5EC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290E"/>
    <w:multiLevelType w:val="hybridMultilevel"/>
    <w:tmpl w:val="68D64C10"/>
    <w:lvl w:ilvl="0" w:tplc="7D7C69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B5B78"/>
    <w:multiLevelType w:val="hybridMultilevel"/>
    <w:tmpl w:val="747E87B4"/>
    <w:lvl w:ilvl="0" w:tplc="92C28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C2B04"/>
    <w:multiLevelType w:val="hybridMultilevel"/>
    <w:tmpl w:val="CB7CE360"/>
    <w:lvl w:ilvl="0" w:tplc="2836F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55A3C"/>
    <w:multiLevelType w:val="hybridMultilevel"/>
    <w:tmpl w:val="21B69F06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54F"/>
    <w:multiLevelType w:val="hybridMultilevel"/>
    <w:tmpl w:val="FF527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F10AD"/>
    <w:multiLevelType w:val="hybridMultilevel"/>
    <w:tmpl w:val="96AA70EA"/>
    <w:lvl w:ilvl="0" w:tplc="DF7898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1B12"/>
    <w:multiLevelType w:val="hybridMultilevel"/>
    <w:tmpl w:val="57524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8"/>
    <w:rsid w:val="00004748"/>
    <w:rsid w:val="00030E62"/>
    <w:rsid w:val="0004513B"/>
    <w:rsid w:val="00093D07"/>
    <w:rsid w:val="000B73E7"/>
    <w:rsid w:val="000D2092"/>
    <w:rsid w:val="000D4C2E"/>
    <w:rsid w:val="000E7715"/>
    <w:rsid w:val="0010783E"/>
    <w:rsid w:val="00111C66"/>
    <w:rsid w:val="001130B2"/>
    <w:rsid w:val="00116B81"/>
    <w:rsid w:val="00130381"/>
    <w:rsid w:val="0014227E"/>
    <w:rsid w:val="0015643A"/>
    <w:rsid w:val="001569BF"/>
    <w:rsid w:val="001A13B1"/>
    <w:rsid w:val="001A6D26"/>
    <w:rsid w:val="001C6D9C"/>
    <w:rsid w:val="001E366C"/>
    <w:rsid w:val="001E49A5"/>
    <w:rsid w:val="001E4AAE"/>
    <w:rsid w:val="001F2DCB"/>
    <w:rsid w:val="001F383C"/>
    <w:rsid w:val="001F579D"/>
    <w:rsid w:val="001F6E96"/>
    <w:rsid w:val="00207D73"/>
    <w:rsid w:val="0021526E"/>
    <w:rsid w:val="00222F60"/>
    <w:rsid w:val="00240CF3"/>
    <w:rsid w:val="00243B01"/>
    <w:rsid w:val="002810A1"/>
    <w:rsid w:val="00285159"/>
    <w:rsid w:val="00293817"/>
    <w:rsid w:val="00293ACE"/>
    <w:rsid w:val="002B18BA"/>
    <w:rsid w:val="002B3C7A"/>
    <w:rsid w:val="002C5DF8"/>
    <w:rsid w:val="002D165E"/>
    <w:rsid w:val="002D3B1F"/>
    <w:rsid w:val="002E1706"/>
    <w:rsid w:val="002F5FD3"/>
    <w:rsid w:val="00303614"/>
    <w:rsid w:val="003135EB"/>
    <w:rsid w:val="00317781"/>
    <w:rsid w:val="00327999"/>
    <w:rsid w:val="00347724"/>
    <w:rsid w:val="00374BDA"/>
    <w:rsid w:val="003759DD"/>
    <w:rsid w:val="00375A72"/>
    <w:rsid w:val="0038515B"/>
    <w:rsid w:val="00386916"/>
    <w:rsid w:val="00386C68"/>
    <w:rsid w:val="003966F5"/>
    <w:rsid w:val="003A6E13"/>
    <w:rsid w:val="003C452E"/>
    <w:rsid w:val="003E532E"/>
    <w:rsid w:val="003F5957"/>
    <w:rsid w:val="00403B1B"/>
    <w:rsid w:val="00407E15"/>
    <w:rsid w:val="00422C76"/>
    <w:rsid w:val="00423B60"/>
    <w:rsid w:val="00425790"/>
    <w:rsid w:val="00426BFC"/>
    <w:rsid w:val="00442C6F"/>
    <w:rsid w:val="004472CF"/>
    <w:rsid w:val="004543D4"/>
    <w:rsid w:val="00494528"/>
    <w:rsid w:val="004A12AC"/>
    <w:rsid w:val="004E21FB"/>
    <w:rsid w:val="004E5614"/>
    <w:rsid w:val="004E707C"/>
    <w:rsid w:val="00504001"/>
    <w:rsid w:val="00510630"/>
    <w:rsid w:val="00510F59"/>
    <w:rsid w:val="00515C42"/>
    <w:rsid w:val="0052385D"/>
    <w:rsid w:val="005241BE"/>
    <w:rsid w:val="00537874"/>
    <w:rsid w:val="0054065F"/>
    <w:rsid w:val="00540703"/>
    <w:rsid w:val="00556B78"/>
    <w:rsid w:val="00572BAD"/>
    <w:rsid w:val="0058189C"/>
    <w:rsid w:val="005D5154"/>
    <w:rsid w:val="005E21FD"/>
    <w:rsid w:val="005E644C"/>
    <w:rsid w:val="005E72DB"/>
    <w:rsid w:val="0060200A"/>
    <w:rsid w:val="00624355"/>
    <w:rsid w:val="006309B0"/>
    <w:rsid w:val="006336A7"/>
    <w:rsid w:val="00637DF8"/>
    <w:rsid w:val="0064773A"/>
    <w:rsid w:val="006514D1"/>
    <w:rsid w:val="006564F1"/>
    <w:rsid w:val="00656D33"/>
    <w:rsid w:val="00667444"/>
    <w:rsid w:val="0067343F"/>
    <w:rsid w:val="00681734"/>
    <w:rsid w:val="00694EBE"/>
    <w:rsid w:val="006B052A"/>
    <w:rsid w:val="006B2FC9"/>
    <w:rsid w:val="006B36A2"/>
    <w:rsid w:val="006D3B07"/>
    <w:rsid w:val="006D6B39"/>
    <w:rsid w:val="006D7A86"/>
    <w:rsid w:val="006E4FE4"/>
    <w:rsid w:val="006E53A7"/>
    <w:rsid w:val="006F2697"/>
    <w:rsid w:val="00712280"/>
    <w:rsid w:val="00740B14"/>
    <w:rsid w:val="0074614D"/>
    <w:rsid w:val="00751E20"/>
    <w:rsid w:val="007720A6"/>
    <w:rsid w:val="0079216B"/>
    <w:rsid w:val="007A7A81"/>
    <w:rsid w:val="007C1B8A"/>
    <w:rsid w:val="007E77FA"/>
    <w:rsid w:val="00807221"/>
    <w:rsid w:val="00807362"/>
    <w:rsid w:val="008200EF"/>
    <w:rsid w:val="00836C1A"/>
    <w:rsid w:val="0085452D"/>
    <w:rsid w:val="008564C9"/>
    <w:rsid w:val="00865CDC"/>
    <w:rsid w:val="008665BB"/>
    <w:rsid w:val="008668E2"/>
    <w:rsid w:val="00875B62"/>
    <w:rsid w:val="00892C05"/>
    <w:rsid w:val="008A3B23"/>
    <w:rsid w:val="008D5B8E"/>
    <w:rsid w:val="008D5F09"/>
    <w:rsid w:val="008E1FA1"/>
    <w:rsid w:val="008E366E"/>
    <w:rsid w:val="008E41FA"/>
    <w:rsid w:val="008F21ED"/>
    <w:rsid w:val="008F493E"/>
    <w:rsid w:val="009045B4"/>
    <w:rsid w:val="00910CF2"/>
    <w:rsid w:val="00913ECD"/>
    <w:rsid w:val="009157A2"/>
    <w:rsid w:val="0091657C"/>
    <w:rsid w:val="00941CA7"/>
    <w:rsid w:val="00952B62"/>
    <w:rsid w:val="00966104"/>
    <w:rsid w:val="00990937"/>
    <w:rsid w:val="009921BD"/>
    <w:rsid w:val="009A578D"/>
    <w:rsid w:val="009A659D"/>
    <w:rsid w:val="009A7C48"/>
    <w:rsid w:val="009B7180"/>
    <w:rsid w:val="009C4193"/>
    <w:rsid w:val="009D78BB"/>
    <w:rsid w:val="009F0200"/>
    <w:rsid w:val="009F2819"/>
    <w:rsid w:val="009F421E"/>
    <w:rsid w:val="00A02C33"/>
    <w:rsid w:val="00A12642"/>
    <w:rsid w:val="00A16AF9"/>
    <w:rsid w:val="00A22088"/>
    <w:rsid w:val="00A23A15"/>
    <w:rsid w:val="00A63BDB"/>
    <w:rsid w:val="00A70B64"/>
    <w:rsid w:val="00AA1B07"/>
    <w:rsid w:val="00AA6C59"/>
    <w:rsid w:val="00AC204D"/>
    <w:rsid w:val="00AD06C5"/>
    <w:rsid w:val="00AE61CA"/>
    <w:rsid w:val="00AE7A36"/>
    <w:rsid w:val="00B32ED7"/>
    <w:rsid w:val="00B34481"/>
    <w:rsid w:val="00B402D5"/>
    <w:rsid w:val="00B46153"/>
    <w:rsid w:val="00B51680"/>
    <w:rsid w:val="00B54532"/>
    <w:rsid w:val="00B56F02"/>
    <w:rsid w:val="00B662FB"/>
    <w:rsid w:val="00B80D07"/>
    <w:rsid w:val="00B8125B"/>
    <w:rsid w:val="00B9054D"/>
    <w:rsid w:val="00B91328"/>
    <w:rsid w:val="00B9404C"/>
    <w:rsid w:val="00B94757"/>
    <w:rsid w:val="00B968D5"/>
    <w:rsid w:val="00B9797E"/>
    <w:rsid w:val="00BA6FE1"/>
    <w:rsid w:val="00BB0199"/>
    <w:rsid w:val="00BC0F35"/>
    <w:rsid w:val="00BC3F88"/>
    <w:rsid w:val="00BD6128"/>
    <w:rsid w:val="00BD63E7"/>
    <w:rsid w:val="00BE0A11"/>
    <w:rsid w:val="00BF3304"/>
    <w:rsid w:val="00C060EC"/>
    <w:rsid w:val="00C31BC4"/>
    <w:rsid w:val="00C36E2E"/>
    <w:rsid w:val="00C529AA"/>
    <w:rsid w:val="00C82D12"/>
    <w:rsid w:val="00C96E2B"/>
    <w:rsid w:val="00CD16BF"/>
    <w:rsid w:val="00CE17CB"/>
    <w:rsid w:val="00D01A1D"/>
    <w:rsid w:val="00D074F7"/>
    <w:rsid w:val="00D159A2"/>
    <w:rsid w:val="00D25F6F"/>
    <w:rsid w:val="00D27599"/>
    <w:rsid w:val="00D415AE"/>
    <w:rsid w:val="00D52A6B"/>
    <w:rsid w:val="00D56A05"/>
    <w:rsid w:val="00D66A33"/>
    <w:rsid w:val="00D92373"/>
    <w:rsid w:val="00DB5889"/>
    <w:rsid w:val="00DC19BE"/>
    <w:rsid w:val="00DF055C"/>
    <w:rsid w:val="00E03758"/>
    <w:rsid w:val="00E051EF"/>
    <w:rsid w:val="00E17370"/>
    <w:rsid w:val="00E220FD"/>
    <w:rsid w:val="00E37484"/>
    <w:rsid w:val="00E41FA4"/>
    <w:rsid w:val="00E4253C"/>
    <w:rsid w:val="00E439C8"/>
    <w:rsid w:val="00E44075"/>
    <w:rsid w:val="00E514C6"/>
    <w:rsid w:val="00E635B1"/>
    <w:rsid w:val="00E67782"/>
    <w:rsid w:val="00E67D2D"/>
    <w:rsid w:val="00E7418F"/>
    <w:rsid w:val="00E77BEB"/>
    <w:rsid w:val="00E92908"/>
    <w:rsid w:val="00EB2D02"/>
    <w:rsid w:val="00EC611E"/>
    <w:rsid w:val="00ED3B7B"/>
    <w:rsid w:val="00ED4D19"/>
    <w:rsid w:val="00EF40DE"/>
    <w:rsid w:val="00F0083A"/>
    <w:rsid w:val="00F01C05"/>
    <w:rsid w:val="00F0321C"/>
    <w:rsid w:val="00F10613"/>
    <w:rsid w:val="00F167B1"/>
    <w:rsid w:val="00F201C1"/>
    <w:rsid w:val="00F2595A"/>
    <w:rsid w:val="00F371FD"/>
    <w:rsid w:val="00F46C5E"/>
    <w:rsid w:val="00F50B59"/>
    <w:rsid w:val="00F5485B"/>
    <w:rsid w:val="00F57D2A"/>
    <w:rsid w:val="00F6710B"/>
    <w:rsid w:val="00F763B5"/>
    <w:rsid w:val="00F773F0"/>
    <w:rsid w:val="00F85B0D"/>
    <w:rsid w:val="00F93A9A"/>
    <w:rsid w:val="00FA400F"/>
    <w:rsid w:val="00FA6A82"/>
    <w:rsid w:val="00FB62C1"/>
    <w:rsid w:val="00FC5788"/>
    <w:rsid w:val="00FE436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AC5F2"/>
  <w15:chartTrackingRefBased/>
  <w15:docId w15:val="{977646F9-E5B3-417C-9C13-EC1AB11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link w:val="Nadpis2Char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Nadpis3">
    <w:name w:val="heading 3"/>
    <w:basedOn w:val="Normlny"/>
    <w:next w:val="Normlny"/>
    <w:qFormat/>
    <w:pPr>
      <w:keepNext/>
      <w:ind w:left="2880" w:hanging="2880"/>
      <w:outlineLvl w:val="2"/>
    </w:pPr>
    <w:rPr>
      <w:u w:val="single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kurz">
    <w:name w:val="kurz"/>
    <w:basedOn w:val="Normlny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arkazkladnhotextu">
    <w:name w:val="Body Text Indent"/>
    <w:basedOn w:val="Normlny"/>
    <w:link w:val="ZarkazkladnhotextuChar"/>
    <w:pPr>
      <w:ind w:left="5040"/>
      <w:jc w:val="both"/>
    </w:pPr>
    <w:rPr>
      <w:b/>
      <w:bCs/>
      <w:lang w:val="en-US" w:eastAsia="en-US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cs-CZ"/>
    </w:rPr>
  </w:style>
  <w:style w:type="paragraph" w:styleId="Zarkazkladnhotextu3">
    <w:name w:val="Body Text Indent 3"/>
    <w:basedOn w:val="Normlny"/>
    <w:pPr>
      <w:ind w:left="2880" w:hanging="2880"/>
    </w:pPr>
  </w:style>
  <w:style w:type="paragraph" w:customStyle="1" w:styleId="TxBrp1">
    <w:name w:val="TxBr_p1"/>
    <w:basedOn w:val="Normlny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3">
    <w:name w:val="Body Text 3"/>
    <w:basedOn w:val="Normlny"/>
    <w:rsid w:val="00E4253C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rsid w:val="00E03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03758"/>
    <w:rPr>
      <w:sz w:val="24"/>
      <w:szCs w:val="24"/>
    </w:rPr>
  </w:style>
  <w:style w:type="paragraph" w:styleId="Textbubliny">
    <w:name w:val="Balloon Text"/>
    <w:basedOn w:val="Normlny"/>
    <w:link w:val="TextbublinyChar"/>
    <w:rsid w:val="00327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799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0A11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TxBrp9">
    <w:name w:val="TxBr_p9"/>
    <w:basedOn w:val="Normlny"/>
    <w:rsid w:val="00407E1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rsid w:val="00D66A33"/>
    <w:rPr>
      <w:rFonts w:eastAsia="Arial Unicode MS"/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D66A33"/>
    <w:rPr>
      <w:sz w:val="24"/>
      <w:szCs w:val="24"/>
    </w:rPr>
  </w:style>
  <w:style w:type="paragraph" w:styleId="Bezriadkovania">
    <w:name w:val="No Spacing"/>
    <w:uiPriority w:val="1"/>
    <w:qFormat/>
    <w:rsid w:val="00D66A33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B8125B"/>
    <w:rPr>
      <w:rFonts w:eastAsia="Arial Unicode MS"/>
      <w:b/>
      <w:bCs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B8125B"/>
    <w:rPr>
      <w:b/>
      <w:bCs/>
      <w:sz w:val="24"/>
      <w:szCs w:val="24"/>
      <w:lang w:val="en-US" w:eastAsia="en-US"/>
    </w:rPr>
  </w:style>
  <w:style w:type="paragraph" w:customStyle="1" w:styleId="51Abs">
    <w:name w:val="51_Abs"/>
    <w:basedOn w:val="Normlny"/>
    <w:qFormat/>
    <w:rsid w:val="00540703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7720A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skrátení volebného obdobia</vt:lpstr>
    </vt:vector>
  </TitlesOfParts>
  <Manager>Magdaléna Šuchaňová</Manager>
  <Company>Kancelária NR SR, ÚPV NR SR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44, 13.10.2011</dc:subject>
  <dc:creator>Viera Ebringerová</dc:creator>
  <cp:keywords>Uznesenie 318 tlač 532</cp:keywords>
  <dc:description>návrh vlády na skrátené legislatívne konanie o vládnom návrhu ústavného zákona</dc:description>
  <cp:lastModifiedBy>Ebringerová, Viera</cp:lastModifiedBy>
  <cp:revision>82</cp:revision>
  <cp:lastPrinted>2021-12-10T16:45:00Z</cp:lastPrinted>
  <dcterms:created xsi:type="dcterms:W3CDTF">2020-03-24T08:20:00Z</dcterms:created>
  <dcterms:modified xsi:type="dcterms:W3CDTF">2021-12-14T08:54:00Z</dcterms:modified>
  <cp:category>uznesenie výboru</cp:category>
</cp:coreProperties>
</file>