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0B438" w14:textId="77777777" w:rsidR="002C5F7A" w:rsidRPr="000E33A0" w:rsidRDefault="002C5F7A" w:rsidP="002C5F7A">
      <w:pPr>
        <w:widowControl w:val="0"/>
        <w:jc w:val="center"/>
        <w:outlineLvl w:val="0"/>
        <w:rPr>
          <w:rFonts w:eastAsia="Times New Roman" w:cs="Times New Roman"/>
          <w:b/>
          <w:caps/>
          <w:szCs w:val="24"/>
        </w:rPr>
      </w:pPr>
      <w:r w:rsidRPr="000E33A0">
        <w:rPr>
          <w:rFonts w:eastAsia="Times New Roman" w:cs="Times New Roman"/>
          <w:b/>
          <w:caps/>
          <w:szCs w:val="24"/>
        </w:rPr>
        <w:t>Dôvodová správa</w:t>
      </w:r>
    </w:p>
    <w:p w14:paraId="7C3E7E4A" w14:textId="77777777" w:rsidR="002C5F7A" w:rsidRPr="000E33A0" w:rsidRDefault="002C5F7A" w:rsidP="002C5F7A">
      <w:pPr>
        <w:widowControl w:val="0"/>
        <w:outlineLvl w:val="0"/>
        <w:rPr>
          <w:rFonts w:eastAsia="Times New Roman" w:cs="Times New Roman"/>
          <w:szCs w:val="24"/>
        </w:rPr>
      </w:pPr>
    </w:p>
    <w:p w14:paraId="047FD4B2" w14:textId="77777777" w:rsidR="002C5F7A" w:rsidRPr="000E33A0" w:rsidRDefault="002C5F7A" w:rsidP="002C5F7A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t>Všeobecná časť</w:t>
      </w:r>
    </w:p>
    <w:p w14:paraId="370F7539" w14:textId="77777777" w:rsidR="002C5F7A" w:rsidRPr="000E33A0" w:rsidRDefault="002C5F7A" w:rsidP="002C5F7A">
      <w:pPr>
        <w:jc w:val="both"/>
        <w:rPr>
          <w:rFonts w:eastAsia="Times New Roman" w:cs="Times New Roman"/>
          <w:szCs w:val="24"/>
        </w:rPr>
      </w:pPr>
    </w:p>
    <w:p w14:paraId="3C49C8CD" w14:textId="77777777" w:rsidR="000A1EA7" w:rsidRPr="000E33A0" w:rsidRDefault="000A1EA7" w:rsidP="000A1EA7">
      <w:pPr>
        <w:ind w:firstLine="708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Návrh zákona</w:t>
      </w:r>
      <w:r>
        <w:rPr>
          <w:rFonts w:eastAsia="Times New Roman" w:cs="Times New Roman"/>
          <w:szCs w:val="24"/>
        </w:rPr>
        <w:t>,</w:t>
      </w:r>
      <w:r w:rsidRPr="000E33A0">
        <w:rPr>
          <w:rFonts w:eastAsia="Times New Roman" w:cs="Times New Roman"/>
          <w:szCs w:val="24"/>
        </w:rPr>
        <w:t xml:space="preserve"> </w:t>
      </w:r>
      <w:r w:rsidRPr="00390623">
        <w:rPr>
          <w:rFonts w:eastAsia="Times New Roman" w:cs="Times New Roman"/>
          <w:szCs w:val="24"/>
        </w:rPr>
        <w:t xml:space="preserve">ktorým sa </w:t>
      </w:r>
      <w:r>
        <w:rPr>
          <w:rFonts w:eastAsia="Times New Roman" w:cs="Times New Roman"/>
          <w:szCs w:val="24"/>
        </w:rPr>
        <w:t>mení</w:t>
      </w:r>
      <w:r w:rsidRPr="00390623">
        <w:rPr>
          <w:rFonts w:eastAsia="Times New Roman" w:cs="Times New Roman"/>
          <w:szCs w:val="24"/>
        </w:rPr>
        <w:t xml:space="preserve"> zákon č. 213/2019 Z. z. o odplatách a o poskytovaní príspevku v civilnom letectve a o zmene a doplnení niektorých zákonov v znení neskorších predpisov </w:t>
      </w:r>
      <w:r w:rsidRPr="000E33A0">
        <w:rPr>
          <w:rFonts w:eastAsia="Times New Roman" w:cs="Times New Roman"/>
          <w:szCs w:val="24"/>
        </w:rPr>
        <w:t>(ďalej len ,,návrh zákona“) vypracovalo Ministerstvo dopravy a výstavby Slovenskej republiky (ďalej len „ministerstvo“) ako iniciatívny materiál.</w:t>
      </w:r>
    </w:p>
    <w:p w14:paraId="75A9373D" w14:textId="77777777" w:rsidR="000A1EA7" w:rsidRPr="000E33A0" w:rsidRDefault="000A1EA7" w:rsidP="000A1EA7">
      <w:pPr>
        <w:jc w:val="both"/>
        <w:rPr>
          <w:rFonts w:eastAsia="Times New Roman" w:cs="Times New Roman"/>
          <w:szCs w:val="24"/>
        </w:rPr>
      </w:pPr>
    </w:p>
    <w:p w14:paraId="77B90609" w14:textId="77777777" w:rsidR="000A1EA7" w:rsidRPr="00C26E08" w:rsidRDefault="000A1EA7" w:rsidP="000A1EA7">
      <w:pPr>
        <w:jc w:val="both"/>
        <w:rPr>
          <w:rFonts w:eastAsia="Times New Roman" w:cs="Times New Roman"/>
          <w:szCs w:val="24"/>
        </w:rPr>
      </w:pPr>
    </w:p>
    <w:p w14:paraId="1029703F" w14:textId="77777777" w:rsidR="000A1EA7" w:rsidRDefault="000A1EA7" w:rsidP="000A1EA7">
      <w:pPr>
        <w:ind w:firstLine="708"/>
        <w:jc w:val="both"/>
        <w:rPr>
          <w:rFonts w:cs="Times New Roman"/>
          <w:szCs w:val="24"/>
        </w:rPr>
      </w:pPr>
      <w:r w:rsidRPr="003007D7">
        <w:rPr>
          <w:rFonts w:cs="Times New Roman"/>
          <w:szCs w:val="24"/>
        </w:rPr>
        <w:t xml:space="preserve">Vzhľadom na naliehavý verejný záujem spočívajúci v ochrane zdravia ľudí na území Slovenskej republiky a v snahe zamedziť šíreniu nákazlivého prenosného ochorenia COVID-19, zohľadňujúc závery zo zasadnutia ústredného krízového štábu, ktorý sa konal dňa 12. marca 2020 vo veci opatrení na predchádzanie šírenia prenosného ochorenia COVID-19 a možným ohrozením verejného zdravia na území Slovenskej republiky a uznesenie vlády Slovenskej republiky č. 111/2020, bol s účinnosťou od 13. marca 2020 od 07:00 hod. miestneho času vyhlasovaný zákaz vykonávania určených civilných letov s miestom vzletu na území iného štátu a s miestom pristátia na území Slovenskej republiky. </w:t>
      </w:r>
      <w:r w:rsidRPr="0044351D">
        <w:rPr>
          <w:rFonts w:cs="Times New Roman"/>
          <w:szCs w:val="24"/>
        </w:rPr>
        <w:t xml:space="preserve">Aj napriek zrušeniu zákazu vykonávania určených civilných letov </w:t>
      </w:r>
      <w:r>
        <w:rPr>
          <w:rFonts w:cs="Times New Roman"/>
          <w:szCs w:val="24"/>
        </w:rPr>
        <w:t>k </w:t>
      </w:r>
      <w:r w:rsidRPr="0044351D">
        <w:rPr>
          <w:rFonts w:cs="Times New Roman"/>
          <w:szCs w:val="24"/>
        </w:rPr>
        <w:t>7. </w:t>
      </w:r>
      <w:r>
        <w:rPr>
          <w:rFonts w:cs="Times New Roman"/>
          <w:szCs w:val="24"/>
        </w:rPr>
        <w:t xml:space="preserve">septembru </w:t>
      </w:r>
      <w:r w:rsidRPr="0044351D">
        <w:rPr>
          <w:rFonts w:cs="Times New Roman"/>
          <w:szCs w:val="24"/>
        </w:rPr>
        <w:t xml:space="preserve">2020 sa </w:t>
      </w:r>
      <w:r>
        <w:rPr>
          <w:rFonts w:cs="Times New Roman"/>
          <w:szCs w:val="24"/>
        </w:rPr>
        <w:t xml:space="preserve">vo všeobecnosti </w:t>
      </w:r>
      <w:r w:rsidRPr="0044351D">
        <w:rPr>
          <w:rFonts w:cs="Times New Roman"/>
          <w:szCs w:val="24"/>
        </w:rPr>
        <w:t xml:space="preserve">situácia leteckých dopravcov nezlepšovala. </w:t>
      </w:r>
    </w:p>
    <w:p w14:paraId="20C3E6CC" w14:textId="77777777" w:rsidR="000A1EA7" w:rsidRDefault="000A1EA7" w:rsidP="000A1EA7">
      <w:pPr>
        <w:jc w:val="both"/>
        <w:rPr>
          <w:rFonts w:cs="Times New Roman"/>
          <w:szCs w:val="24"/>
        </w:rPr>
      </w:pPr>
    </w:p>
    <w:p w14:paraId="1679E5A5" w14:textId="77777777" w:rsidR="000A1EA7" w:rsidRDefault="000A1EA7" w:rsidP="000A1EA7">
      <w:pPr>
        <w:ind w:firstLine="708"/>
        <w:jc w:val="both"/>
        <w:rPr>
          <w:rFonts w:cs="Times New Roman"/>
          <w:szCs w:val="24"/>
        </w:rPr>
      </w:pPr>
      <w:r w:rsidRPr="0044351D">
        <w:rPr>
          <w:rFonts w:cs="Times New Roman"/>
          <w:szCs w:val="24"/>
        </w:rPr>
        <w:t xml:space="preserve">Opatrenia prijaté Slovenskou republikou vo vzťahu k prenosnému ochoreniu COVID-19 týkajúce sa </w:t>
      </w:r>
      <w:r>
        <w:rPr>
          <w:rFonts w:cs="Times New Roman"/>
          <w:szCs w:val="24"/>
        </w:rPr>
        <w:t xml:space="preserve">napríklad zákazu vykonávania určených civilných letov </w:t>
      </w:r>
      <w:r w:rsidRPr="003007D7">
        <w:rPr>
          <w:rFonts w:cs="Times New Roman"/>
          <w:szCs w:val="24"/>
        </w:rPr>
        <w:t>s miestom vzletu na území iného štátu a s miestom pristátia na území Slovenskej republiky</w:t>
      </w:r>
      <w:r>
        <w:rPr>
          <w:rFonts w:cs="Times New Roman"/>
          <w:szCs w:val="24"/>
        </w:rPr>
        <w:t xml:space="preserve"> alebo </w:t>
      </w:r>
      <w:r w:rsidRPr="0044351D">
        <w:rPr>
          <w:rFonts w:cs="Times New Roman"/>
          <w:szCs w:val="24"/>
        </w:rPr>
        <w:t xml:space="preserve">prekračovania hranice Slovenskej republiky, ako aj obmedzenia slobody pohybu a pobytu mali a majú zásadný vplyv na fungovanie podnikov, </w:t>
      </w:r>
      <w:r>
        <w:rPr>
          <w:rFonts w:cs="Times New Roman"/>
          <w:szCs w:val="24"/>
        </w:rPr>
        <w:t>vrátane letiskových spoločností</w:t>
      </w:r>
      <w:r w:rsidRPr="0044351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Na základe zrušenia zákazu vykonávania určených civilných letov </w:t>
      </w:r>
      <w:r w:rsidRPr="0044351D">
        <w:rPr>
          <w:rFonts w:cs="Times New Roman"/>
          <w:szCs w:val="24"/>
        </w:rPr>
        <w:t xml:space="preserve">s miestom vzletu na území iného štátu a miestom pristátia na území Slovenskej republiky mohli byť z pohľadu civilného letectva vykonávané bez obmedzení, avšak z dôvodu obavy ľudí, ako aj ďalšie prijaté opatrenia vládou Slovenskej republiky a Úradom verejného zdravotníctva Slovenskej republiky obmedzili príjmy </w:t>
      </w:r>
      <w:r>
        <w:rPr>
          <w:rFonts w:cs="Times New Roman"/>
          <w:szCs w:val="24"/>
        </w:rPr>
        <w:t>letiskových spoločností</w:t>
      </w:r>
      <w:r w:rsidRPr="0044351D">
        <w:rPr>
          <w:rFonts w:cs="Times New Roman"/>
          <w:szCs w:val="24"/>
        </w:rPr>
        <w:t>.</w:t>
      </w:r>
      <w:r w:rsidRPr="00E45CE5">
        <w:rPr>
          <w:rFonts w:cs="Times New Roman"/>
          <w:szCs w:val="24"/>
        </w:rPr>
        <w:t xml:space="preserve"> </w:t>
      </w:r>
      <w:r w:rsidRPr="0044351D">
        <w:rPr>
          <w:rFonts w:cs="Times New Roman"/>
          <w:szCs w:val="24"/>
        </w:rPr>
        <w:t xml:space="preserve">Aj napriek skutočnosti, že vláda Slovenskej republiky uznesením č. 260 zo 14. mája 2021 ukončila núdzový stav vyhlásený uznesením vlády Slovenskej republiky č. 587 z 30. septembra 2020 na území Slovenskej republiky uplynutím 14. mája 2021, </w:t>
      </w:r>
      <w:r>
        <w:rPr>
          <w:rFonts w:cs="Times New Roman"/>
          <w:szCs w:val="24"/>
        </w:rPr>
        <w:t>nenastalo výrazné obnovenie letov</w:t>
      </w:r>
      <w:r w:rsidRPr="0044351D">
        <w:rPr>
          <w:rFonts w:cs="Times New Roman"/>
          <w:szCs w:val="24"/>
        </w:rPr>
        <w:t xml:space="preserve"> v oblasti obchodnej leteckej dopravy. Veľký vplyv na záujem ľudí o využívanie obchodnej leteckej dopravy, pravide</w:t>
      </w:r>
      <w:r>
        <w:rPr>
          <w:rFonts w:cs="Times New Roman"/>
          <w:szCs w:val="24"/>
        </w:rPr>
        <w:t xml:space="preserve">lnej alebo nepravidelnej, majú aj </w:t>
      </w:r>
      <w:r w:rsidRPr="0044351D">
        <w:rPr>
          <w:rFonts w:cs="Times New Roman"/>
          <w:szCs w:val="24"/>
        </w:rPr>
        <w:t>opatrenia prijímané inými členskými štátmi Európske</w:t>
      </w:r>
      <w:r>
        <w:rPr>
          <w:rFonts w:cs="Times New Roman"/>
          <w:szCs w:val="24"/>
        </w:rPr>
        <w:t>j únie alebo tretími krajinami a </w:t>
      </w:r>
      <w:r w:rsidRPr="0044351D">
        <w:rPr>
          <w:rFonts w:cs="Times New Roman"/>
          <w:szCs w:val="24"/>
        </w:rPr>
        <w:t xml:space="preserve">aj rôzne mutácie </w:t>
      </w:r>
      <w:proofErr w:type="spellStart"/>
      <w:r w:rsidRPr="0044351D">
        <w:rPr>
          <w:rFonts w:cs="Times New Roman"/>
          <w:szCs w:val="24"/>
        </w:rPr>
        <w:t>koronavírusu</w:t>
      </w:r>
      <w:proofErr w:type="spellEnd"/>
      <w:r w:rsidRPr="0044351D">
        <w:rPr>
          <w:rFonts w:cs="Times New Roman"/>
          <w:szCs w:val="24"/>
        </w:rPr>
        <w:t xml:space="preserve">. </w:t>
      </w:r>
    </w:p>
    <w:p w14:paraId="5D6BB3FF" w14:textId="77777777" w:rsidR="000A1EA7" w:rsidRDefault="000A1EA7" w:rsidP="000A1EA7">
      <w:pPr>
        <w:autoSpaceDE w:val="0"/>
        <w:autoSpaceDN w:val="0"/>
        <w:jc w:val="both"/>
        <w:rPr>
          <w:rFonts w:cs="Times New Roman"/>
          <w:szCs w:val="24"/>
        </w:rPr>
      </w:pPr>
    </w:p>
    <w:p w14:paraId="07E51B4D" w14:textId="77777777" w:rsidR="000A1EA7" w:rsidRDefault="000A1EA7" w:rsidP="000A1EA7">
      <w:pPr>
        <w:ind w:firstLine="708"/>
        <w:jc w:val="both"/>
        <w:rPr>
          <w:rFonts w:cs="Times New Roman"/>
          <w:szCs w:val="24"/>
        </w:rPr>
      </w:pPr>
      <w:r w:rsidRPr="0044351D">
        <w:rPr>
          <w:rFonts w:cs="Times New Roman"/>
          <w:szCs w:val="24"/>
        </w:rPr>
        <w:t>Prognózy týkajúce sa letovej prevádzky (počtu letov), ktorej najväčšiu časť tvorí obchodná letecká doprava, nie sú pre oblasť civilného letectva na najbližšie obdobie veľmi priaznivé.</w:t>
      </w:r>
      <w:r>
        <w:rPr>
          <w:rFonts w:cs="Times New Roman"/>
          <w:szCs w:val="24"/>
        </w:rPr>
        <w:t xml:space="preserve"> Navy</w:t>
      </w:r>
      <w:r w:rsidRPr="0044351D">
        <w:rPr>
          <w:rFonts w:cs="Times New Roman"/>
          <w:szCs w:val="24"/>
        </w:rPr>
        <w:t xml:space="preserve">še kritický stav odvetvia cestovného ruchu má aj významné makroekonomické dosahy, keďže vzhľadom na prierezový charakter odvetvia vplýva aj na všetky spojené infraštruktúry, ako napríklad aj na oblasť obchodnej leteckej dopravy. </w:t>
      </w:r>
    </w:p>
    <w:p w14:paraId="7B550E65" w14:textId="77777777" w:rsidR="000A1EA7" w:rsidRDefault="000A1EA7" w:rsidP="000A1EA7">
      <w:pPr>
        <w:jc w:val="both"/>
        <w:rPr>
          <w:rFonts w:cs="Times New Roman"/>
          <w:szCs w:val="24"/>
        </w:rPr>
      </w:pPr>
    </w:p>
    <w:p w14:paraId="09162617" w14:textId="77777777" w:rsidR="000A1EA7" w:rsidRDefault="000A1EA7" w:rsidP="000A1EA7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Vzhľadom na stále trvajúcu pandémiu spôsobenú prenosným ochorením COVID-19, dňa 18. novembra 2021 Európska komisia prijala 6. zmenu tzv. </w:t>
      </w:r>
      <w:r w:rsidRPr="005C652D">
        <w:rPr>
          <w:rFonts w:cs="Times New Roman"/>
          <w:szCs w:val="24"/>
        </w:rPr>
        <w:t>Dočasn</w:t>
      </w:r>
      <w:r>
        <w:rPr>
          <w:rFonts w:cs="Times New Roman"/>
          <w:szCs w:val="24"/>
        </w:rPr>
        <w:t>ého</w:t>
      </w:r>
      <w:r w:rsidRPr="005C652D">
        <w:rPr>
          <w:rFonts w:cs="Times New Roman"/>
          <w:szCs w:val="24"/>
        </w:rPr>
        <w:t xml:space="preserve"> rám</w:t>
      </w:r>
      <w:r>
        <w:rPr>
          <w:rFonts w:cs="Times New Roman"/>
          <w:szCs w:val="24"/>
        </w:rPr>
        <w:t>ca</w:t>
      </w:r>
      <w:r w:rsidRPr="005C652D">
        <w:rPr>
          <w:rFonts w:cs="Times New Roman"/>
          <w:szCs w:val="24"/>
        </w:rPr>
        <w:t xml:space="preserve"> pre opatrenia štátnej pomoci na podporu hospodárstva v súčasnej situácii spôsobenej nákazou COVID-19</w:t>
      </w:r>
      <w:r>
        <w:rPr>
          <w:rFonts w:cs="Times New Roman"/>
          <w:szCs w:val="24"/>
        </w:rPr>
        <w:t xml:space="preserve">, ktorým sa predĺžila možnosť poskytovať štátnu pomoc z 31. decembra 2021 do 30. júna 2022. </w:t>
      </w:r>
    </w:p>
    <w:p w14:paraId="31BFFB53" w14:textId="77777777" w:rsidR="000A1EA7" w:rsidRDefault="000A1EA7" w:rsidP="000A1EA7">
      <w:pPr>
        <w:jc w:val="both"/>
        <w:rPr>
          <w:rFonts w:cs="Times New Roman"/>
          <w:szCs w:val="24"/>
        </w:rPr>
      </w:pPr>
    </w:p>
    <w:p w14:paraId="2D19771F" w14:textId="77777777" w:rsidR="000A1EA7" w:rsidRDefault="000A1EA7" w:rsidP="000A1EA7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Návrh zákona predstavuje právny základ, ktorý umožní ministerstvu poskytnúť príspevok </w:t>
      </w:r>
      <w:r w:rsidRPr="00134E2B">
        <w:rPr>
          <w:rFonts w:cs="Times New Roman"/>
          <w:szCs w:val="24"/>
        </w:rPr>
        <w:t>na zabezpečenie nevyhnutnej leteckej dostupnosti</w:t>
      </w:r>
      <w:r>
        <w:rPr>
          <w:rFonts w:cs="Times New Roman"/>
          <w:szCs w:val="24"/>
        </w:rPr>
        <w:t xml:space="preserve"> aj v roku 2022</w:t>
      </w:r>
      <w:r w:rsidRPr="00C644F9">
        <w:t>.</w:t>
      </w:r>
      <w:r>
        <w:rPr>
          <w:rFonts w:cs="Times New Roman"/>
          <w:szCs w:val="24"/>
        </w:rPr>
        <w:t xml:space="preserve"> </w:t>
      </w:r>
    </w:p>
    <w:p w14:paraId="44FB9D2E" w14:textId="77777777" w:rsidR="000A1EA7" w:rsidRDefault="000A1EA7" w:rsidP="000A1EA7">
      <w:pPr>
        <w:jc w:val="both"/>
        <w:rPr>
          <w:rFonts w:cs="Times New Roman"/>
          <w:szCs w:val="24"/>
        </w:rPr>
      </w:pPr>
    </w:p>
    <w:p w14:paraId="03C9BB0A" w14:textId="77777777" w:rsidR="000A1EA7" w:rsidRPr="00134E2B" w:rsidRDefault="000A1EA7" w:rsidP="000A1EA7">
      <w:pPr>
        <w:ind w:firstLine="708"/>
        <w:jc w:val="both"/>
      </w:pPr>
      <w:r>
        <w:rPr>
          <w:rFonts w:cs="Times New Roman"/>
          <w:szCs w:val="24"/>
        </w:rPr>
        <w:lastRenderedPageBreak/>
        <w:t xml:space="preserve">Poskytnutie príspevku </w:t>
      </w:r>
      <w:r w:rsidRPr="00134E2B">
        <w:rPr>
          <w:rFonts w:cs="Times New Roman"/>
          <w:szCs w:val="24"/>
        </w:rPr>
        <w:t>na zabezpečenie nevyhnutnej leteckej dostupnosti</w:t>
      </w:r>
      <w:r>
        <w:rPr>
          <w:rFonts w:cs="Times New Roman"/>
          <w:szCs w:val="24"/>
        </w:rPr>
        <w:t xml:space="preserve"> v roku 2022 </w:t>
      </w:r>
      <w:r>
        <w:t xml:space="preserve">bude po splnení podmienok možné na základe </w:t>
      </w:r>
      <w:r w:rsidRPr="00570D4E">
        <w:t xml:space="preserve">schválenej </w:t>
      </w:r>
      <w:r>
        <w:t xml:space="preserve">zmeny platnej a účinnej Schémy štátnej pomoci </w:t>
      </w:r>
      <w:r w:rsidRPr="00134E2B">
        <w:t>podľa čl. 107 ods. 3 písm. b) Zmluvy o fungovaní Európskej únie</w:t>
      </w:r>
      <w:r>
        <w:t xml:space="preserve"> </w:t>
      </w:r>
      <w:r w:rsidRPr="00134E2B">
        <w:t>na podporu zabezpečenia nevyhnutnej leteckej dostupnosti územia Slovenskej republiky počas krízovej situácie vyhlásenej v súvislosti s ochorením COVID-19</w:t>
      </w:r>
      <w:r>
        <w:t xml:space="preserve"> č. </w:t>
      </w:r>
      <w:r w:rsidRPr="00134E2B">
        <w:t>SA.59240 (2020/N)</w:t>
      </w:r>
      <w:r>
        <w:t>.</w:t>
      </w:r>
    </w:p>
    <w:p w14:paraId="6D19337D" w14:textId="77777777" w:rsidR="000A1EA7" w:rsidRDefault="000A1EA7" w:rsidP="000A1EA7">
      <w:pPr>
        <w:jc w:val="both"/>
        <w:rPr>
          <w:rFonts w:eastAsia="Times New Roman" w:cs="Times New Roman"/>
          <w:szCs w:val="24"/>
          <w:lang w:eastAsia="sk-SK"/>
        </w:rPr>
      </w:pPr>
    </w:p>
    <w:p w14:paraId="7AD93FD6" w14:textId="77777777" w:rsidR="000A1EA7" w:rsidRPr="00C26E08" w:rsidRDefault="000A1EA7" w:rsidP="000A1EA7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FF6BBF">
        <w:rPr>
          <w:rFonts w:eastAsia="Times New Roman" w:cs="Times New Roman"/>
          <w:szCs w:val="24"/>
          <w:lang w:eastAsia="sk-SK"/>
        </w:rPr>
        <w:t xml:space="preserve">Návrh zákona sa nepredkladá na </w:t>
      </w:r>
      <w:proofErr w:type="spellStart"/>
      <w:r w:rsidRPr="00FF6BBF">
        <w:rPr>
          <w:rFonts w:eastAsia="Times New Roman" w:cs="Times New Roman"/>
          <w:szCs w:val="24"/>
          <w:lang w:eastAsia="sk-SK"/>
        </w:rPr>
        <w:t>vnútrokomunitárne</w:t>
      </w:r>
      <w:proofErr w:type="spellEnd"/>
      <w:r w:rsidRPr="00FF6BBF">
        <w:rPr>
          <w:rFonts w:eastAsia="Times New Roman" w:cs="Times New Roman"/>
          <w:szCs w:val="24"/>
          <w:lang w:eastAsia="sk-SK"/>
        </w:rPr>
        <w:t xml:space="preserve"> pripomienkové konanie.</w:t>
      </w:r>
    </w:p>
    <w:p w14:paraId="7B72F7A3" w14:textId="77777777" w:rsidR="000A1EA7" w:rsidRPr="00F42F9F" w:rsidRDefault="000A1EA7" w:rsidP="000A1EA7"/>
    <w:p w14:paraId="04933502" w14:textId="77777777" w:rsidR="000A1EA7" w:rsidRDefault="000A1EA7" w:rsidP="000A1EA7">
      <w:pPr>
        <w:ind w:firstLine="708"/>
        <w:jc w:val="both"/>
      </w:pPr>
      <w:r>
        <w:t xml:space="preserve">Návrh zákona sa v súlade s čl. 15 Legislatívnych pravidiel vlády Slovenskej republiky predkladá na rokovanie vlády Slovenskej republiky bez predchádzajúceho prerokovania návrhu zákona s príslušnými orgánmi a inštitúciami v pripomienkovom konaní. Dôvodom je potreba v krátkej dobe upraviť možnosť poskytnutia príspevku </w:t>
      </w:r>
      <w:r w:rsidRPr="00C644F9">
        <w:t xml:space="preserve">na </w:t>
      </w:r>
      <w:r>
        <w:t xml:space="preserve">zmiernenie negatívnych následkov. </w:t>
      </w:r>
    </w:p>
    <w:p w14:paraId="1E654CE5" w14:textId="77777777" w:rsidR="000A1EA7" w:rsidRDefault="000A1EA7" w:rsidP="000A1EA7">
      <w:pPr>
        <w:jc w:val="both"/>
        <w:rPr>
          <w:rFonts w:eastAsia="Times New Roman" w:cs="Times New Roman"/>
          <w:szCs w:val="24"/>
          <w:lang w:eastAsia="sk-SK"/>
        </w:rPr>
      </w:pPr>
    </w:p>
    <w:p w14:paraId="2F43A564" w14:textId="77777777" w:rsidR="000A1EA7" w:rsidRPr="00134E2B" w:rsidRDefault="000A1EA7" w:rsidP="000A1EA7">
      <w:pPr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E85ACD">
        <w:rPr>
          <w:rFonts w:eastAsia="Times New Roman" w:cs="Times New Roman"/>
          <w:color w:val="000000"/>
          <w:szCs w:val="24"/>
          <w:lang w:eastAsia="sk-SK"/>
        </w:rPr>
        <w:t xml:space="preserve">Návrh zákona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predpokladá </w:t>
      </w:r>
      <w:r w:rsidRPr="00E85ACD">
        <w:t>negatívny vplyv n</w:t>
      </w:r>
      <w:r>
        <w:t>a rozpočet verejnej správy. Návrh zákona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nepredpokladá </w:t>
      </w:r>
      <w:r w:rsidRPr="00E85ACD">
        <w:rPr>
          <w:rFonts w:eastAsia="Times New Roman" w:cs="Times New Roman"/>
          <w:color w:val="000000"/>
          <w:szCs w:val="24"/>
          <w:lang w:eastAsia="sk-SK"/>
        </w:rPr>
        <w:t>vplyvy na podnikateľské prostredie</w:t>
      </w:r>
      <w:r>
        <w:rPr>
          <w:rFonts w:eastAsia="Times New Roman" w:cs="Times New Roman"/>
          <w:color w:val="000000"/>
          <w:szCs w:val="24"/>
          <w:lang w:eastAsia="sk-SK"/>
        </w:rPr>
        <w:t xml:space="preserve">, </w:t>
      </w:r>
      <w:r w:rsidRPr="00E85ACD">
        <w:rPr>
          <w:rFonts w:eastAsia="Times New Roman" w:cs="Times New Roman"/>
          <w:szCs w:val="24"/>
          <w:lang w:eastAsia="sk-SK"/>
        </w:rPr>
        <w:t>vplyvy na informatizáciu</w:t>
      </w:r>
      <w:r>
        <w:t>, sociálne vplyvy, vplyvy na manželstvo, rodičovstvo a rodinu, vplyvy na životné prostredie, ani vplyvy na služby verejnej správy pre občana.</w:t>
      </w:r>
    </w:p>
    <w:p w14:paraId="512CA9A5" w14:textId="77777777" w:rsidR="000A1EA7" w:rsidRDefault="000A1EA7" w:rsidP="000A1EA7">
      <w:pPr>
        <w:jc w:val="both"/>
      </w:pPr>
    </w:p>
    <w:p w14:paraId="39750140" w14:textId="77777777" w:rsidR="000A1EA7" w:rsidRDefault="000A1EA7" w:rsidP="000A1EA7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F96290">
        <w:rPr>
          <w:rFonts w:eastAsia="Times New Roman" w:cs="Times New Roman"/>
          <w:color w:val="000000"/>
          <w:szCs w:val="24"/>
          <w:lang w:eastAsia="sk-SK"/>
        </w:rPr>
        <w:t>Návrh</w:t>
      </w:r>
      <w:r>
        <w:rPr>
          <w:sz w:val="23"/>
          <w:szCs w:val="23"/>
        </w:rPr>
        <w:t xml:space="preserve"> zákona je v súlade s Ústavou Slovenskej republiky, ústavnými zákonmi, s nálezmi Ústavného súdu Slovenskej republiky, inými právnymi predpismi Slovenskej republiky, medzinárodnými zmluvami a inými medzinárodnými dokumentmi, ktorými je Slovenská republika viazaná a s právom Európskej únie.</w:t>
      </w:r>
      <w:r w:rsidRPr="008F41BF">
        <w:rPr>
          <w:rFonts w:eastAsia="Times New Roman" w:cs="Times New Roman"/>
          <w:szCs w:val="24"/>
          <w:lang w:eastAsia="sk-SK"/>
        </w:rPr>
        <w:t xml:space="preserve"> </w:t>
      </w:r>
    </w:p>
    <w:p w14:paraId="58BDB3B7" w14:textId="77777777" w:rsidR="000A1EA7" w:rsidRDefault="000A1EA7" w:rsidP="000A1EA7">
      <w:pPr>
        <w:jc w:val="both"/>
        <w:rPr>
          <w:rFonts w:eastAsia="Times New Roman" w:cs="Times New Roman"/>
          <w:szCs w:val="24"/>
          <w:lang w:eastAsia="sk-SK"/>
        </w:rPr>
      </w:pPr>
    </w:p>
    <w:p w14:paraId="00A4478E" w14:textId="77777777" w:rsidR="000A1EA7" w:rsidRDefault="000A1EA7" w:rsidP="000A1EA7">
      <w:pPr>
        <w:ind w:firstLine="708"/>
        <w:jc w:val="both"/>
      </w:pPr>
      <w:r w:rsidRPr="00C26E08">
        <w:rPr>
          <w:rFonts w:eastAsia="Times New Roman" w:cs="Times New Roman"/>
          <w:szCs w:val="24"/>
          <w:lang w:eastAsia="sk-SK"/>
        </w:rPr>
        <w:t xml:space="preserve">Účinnosť návrhu zákona sa navrhuje </w:t>
      </w:r>
      <w:r>
        <w:rPr>
          <w:rFonts w:eastAsia="Times New Roman" w:cs="Times New Roman"/>
          <w:szCs w:val="24"/>
          <w:lang w:eastAsia="sk-SK"/>
        </w:rPr>
        <w:t>dňom vyhlásenia.</w:t>
      </w:r>
    </w:p>
    <w:p w14:paraId="342ED87D" w14:textId="47000025" w:rsidR="005B5084" w:rsidRDefault="005B5084" w:rsidP="004C4E65">
      <w:pPr>
        <w:rPr>
          <w:rFonts w:eastAsia="Times New Roman" w:cs="Times New Roman"/>
          <w:szCs w:val="24"/>
        </w:rPr>
      </w:pPr>
    </w:p>
    <w:p w14:paraId="66126C06" w14:textId="77777777" w:rsidR="005B5084" w:rsidRDefault="005B5084" w:rsidP="004C4E65">
      <w:pPr>
        <w:rPr>
          <w:rFonts w:eastAsia="Times New Roman" w:cs="Times New Roman"/>
          <w:szCs w:val="24"/>
        </w:rPr>
        <w:sectPr w:rsidR="005B5084" w:rsidSect="003455E1">
          <w:headerReference w:type="first" r:id="rId8"/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112F0557" w14:textId="77777777" w:rsidR="000A1EA7" w:rsidRPr="006045CB" w:rsidRDefault="000A1EA7" w:rsidP="000A1EA7">
      <w:pPr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eastAsia="Times New Roman" w:cs="Times New Roman"/>
          <w:b/>
          <w:sz w:val="28"/>
          <w:szCs w:val="28"/>
          <w:lang w:eastAsia="sk-SK"/>
        </w:rPr>
        <w:t>oložka vybraných vplyvov</w:t>
      </w:r>
    </w:p>
    <w:p w14:paraId="53EC9F64" w14:textId="77777777" w:rsidR="000A1EA7" w:rsidRPr="00B043B4" w:rsidRDefault="000A1EA7" w:rsidP="000A1EA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0A1EA7" w:rsidRPr="00B043B4" w14:paraId="4BAA291B" w14:textId="77777777" w:rsidTr="0072274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7AB8F6D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Základné údaje</w:t>
            </w:r>
          </w:p>
        </w:tc>
      </w:tr>
      <w:tr w:rsidR="000A1EA7" w:rsidRPr="00B043B4" w14:paraId="11E11715" w14:textId="77777777" w:rsidTr="0072274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9F7C8D9" w14:textId="77777777" w:rsidR="000A1EA7" w:rsidRPr="00B043B4" w:rsidRDefault="000A1EA7" w:rsidP="00722749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Názov materiálu</w:t>
            </w:r>
          </w:p>
        </w:tc>
      </w:tr>
      <w:tr w:rsidR="000A1EA7" w:rsidRPr="00B043B4" w14:paraId="5ED5595E" w14:textId="77777777" w:rsidTr="0072274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33F49D6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Návrh zákona, ktorým sa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mení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zákon č. 213/2019 Z. z. o odplatách a o poskytovaní príspevku v civilnom letectve a o zmene a doplnení niektorých zákonov v znení neskorších predpisov</w:t>
            </w:r>
          </w:p>
          <w:p w14:paraId="2E005BFA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0A1EA7" w:rsidRPr="00B043B4" w14:paraId="536B270C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9D249EF" w14:textId="77777777" w:rsidR="000A1EA7" w:rsidRPr="00B043B4" w:rsidRDefault="000A1EA7" w:rsidP="00722749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Predkladateľ (a spolupredkladateľ)</w:t>
            </w:r>
          </w:p>
        </w:tc>
      </w:tr>
      <w:tr w:rsidR="000A1EA7" w:rsidRPr="00B043B4" w14:paraId="7A57F299" w14:textId="77777777" w:rsidTr="0072274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5CD4D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Ministerstvo dopravy a výstavby Slovenskej republiky</w:t>
            </w:r>
          </w:p>
          <w:p w14:paraId="4F61E9EC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0A1EA7" w:rsidRPr="00B043B4" w14:paraId="1C65DE32" w14:textId="77777777" w:rsidTr="00722749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B02DF0E" w14:textId="77777777" w:rsidR="000A1EA7" w:rsidRPr="00B043B4" w:rsidRDefault="000A1EA7" w:rsidP="00722749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Charakter predkladaného materiálu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833DF25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47E15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0A1EA7" w:rsidRPr="00B043B4" w14:paraId="78336D6F" w14:textId="77777777" w:rsidTr="0072274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B09F397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7D2B004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8B739DC" w14:textId="77777777" w:rsidR="000A1EA7" w:rsidRPr="00B043B4" w:rsidRDefault="000A1EA7" w:rsidP="00722749">
            <w:pPr>
              <w:ind w:left="175" w:hanging="175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0A1EA7" w:rsidRPr="00B043B4" w14:paraId="3F216E2E" w14:textId="77777777" w:rsidTr="0072274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7FA2439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24C83F0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C6E50E0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0A1EA7" w:rsidRPr="00B043B4" w14:paraId="5CFF14D4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08CAC2A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FB56561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0A1EA7" w:rsidRPr="00B043B4" w14:paraId="2B86704D" w14:textId="77777777" w:rsidTr="0072274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CEDF25" w14:textId="77777777" w:rsidR="000A1EA7" w:rsidRPr="00B043B4" w:rsidRDefault="000A1EA7" w:rsidP="00722749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398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1EA7" w:rsidRPr="00B043B4" w14:paraId="14407233" w14:textId="77777777" w:rsidTr="0072274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8F0AE5" w14:textId="77777777" w:rsidR="000A1EA7" w:rsidRPr="00B043B4" w:rsidRDefault="000A1EA7" w:rsidP="00722749">
            <w:pPr>
              <w:spacing w:after="200" w:line="276" w:lineRule="auto"/>
              <w:ind w:left="142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Predpokl</w:t>
            </w:r>
            <w:r>
              <w:rPr>
                <w:rFonts w:eastAsia="Calibri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3A1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1EA7" w:rsidRPr="00B043B4" w14:paraId="0734F2B4" w14:textId="77777777" w:rsidTr="00722749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69D68A" w14:textId="77777777" w:rsidR="000A1EA7" w:rsidRPr="00B043B4" w:rsidRDefault="000A1EA7" w:rsidP="00722749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E9B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1EA7" w:rsidRPr="00B043B4" w14:paraId="0351049F" w14:textId="77777777" w:rsidTr="0072274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4FA52F" w14:textId="77777777" w:rsidR="000A1EA7" w:rsidRPr="00B043B4" w:rsidRDefault="000A1EA7" w:rsidP="00722749">
            <w:pPr>
              <w:spacing w:after="200" w:line="276" w:lineRule="auto"/>
              <w:ind w:left="142"/>
              <w:contextualSpacing/>
              <w:jc w:val="both"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29D" w14:textId="77777777" w:rsidR="000A1EA7" w:rsidRPr="00247913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december 2021</w:t>
            </w:r>
          </w:p>
        </w:tc>
      </w:tr>
      <w:tr w:rsidR="000A1EA7" w:rsidRPr="00B043B4" w14:paraId="4AA5ECE1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2AFFD8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0A1EA7" w:rsidRPr="00B043B4" w14:paraId="16D918A0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7D6002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Definovanie problému</w:t>
            </w:r>
          </w:p>
        </w:tc>
      </w:tr>
      <w:tr w:rsidR="000A1EA7" w:rsidRPr="00B043B4" w14:paraId="0931C202" w14:textId="77777777" w:rsidTr="0072274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7B2F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B8C7160" w14:textId="77777777" w:rsidR="000A1EA7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25E6254D" w14:textId="77777777" w:rsidR="000A1EA7" w:rsidRPr="00247913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Naliehavosť prijatia návrhu zákona upravujúceho poskytovanie príspevku v civilnom letectve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umožní poskytnúť príspevok na zabezpečenie nevyhnutnej leteckej dostupnosti aj v roku 2022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0A1EA7" w:rsidRPr="00B043B4" w14:paraId="103861A2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EC81B2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Ciele a výsledný stav</w:t>
            </w:r>
          </w:p>
        </w:tc>
      </w:tr>
      <w:tr w:rsidR="000A1EA7" w:rsidRPr="00B043B4" w14:paraId="315169CA" w14:textId="77777777" w:rsidTr="0072274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640C4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30EF92E5" w14:textId="77777777" w:rsidR="000A1EA7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1E3200C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Cieľom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návrhu zákona je právna úprava, ktorá umožní poskytnutie 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verejných prostriedkov v oblasti civilného letectva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aj v roku 2022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vzhľadom</w:t>
            </w: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na krízovú situáciu vyhlásenú v súvislosti s ochorením COVID-19.</w:t>
            </w:r>
          </w:p>
        </w:tc>
      </w:tr>
      <w:tr w:rsidR="000A1EA7" w:rsidRPr="00B043B4" w14:paraId="0B318BBA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5446EC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Dotknuté subjekty</w:t>
            </w:r>
          </w:p>
        </w:tc>
      </w:tr>
      <w:tr w:rsidR="000A1EA7" w:rsidRPr="00B043B4" w14:paraId="649BAE50" w14:textId="77777777" w:rsidTr="0072274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16B2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1D56004" w14:textId="77777777" w:rsidR="000A1EA7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  <w:p w14:paraId="41D13984" w14:textId="77777777" w:rsidR="000A1EA7" w:rsidRDefault="000A1EA7" w:rsidP="000A1EA7">
            <w:pPr>
              <w:numPr>
                <w:ilvl w:val="0"/>
                <w:numId w:val="1"/>
              </w:numPr>
              <w:ind w:left="567" w:hanging="567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letiskové spoločnosti,</w:t>
            </w:r>
          </w:p>
          <w:p w14:paraId="12986269" w14:textId="77777777" w:rsidR="000A1EA7" w:rsidRPr="00247913" w:rsidRDefault="000A1EA7" w:rsidP="000A1EA7">
            <w:pPr>
              <w:numPr>
                <w:ilvl w:val="0"/>
                <w:numId w:val="1"/>
              </w:numPr>
              <w:ind w:left="567" w:hanging="567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Ministerstvo dopravy a výstavby Slovenskej republiky, ako poskytovateľ príspevku,</w:t>
            </w:r>
          </w:p>
          <w:p w14:paraId="7B04075F" w14:textId="77777777" w:rsidR="000A1EA7" w:rsidRPr="00247913" w:rsidRDefault="000A1EA7" w:rsidP="000A1EA7">
            <w:pPr>
              <w:numPr>
                <w:ilvl w:val="0"/>
                <w:numId w:val="1"/>
              </w:numPr>
              <w:ind w:left="567" w:hanging="567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Protimonopolný úrad Slovenskej republiky, ako národný koordinátor štátnej pomoci</w:t>
            </w:r>
          </w:p>
        </w:tc>
      </w:tr>
      <w:tr w:rsidR="000A1EA7" w:rsidRPr="00B043B4" w14:paraId="63E13D9F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7B14FE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Alternatívne riešenia</w:t>
            </w:r>
          </w:p>
        </w:tc>
      </w:tr>
      <w:tr w:rsidR="000A1EA7" w:rsidRPr="00B043B4" w14:paraId="7920790C" w14:textId="77777777" w:rsidTr="0072274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E570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243FCA03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  <w:p w14:paraId="3E35A424" w14:textId="77777777" w:rsidR="000A1EA7" w:rsidRDefault="000A1EA7" w:rsidP="00722749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2AE6C4C2" w14:textId="77777777" w:rsidR="000A1EA7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2170B7C" w14:textId="77777777" w:rsidR="000A1EA7" w:rsidRPr="00247913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Pri vypracovaní návrhu zákona neboli posudzované alternatívne riešenia.</w:t>
            </w:r>
          </w:p>
        </w:tc>
      </w:tr>
      <w:tr w:rsidR="000A1EA7" w:rsidRPr="00B043B4" w14:paraId="7BC40CE2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D0BBDD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Vykonávacie predpisy</w:t>
            </w:r>
          </w:p>
        </w:tc>
      </w:tr>
      <w:tr w:rsidR="000A1EA7" w:rsidRPr="00B043B4" w14:paraId="6F7C9BE3" w14:textId="77777777" w:rsidTr="00722749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F4731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FCAFDD7" w14:textId="77777777" w:rsidR="000A1EA7" w:rsidRPr="00B043B4" w:rsidRDefault="000A1EA7" w:rsidP="0072274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978EF2E" w14:textId="77777777" w:rsidR="000A1EA7" w:rsidRPr="00B043B4" w:rsidRDefault="000A1EA7" w:rsidP="0072274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eastAsia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A1EA7" w:rsidRPr="00B043B4" w14:paraId="2FAC7756" w14:textId="77777777" w:rsidTr="0072274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54E0D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140027F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0A1EA7" w:rsidRPr="00B043B4" w14:paraId="508851A1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66AF6BD" w14:textId="77777777" w:rsidR="000A1EA7" w:rsidRPr="00B043B4" w:rsidRDefault="000A1EA7" w:rsidP="000A1EA7">
            <w:pPr>
              <w:keepNext/>
              <w:numPr>
                <w:ilvl w:val="0"/>
                <w:numId w:val="8"/>
              </w:numPr>
              <w:ind w:left="425" w:hanging="357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 xml:space="preserve">Transpozícia práva EÚ </w:t>
            </w:r>
          </w:p>
        </w:tc>
      </w:tr>
      <w:tr w:rsidR="000A1EA7" w:rsidRPr="00B043B4" w14:paraId="4205D85C" w14:textId="77777777" w:rsidTr="00722749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8B06455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0A1EA7" w:rsidRPr="00B043B4" w14:paraId="2D49CF85" w14:textId="77777777" w:rsidTr="0072274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2633" w14:textId="77777777" w:rsidR="000A1EA7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38A85822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0A1EA7" w:rsidRPr="00B043B4" w14:paraId="4C675945" w14:textId="77777777" w:rsidTr="0072274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3AAD984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Preskúmanie účelnosti</w:t>
            </w:r>
          </w:p>
        </w:tc>
      </w:tr>
      <w:tr w:rsidR="000A1EA7" w:rsidRPr="00B043B4" w14:paraId="6FF909CD" w14:textId="77777777" w:rsidTr="0072274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8E60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15DAB858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2DEB5AE" w14:textId="77777777" w:rsidR="000A1EA7" w:rsidRPr="00247913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34EC800C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247913">
              <w:rPr>
                <w:rFonts w:eastAsia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0A1EA7" w:rsidRPr="00B043B4" w14:paraId="71ED2CAA" w14:textId="77777777" w:rsidTr="0072274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F9EC38" w14:textId="77777777" w:rsidR="000A1EA7" w:rsidRPr="00B043B4" w:rsidRDefault="000A1EA7" w:rsidP="00722749">
            <w:pPr>
              <w:ind w:left="142" w:hanging="142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14:paraId="71E7E5CD" w14:textId="77777777" w:rsidR="000A1EA7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</w:p>
          <w:p w14:paraId="6867D1EC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1EA7" w:rsidRPr="00B043B4" w14:paraId="0B6877A3" w14:textId="77777777" w:rsidTr="00722749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2D75F1C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Vybrané vplyvy  materiálu</w:t>
            </w:r>
          </w:p>
        </w:tc>
      </w:tr>
      <w:tr w:rsidR="000A1EA7" w:rsidRPr="00B043B4" w14:paraId="374D0C56" w14:textId="77777777" w:rsidTr="0072274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C2601D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8EDFF57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D699F65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814CA06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09703F8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C803F58" w14:textId="77777777" w:rsidR="000A1EA7" w:rsidRPr="00B043B4" w:rsidRDefault="000A1EA7" w:rsidP="00722749">
                <w:pPr>
                  <w:ind w:left="-107" w:right="-108"/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F0B15B9" w14:textId="77777777" w:rsidR="000A1EA7" w:rsidRPr="00B043B4" w:rsidRDefault="000A1EA7" w:rsidP="00722749">
            <w:pPr>
              <w:ind w:left="3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1EA7" w:rsidRPr="00B043B4" w14:paraId="2686C281" w14:textId="77777777" w:rsidTr="0072274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1DF0693" w14:textId="77777777" w:rsidR="000A1EA7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40C0C40" w14:textId="77777777" w:rsidR="000A1EA7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D3E945E" w14:textId="77777777" w:rsidR="000A1EA7" w:rsidRPr="00A340BB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eastAsia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CEBEED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F6FB3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ED0B8F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12525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5ADF1E" w14:textId="77777777" w:rsidR="000A1EA7" w:rsidRPr="00B043B4" w:rsidRDefault="000A1EA7" w:rsidP="00722749">
                <w:pPr>
                  <w:ind w:left="-107" w:right="-108"/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8A91" w14:textId="77777777" w:rsidR="000A1EA7" w:rsidRPr="00B043B4" w:rsidRDefault="000A1EA7" w:rsidP="00722749">
            <w:pPr>
              <w:ind w:left="34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1EA7" w:rsidRPr="00B043B4" w14:paraId="7CB68D17" w14:textId="77777777" w:rsidTr="0072274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E0A2EF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D77D05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E40CA0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EC50780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BDAE3D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2D233D9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1BF5EE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1EA7" w:rsidRPr="00B043B4" w14:paraId="371184EF" w14:textId="77777777" w:rsidTr="00722749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24F9F33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439B141C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F5F52F0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FD86B8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7263042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165814" w14:textId="77777777" w:rsidR="000A1EA7" w:rsidRPr="00B043B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3DB3BB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24FD2D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A1EA7" w:rsidRPr="00B043B4" w14:paraId="1EFDB041" w14:textId="77777777" w:rsidTr="0072274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62599A5" w14:textId="77777777" w:rsidR="000A1EA7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5B841A18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E9EBAC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32756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8DFD7" w14:textId="77777777" w:rsidR="000A1EA7" w:rsidRPr="00B043B4" w:rsidRDefault="000A1EA7" w:rsidP="0072274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00D87" w14:textId="77777777" w:rsidR="000A1EA7" w:rsidRPr="00B043B4" w:rsidRDefault="000A1EA7" w:rsidP="0072274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93C664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B5B5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1EA7" w:rsidRPr="00B043B4" w14:paraId="25D17DEB" w14:textId="77777777" w:rsidTr="0072274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5F7CBE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41314F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D6496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D8B3DF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942A2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FE2BC7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22C7C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1EA7" w:rsidRPr="00B043B4" w14:paraId="71B232A1" w14:textId="77777777" w:rsidTr="0072274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0D87749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652055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63D9D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C6769E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16949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F0DFED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B48BC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1EA7" w:rsidRPr="00B043B4" w14:paraId="3921AC9E" w14:textId="77777777" w:rsidTr="0072274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4D3EA0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A686EF2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50631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7B5C32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CAE33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E03B1AB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3D079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A1EA7" w:rsidRPr="00B043B4" w14:paraId="78A57F76" w14:textId="77777777" w:rsidTr="0072274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E7EA36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Calibri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eastAsia="Calibri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0F806" w14:textId="77777777" w:rsidR="000A1EA7" w:rsidRPr="00B043B4" w:rsidRDefault="000A1EA7" w:rsidP="00722749">
            <w:pPr>
              <w:jc w:val="center"/>
              <w:rPr>
                <w:rFonts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07F94A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35025" w14:textId="77777777" w:rsidR="000A1EA7" w:rsidRPr="00B043B4" w:rsidRDefault="000A1EA7" w:rsidP="00722749">
            <w:pPr>
              <w:jc w:val="center"/>
              <w:rPr>
                <w:rFonts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66121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8DF9D" w14:textId="77777777" w:rsidR="000A1EA7" w:rsidRPr="00B043B4" w:rsidRDefault="000A1EA7" w:rsidP="00722749">
            <w:pPr>
              <w:jc w:val="center"/>
              <w:rPr>
                <w:rFonts w:eastAsia="MS Mincho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785D1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1EA7" w:rsidRPr="00B043B4" w14:paraId="2866DA15" w14:textId="77777777" w:rsidTr="0072274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17B839" w14:textId="77777777" w:rsidR="000A1EA7" w:rsidRPr="00B043B4" w:rsidRDefault="000A1EA7" w:rsidP="00722749">
            <w:pPr>
              <w:ind w:left="196" w:hanging="196"/>
              <w:rPr>
                <w:rFonts w:eastAsia="Calibri" w:cs="Times New Roman"/>
                <w:b/>
                <w:sz w:val="20"/>
                <w:szCs w:val="20"/>
              </w:rPr>
            </w:pPr>
            <w:r w:rsidRPr="00B043B4">
              <w:rPr>
                <w:rFonts w:eastAsia="Calibri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9031AFB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2ED278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A4D316A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6D9808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D6E53A8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C2B52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1EA7" w:rsidRPr="00B043B4" w14:paraId="7D76BA24" w14:textId="77777777" w:rsidTr="0072274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C923AF" w14:textId="77777777" w:rsidR="000A1EA7" w:rsidRPr="00B043B4" w:rsidRDefault="000A1EA7" w:rsidP="00722749">
            <w:pPr>
              <w:ind w:left="168" w:hanging="168"/>
              <w:rPr>
                <w:rFonts w:eastAsia="Calibri" w:cs="Times New Roman"/>
                <w:b/>
                <w:sz w:val="20"/>
                <w:szCs w:val="20"/>
              </w:rPr>
            </w:pPr>
            <w:r w:rsidRPr="00B043B4">
              <w:rPr>
                <w:rFonts w:eastAsia="Calibri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6AB210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3DE035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CF4DA2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E22DC5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02CA51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40B2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A1EA7" w:rsidRPr="00B043B4" w14:paraId="7EFFB64D" w14:textId="77777777" w:rsidTr="0072274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ECFE0E0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eastAsia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F2DD80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F18" w14:textId="77777777" w:rsidR="000A1EA7" w:rsidRPr="00B043B4" w:rsidRDefault="000A1EA7" w:rsidP="00722749">
            <w:pPr>
              <w:ind w:right="-108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A3A361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F9D27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FC9DA2" w14:textId="77777777" w:rsidR="000A1EA7" w:rsidRPr="00B043B4" w:rsidRDefault="000A1EA7" w:rsidP="00722749">
                <w:pPr>
                  <w:jc w:val="center"/>
                  <w:rPr>
                    <w:rFonts w:eastAsia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4017" w14:textId="77777777" w:rsidR="000A1EA7" w:rsidRPr="00B043B4" w:rsidRDefault="000A1EA7" w:rsidP="00722749">
            <w:pPr>
              <w:ind w:left="54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301A33B" w14:textId="77777777" w:rsidR="000A1EA7" w:rsidRPr="00B043B4" w:rsidRDefault="000A1EA7" w:rsidP="000A1EA7">
      <w:pPr>
        <w:ind w:right="141"/>
        <w:rPr>
          <w:rFonts w:eastAsia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A1EA7" w:rsidRPr="00B043B4" w14:paraId="07B9644C" w14:textId="77777777" w:rsidTr="0072274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DFE0A1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Poznámky</w:t>
            </w:r>
          </w:p>
        </w:tc>
      </w:tr>
      <w:tr w:rsidR="000A1EA7" w:rsidRPr="00B043B4" w14:paraId="550FDB1B" w14:textId="77777777" w:rsidTr="0072274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E4968FC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114D804A" w14:textId="77777777" w:rsidR="000A1EA7" w:rsidRDefault="000A1EA7" w:rsidP="00722749">
            <w:pPr>
              <w:contextualSpacing/>
              <w:rPr>
                <w:rFonts w:eastAsia="Calibri" w:cs="Times New Roman"/>
              </w:rPr>
            </w:pPr>
          </w:p>
          <w:p w14:paraId="653F4A5B" w14:textId="77777777" w:rsidR="000A1EA7" w:rsidRPr="00AC3F2B" w:rsidRDefault="000A1EA7" w:rsidP="00722749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475AB5">
              <w:rPr>
                <w:rFonts w:eastAsia="Calibri" w:cs="Times New Roman"/>
                <w:sz w:val="20"/>
                <w:szCs w:val="20"/>
              </w:rPr>
              <w:t>Predmetný návrh zákona predpokladá negatívny vplyv na rozpočet verejnej správy v roku 202</w:t>
            </w: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Pr="00475AB5">
              <w:rPr>
                <w:rFonts w:eastAsia="Calibri" w:cs="Times New Roman"/>
                <w:sz w:val="20"/>
                <w:szCs w:val="20"/>
              </w:rPr>
              <w:t>, ktorý</w:t>
            </w:r>
            <w:r>
              <w:rPr>
                <w:rFonts w:eastAsia="Calibri" w:cs="Times New Roman"/>
                <w:sz w:val="20"/>
                <w:szCs w:val="20"/>
              </w:rPr>
              <w:t xml:space="preserve"> bude</w:t>
            </w:r>
            <w:r w:rsidRPr="00475AB5">
              <w:rPr>
                <w:rFonts w:eastAsia="Calibri" w:cs="Times New Roman"/>
                <w:sz w:val="20"/>
                <w:szCs w:val="20"/>
              </w:rPr>
              <w:t xml:space="preserve"> v roku 202</w:t>
            </w:r>
            <w:r>
              <w:rPr>
                <w:rFonts w:eastAsia="Calibri" w:cs="Times New Roman"/>
                <w:sz w:val="20"/>
                <w:szCs w:val="20"/>
              </w:rPr>
              <w:t xml:space="preserve">2 </w:t>
            </w:r>
            <w:r w:rsidRPr="00475AB5">
              <w:rPr>
                <w:rFonts w:eastAsia="Calibri" w:cs="Times New Roman"/>
                <w:sz w:val="20"/>
                <w:szCs w:val="20"/>
              </w:rPr>
              <w:t xml:space="preserve">rozpočtovo zabezpečený v rámci rozpočtu </w:t>
            </w:r>
            <w:r>
              <w:rPr>
                <w:rFonts w:eastAsia="Calibri" w:cs="Times New Roman"/>
                <w:sz w:val="20"/>
                <w:szCs w:val="20"/>
              </w:rPr>
              <w:t xml:space="preserve">Ministerstva dopravy a výstavby Slovenskej republiky </w:t>
            </w:r>
            <w:r w:rsidRPr="00AC3F2B">
              <w:rPr>
                <w:rFonts w:eastAsia="Calibri" w:cs="Times New Roman"/>
                <w:sz w:val="20"/>
                <w:szCs w:val="20"/>
              </w:rPr>
              <w:t>v podprograme 05507 štátna pomoc v oblasti civilného letectva, a to vo forme kapitálových výdavkov (zdroj 131K)</w:t>
            </w:r>
            <w:r>
              <w:rPr>
                <w:rFonts w:eastAsia="Calibri" w:cs="Times New Roman"/>
                <w:sz w:val="20"/>
                <w:szCs w:val="20"/>
              </w:rPr>
              <w:t xml:space="preserve"> presunom z roku 2021 prostredníctvom §8 zákona č. 523/2004 Z. z. o rozpočtových pravidlách verejnej správy a o zmene a doplnení niektorých zákonov v znení neskorších predpisov</w:t>
            </w:r>
            <w:r w:rsidRPr="00AC3F2B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Ministerstvo dopravy a výstavby Slovenskej republiky následne, na základe schválenej zmeny platnej a účinnej </w:t>
            </w:r>
            <w:r w:rsidRPr="00AC3F2B">
              <w:rPr>
                <w:rFonts w:eastAsia="Calibri" w:cs="Times New Roman"/>
                <w:sz w:val="20"/>
                <w:szCs w:val="20"/>
              </w:rPr>
              <w:t>schémy štátnej pomoci, požiada o ich preklasifikovanie na bežné výdavky.</w:t>
            </w:r>
          </w:p>
          <w:p w14:paraId="48147D18" w14:textId="77777777" w:rsidR="000A1EA7" w:rsidRPr="00B22E33" w:rsidRDefault="000A1EA7" w:rsidP="00722749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1EA7" w:rsidRPr="00B043B4" w14:paraId="596B07CE" w14:textId="77777777" w:rsidTr="0072274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558F65" w14:textId="77777777" w:rsidR="000A1EA7" w:rsidRPr="00B043B4" w:rsidRDefault="000A1EA7" w:rsidP="000A1EA7">
            <w:pPr>
              <w:keepNext/>
              <w:numPr>
                <w:ilvl w:val="0"/>
                <w:numId w:val="8"/>
              </w:numPr>
              <w:ind w:left="425" w:hanging="357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Kontakt na spracovateľa</w:t>
            </w:r>
          </w:p>
        </w:tc>
      </w:tr>
      <w:tr w:rsidR="000A1EA7" w:rsidRPr="00B043B4" w14:paraId="7F95083A" w14:textId="77777777" w:rsidTr="00722749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5C2C" w14:textId="77777777" w:rsidR="000A1EA7" w:rsidRDefault="000A1EA7" w:rsidP="000A1EA7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6D380B3A" w14:textId="77777777" w:rsidR="000A1EA7" w:rsidRDefault="000A1EA7" w:rsidP="00722749">
            <w:pPr>
              <w:keepNext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1A13AB08" w14:textId="77777777" w:rsidR="000A1EA7" w:rsidRPr="001E3E3D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3E3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Michal Hýsek, odbor civilného letectva, sekcia civilného letectva, Ministerstvo dopravy a výstavby Slovenskej republiky, 02/59494617, </w:t>
            </w:r>
            <w:hyperlink r:id="rId9" w:history="1">
              <w:r w:rsidRPr="00892C69">
                <w:rPr>
                  <w:rStyle w:val="Hypertextovprepojenie"/>
                  <w:rFonts w:eastAsia="Times New Roman" w:cs="Times New Roman"/>
                  <w:sz w:val="20"/>
                  <w:szCs w:val="20"/>
                  <w:lang w:eastAsia="sk-SK"/>
                </w:rPr>
                <w:t>michal.hysek@mindop.sk</w:t>
              </w:r>
            </w:hyperlink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A1EA7" w:rsidRPr="00B043B4" w14:paraId="5360D8AA" w14:textId="77777777" w:rsidTr="0072274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698D5D" w14:textId="77777777" w:rsidR="000A1EA7" w:rsidRPr="00B043B4" w:rsidRDefault="000A1EA7" w:rsidP="000A1EA7">
            <w:pPr>
              <w:keepNext/>
              <w:numPr>
                <w:ilvl w:val="0"/>
                <w:numId w:val="8"/>
              </w:numPr>
              <w:ind w:left="425" w:hanging="357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Zdroje</w:t>
            </w:r>
          </w:p>
        </w:tc>
      </w:tr>
      <w:tr w:rsidR="000A1EA7" w:rsidRPr="00B043B4" w14:paraId="5EBEB4AF" w14:textId="77777777" w:rsidTr="00722749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4CE38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eastAsia="Calibri" w:cs="Times New Roman"/>
                <w:szCs w:val="24"/>
              </w:rPr>
              <w:t xml:space="preserve"> </w:t>
            </w:r>
          </w:p>
          <w:p w14:paraId="474819BA" w14:textId="77777777" w:rsidR="000A1EA7" w:rsidRPr="00B043B4" w:rsidRDefault="000A1EA7" w:rsidP="00722749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  <w:p w14:paraId="340FD72D" w14:textId="77777777" w:rsidR="000A1EA7" w:rsidRPr="001E3E3D" w:rsidRDefault="000A1EA7" w:rsidP="00722749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0A1EA7" w:rsidRPr="00B043B4" w14:paraId="5E6A7F97" w14:textId="77777777" w:rsidTr="0072274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268786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47" w:hanging="425"/>
              <w:contextualSpacing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4229F360" w14:textId="77777777" w:rsidR="000A1EA7" w:rsidRPr="00B043B4" w:rsidRDefault="000A1EA7" w:rsidP="00722749">
            <w:pPr>
              <w:ind w:left="502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Calibri" w:cs="Times New Roman"/>
              </w:rPr>
              <w:t>(v prípade, ak sa uskutočnilo v zmysle bodu 8.1 Jednotnej metodiky)</w:t>
            </w:r>
          </w:p>
        </w:tc>
      </w:tr>
      <w:tr w:rsidR="000A1EA7" w:rsidRPr="00B043B4" w14:paraId="5192926D" w14:textId="77777777" w:rsidTr="00722749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BC44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1EA7" w:rsidRPr="00B043B4" w14:paraId="6E1BE991" w14:textId="77777777" w:rsidTr="00722749">
              <w:trPr>
                <w:trHeight w:val="396"/>
              </w:trPr>
              <w:tc>
                <w:tcPr>
                  <w:tcW w:w="2552" w:type="dxa"/>
                </w:tcPr>
                <w:p w14:paraId="421C5292" w14:textId="77777777" w:rsidR="000A1EA7" w:rsidRPr="00B043B4" w:rsidRDefault="000A1EA7" w:rsidP="00722749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3988B05" w14:textId="77777777" w:rsidR="000A1EA7" w:rsidRPr="00B043B4" w:rsidRDefault="000A1EA7" w:rsidP="00722749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1E1A32CF" w14:textId="77777777" w:rsidR="000A1EA7" w:rsidRPr="00B043B4" w:rsidRDefault="000A1EA7" w:rsidP="00722749">
                  <w:pPr>
                    <w:ind w:right="459"/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FDC4C9F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1744DCD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65D9635F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5FC632AA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1EA7" w:rsidRPr="00B043B4" w14:paraId="7B311C9B" w14:textId="77777777" w:rsidTr="0072274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7F08444C" w14:textId="77777777" w:rsidR="000A1EA7" w:rsidRPr="00B043B4" w:rsidRDefault="000A1EA7" w:rsidP="000A1EA7">
            <w:pPr>
              <w:numPr>
                <w:ilvl w:val="0"/>
                <w:numId w:val="8"/>
              </w:numPr>
              <w:ind w:left="450" w:hanging="425"/>
              <w:contextualSpacing/>
              <w:jc w:val="both"/>
              <w:rPr>
                <w:rFonts w:eastAsia="Calibri" w:cs="Times New Roman"/>
                <w:b/>
              </w:rPr>
            </w:pPr>
            <w:r w:rsidRPr="00B043B4">
              <w:rPr>
                <w:rFonts w:eastAsia="Calibri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 w:cs="Times New Roman"/>
              </w:rPr>
              <w:t xml:space="preserve"> (v prípade, ak sa uskutočnilo v zmysle bodu 9.1. Jednotnej metodiky) </w:t>
            </w:r>
          </w:p>
        </w:tc>
      </w:tr>
      <w:tr w:rsidR="000A1EA7" w:rsidRPr="00B043B4" w14:paraId="078A2664" w14:textId="77777777" w:rsidTr="0072274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5009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1EA7" w:rsidRPr="00B043B4" w14:paraId="1A29A227" w14:textId="77777777" w:rsidTr="00722749">
              <w:trPr>
                <w:trHeight w:val="396"/>
              </w:trPr>
              <w:tc>
                <w:tcPr>
                  <w:tcW w:w="2552" w:type="dxa"/>
                </w:tcPr>
                <w:p w14:paraId="33C22823" w14:textId="77777777" w:rsidR="000A1EA7" w:rsidRPr="00B043B4" w:rsidRDefault="000A1EA7" w:rsidP="00722749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A8A8967" w14:textId="77777777" w:rsidR="000A1EA7" w:rsidRPr="00B043B4" w:rsidRDefault="000A1EA7" w:rsidP="00722749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FC60138" w14:textId="77777777" w:rsidR="000A1EA7" w:rsidRPr="00B043B4" w:rsidRDefault="000A1EA7" w:rsidP="00722749">
                  <w:pPr>
                    <w:ind w:right="459"/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eastAsia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eastAsia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A3E7FB8" w14:textId="77777777" w:rsidR="000A1EA7" w:rsidRPr="00B043B4" w:rsidRDefault="000A1EA7" w:rsidP="00722749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AB68F9B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  <w:p w14:paraId="28B01E61" w14:textId="77777777" w:rsidR="000A1EA7" w:rsidRPr="00B043B4" w:rsidRDefault="000A1EA7" w:rsidP="00722749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7DBC406" w14:textId="77777777" w:rsidR="000A1EA7" w:rsidRDefault="000A1EA7" w:rsidP="000A1EA7">
      <w:pPr>
        <w:sectPr w:rsidR="000A1EA7" w:rsidSect="003455E1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4922A3CF" w14:textId="77777777" w:rsidR="000A1EA7" w:rsidRPr="007D5748" w:rsidRDefault="000A1EA7" w:rsidP="000A1EA7">
      <w:pPr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eastAsia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0F3130A" w14:textId="77777777" w:rsidR="000A1EA7" w:rsidRPr="007D5748" w:rsidRDefault="000A1EA7" w:rsidP="000A1EA7">
      <w:pPr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eastAsia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82E547B" w14:textId="77777777" w:rsidR="000A1EA7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</w:p>
    <w:p w14:paraId="446BB119" w14:textId="77777777" w:rsidR="000A1EA7" w:rsidRPr="00212894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  <w:r w:rsidRPr="00212894">
        <w:rPr>
          <w:rFonts w:eastAsia="Times New Roman" w:cs="Times New Roman"/>
          <w:b/>
          <w:bCs/>
          <w:szCs w:val="24"/>
          <w:lang w:eastAsia="sk-SK"/>
        </w:rPr>
        <w:t>2.1 Zhrnutie vplyvov na rozpočet verejnej správy v návrhu</w:t>
      </w:r>
    </w:p>
    <w:p w14:paraId="7275F1AF" w14:textId="77777777" w:rsidR="000A1EA7" w:rsidRPr="007D5748" w:rsidRDefault="000A1EA7" w:rsidP="000A1EA7">
      <w:pPr>
        <w:jc w:val="right"/>
        <w:rPr>
          <w:rFonts w:eastAsia="Times New Roman" w:cs="Times New Roman"/>
          <w:sz w:val="20"/>
          <w:szCs w:val="20"/>
          <w:lang w:eastAsia="sk-SK"/>
        </w:rPr>
      </w:pPr>
      <w:r w:rsidRPr="007D5748">
        <w:rPr>
          <w:rFonts w:eastAsia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381"/>
        <w:gridCol w:w="2360"/>
        <w:gridCol w:w="1285"/>
        <w:gridCol w:w="1419"/>
      </w:tblGrid>
      <w:tr w:rsidR="000A1EA7" w:rsidRPr="007D5748" w14:paraId="456F28EA" w14:textId="77777777" w:rsidTr="00722749">
        <w:trPr>
          <w:cantSplit/>
          <w:trHeight w:val="185"/>
          <w:jc w:val="center"/>
        </w:trPr>
        <w:tc>
          <w:tcPr>
            <w:tcW w:w="3758" w:type="dxa"/>
            <w:vMerge w:val="restart"/>
            <w:shd w:val="clear" w:color="auto" w:fill="BFBFBF" w:themeFill="background1" w:themeFillShade="BF"/>
            <w:vAlign w:val="center"/>
          </w:tcPr>
          <w:p w14:paraId="31C5AC1A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bookmarkStart w:id="0" w:name="OLE_LINK1"/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445" w:type="dxa"/>
            <w:gridSpan w:val="4"/>
            <w:shd w:val="clear" w:color="auto" w:fill="BFBFBF" w:themeFill="background1" w:themeFillShade="BF"/>
            <w:vAlign w:val="center"/>
          </w:tcPr>
          <w:p w14:paraId="07684015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Vplyv na rozpočet verejnej správy (v eurách)</w:t>
            </w:r>
          </w:p>
        </w:tc>
      </w:tr>
      <w:tr w:rsidR="000A1EA7" w:rsidRPr="007D5748" w14:paraId="3933CC79" w14:textId="77777777" w:rsidTr="00722749">
        <w:trPr>
          <w:cantSplit/>
          <w:trHeight w:val="66"/>
          <w:jc w:val="center"/>
        </w:trPr>
        <w:tc>
          <w:tcPr>
            <w:tcW w:w="3758" w:type="dxa"/>
            <w:vMerge/>
            <w:shd w:val="clear" w:color="auto" w:fill="BFBFBF" w:themeFill="background1" w:themeFillShade="BF"/>
            <w:vAlign w:val="center"/>
          </w:tcPr>
          <w:p w14:paraId="54817731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05C67902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2360" w:type="dxa"/>
            <w:shd w:val="clear" w:color="auto" w:fill="BFBFBF" w:themeFill="background1" w:themeFillShade="BF"/>
            <w:vAlign w:val="center"/>
          </w:tcPr>
          <w:p w14:paraId="2A1CEBEA" w14:textId="77777777" w:rsidR="000A1EA7" w:rsidRPr="007D5748" w:rsidRDefault="000A1EA7" w:rsidP="00722749">
            <w:pPr>
              <w:tabs>
                <w:tab w:val="left" w:pos="153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32932D9A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3492C42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2024</w:t>
            </w:r>
          </w:p>
        </w:tc>
      </w:tr>
      <w:tr w:rsidR="000A1EA7" w:rsidRPr="007D5748" w14:paraId="159DE41E" w14:textId="77777777" w:rsidTr="00722749">
        <w:trPr>
          <w:trHeight w:val="66"/>
          <w:jc w:val="center"/>
        </w:trPr>
        <w:tc>
          <w:tcPr>
            <w:tcW w:w="3758" w:type="dxa"/>
            <w:shd w:val="clear" w:color="auto" w:fill="C0C0C0"/>
            <w:noWrap/>
            <w:vAlign w:val="center"/>
          </w:tcPr>
          <w:p w14:paraId="13381866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Príjmy verejnej správy celkom</w:t>
            </w:r>
          </w:p>
        </w:tc>
        <w:tc>
          <w:tcPr>
            <w:tcW w:w="1381" w:type="dxa"/>
            <w:shd w:val="clear" w:color="auto" w:fill="C0C0C0"/>
            <w:vAlign w:val="center"/>
          </w:tcPr>
          <w:p w14:paraId="6A0CBDB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C0C0C0"/>
            <w:vAlign w:val="center"/>
          </w:tcPr>
          <w:p w14:paraId="05D8272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C0C0C0"/>
            <w:vAlign w:val="center"/>
          </w:tcPr>
          <w:p w14:paraId="5063943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17398B33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A1EA7" w:rsidRPr="007D5748" w14:paraId="29A23260" w14:textId="77777777" w:rsidTr="00722749">
        <w:trPr>
          <w:trHeight w:val="126"/>
          <w:jc w:val="center"/>
        </w:trPr>
        <w:tc>
          <w:tcPr>
            <w:tcW w:w="3758" w:type="dxa"/>
            <w:noWrap/>
            <w:vAlign w:val="center"/>
          </w:tcPr>
          <w:p w14:paraId="65451C67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381" w:type="dxa"/>
            <w:noWrap/>
            <w:vAlign w:val="center"/>
          </w:tcPr>
          <w:p w14:paraId="275F7C8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15390A1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4845771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BF6798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46BCC281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4E735508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 xml:space="preserve">z toho:  </w:t>
            </w:r>
          </w:p>
        </w:tc>
        <w:tc>
          <w:tcPr>
            <w:tcW w:w="1381" w:type="dxa"/>
            <w:noWrap/>
            <w:vAlign w:val="center"/>
          </w:tcPr>
          <w:p w14:paraId="3991EAA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2360" w:type="dxa"/>
            <w:noWrap/>
            <w:vAlign w:val="center"/>
          </w:tcPr>
          <w:p w14:paraId="2DE4AF5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85" w:type="dxa"/>
            <w:noWrap/>
            <w:vAlign w:val="center"/>
          </w:tcPr>
          <w:p w14:paraId="3928455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58F8400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</w:tr>
      <w:tr w:rsidR="000A1EA7" w:rsidRPr="007D5748" w14:paraId="6958D9EC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527E9BAA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14:paraId="5E26A99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C43ED3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24F0A3D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ECA137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4E528C29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10AD26F4" w14:textId="77777777" w:rsidR="000A1EA7" w:rsidRPr="007D5748" w:rsidRDefault="000A1EA7" w:rsidP="00722749">
            <w:pPr>
              <w:ind w:left="259"/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381" w:type="dxa"/>
            <w:noWrap/>
            <w:vAlign w:val="center"/>
          </w:tcPr>
          <w:p w14:paraId="5DBC078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117A8CC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257899D9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EB2D999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70812D46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4FD7E8F8" w14:textId="77777777" w:rsidR="000A1EA7" w:rsidRPr="007D5748" w:rsidRDefault="000A1EA7" w:rsidP="00722749">
            <w:pPr>
              <w:ind w:left="259"/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>EÚ zdroje</w:t>
            </w:r>
          </w:p>
        </w:tc>
        <w:tc>
          <w:tcPr>
            <w:tcW w:w="1381" w:type="dxa"/>
            <w:noWrap/>
            <w:vAlign w:val="center"/>
          </w:tcPr>
          <w:p w14:paraId="2911576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1952ADB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13DEE7C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96F5E4A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0308562D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26B2C1F4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32C77A4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29AB621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2EDFEEB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FD4D55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75585A44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71DEB657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14:paraId="0806181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6CD6740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7A2E3CA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AD9ECA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11C81724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598BEB39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67CBC1B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ED4A6A3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0F09846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B29E87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12D0B7E9" w14:textId="77777777" w:rsidTr="00722749">
        <w:trPr>
          <w:trHeight w:val="119"/>
          <w:jc w:val="center"/>
        </w:trPr>
        <w:tc>
          <w:tcPr>
            <w:tcW w:w="3758" w:type="dxa"/>
            <w:shd w:val="clear" w:color="auto" w:fill="C0C0C0"/>
            <w:noWrap/>
            <w:vAlign w:val="center"/>
          </w:tcPr>
          <w:p w14:paraId="442C87EF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Výdavky verejnej správy celkom</w:t>
            </w:r>
          </w:p>
        </w:tc>
        <w:tc>
          <w:tcPr>
            <w:tcW w:w="1381" w:type="dxa"/>
            <w:shd w:val="clear" w:color="auto" w:fill="C0C0C0"/>
            <w:noWrap/>
            <w:vAlign w:val="center"/>
          </w:tcPr>
          <w:p w14:paraId="7B67BD1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C0C0C0"/>
            <w:noWrap/>
            <w:vAlign w:val="center"/>
          </w:tcPr>
          <w:p w14:paraId="55CD9FA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7 470 679,03</w:t>
            </w:r>
          </w:p>
        </w:tc>
        <w:tc>
          <w:tcPr>
            <w:tcW w:w="1285" w:type="dxa"/>
            <w:shd w:val="clear" w:color="auto" w:fill="C0C0C0"/>
            <w:noWrap/>
            <w:vAlign w:val="center"/>
          </w:tcPr>
          <w:p w14:paraId="4C71A49A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3EC47BD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0   </w:t>
            </w:r>
          </w:p>
        </w:tc>
      </w:tr>
      <w:tr w:rsidR="000A1EA7" w:rsidRPr="007D5748" w14:paraId="01583711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6C2C2B53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v tom</w:t>
            </w:r>
            <w:r>
              <w:rPr>
                <w:rFonts w:eastAsia="Times New Roman" w:cs="Times New Roman"/>
                <w:szCs w:val="24"/>
                <w:lang w:eastAsia="sk-SK"/>
              </w:rPr>
              <w:t>:</w:t>
            </w:r>
          </w:p>
        </w:tc>
        <w:tc>
          <w:tcPr>
            <w:tcW w:w="1381" w:type="dxa"/>
            <w:noWrap/>
            <w:vAlign w:val="center"/>
          </w:tcPr>
          <w:p w14:paraId="75870C8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58F7ACB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30A9F26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2C6027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72B211E9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30453962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856448">
              <w:rPr>
                <w:rFonts w:eastAsia="Times New Roman" w:cs="Times New Roman"/>
                <w:szCs w:val="24"/>
                <w:lang w:eastAsia="sk-SK"/>
              </w:rPr>
              <w:t>MDV SR (program 055)</w:t>
            </w:r>
          </w:p>
        </w:tc>
        <w:tc>
          <w:tcPr>
            <w:tcW w:w="1381" w:type="dxa"/>
            <w:noWrap/>
            <w:vAlign w:val="center"/>
          </w:tcPr>
          <w:p w14:paraId="6AB7238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EDB1BA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7 470 679,03</w:t>
            </w:r>
          </w:p>
        </w:tc>
        <w:tc>
          <w:tcPr>
            <w:tcW w:w="1285" w:type="dxa"/>
            <w:noWrap/>
            <w:vAlign w:val="center"/>
          </w:tcPr>
          <w:p w14:paraId="06C05513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1B8C5BF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A1EA7" w:rsidRPr="007D5748" w14:paraId="2C223693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34661467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 xml:space="preserve">z toho: </w:t>
            </w:r>
          </w:p>
        </w:tc>
        <w:tc>
          <w:tcPr>
            <w:tcW w:w="1381" w:type="dxa"/>
            <w:noWrap/>
            <w:vAlign w:val="center"/>
          </w:tcPr>
          <w:p w14:paraId="4B29778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2360" w:type="dxa"/>
            <w:noWrap/>
            <w:vAlign w:val="center"/>
          </w:tcPr>
          <w:p w14:paraId="10DB542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85" w:type="dxa"/>
            <w:noWrap/>
            <w:vAlign w:val="center"/>
          </w:tcPr>
          <w:p w14:paraId="49383B6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14:paraId="0D4BB31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</w:tc>
      </w:tr>
      <w:tr w:rsidR="000A1EA7" w:rsidRPr="007D5748" w14:paraId="46C92421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3794683D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14:paraId="536FC6E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22E3E20" w14:textId="77777777" w:rsidR="000A1EA7" w:rsidRPr="003C2C53" w:rsidRDefault="000A1EA7" w:rsidP="00722749">
            <w:pPr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3C2C53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7 470 679,03</w:t>
            </w:r>
          </w:p>
        </w:tc>
        <w:tc>
          <w:tcPr>
            <w:tcW w:w="1285" w:type="dxa"/>
            <w:noWrap/>
            <w:vAlign w:val="center"/>
          </w:tcPr>
          <w:p w14:paraId="4311F99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39FDC0A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2EB81C54" w14:textId="77777777" w:rsidTr="00722749">
        <w:trPr>
          <w:trHeight w:val="127"/>
          <w:jc w:val="center"/>
        </w:trPr>
        <w:tc>
          <w:tcPr>
            <w:tcW w:w="3758" w:type="dxa"/>
            <w:noWrap/>
            <w:vAlign w:val="center"/>
          </w:tcPr>
          <w:p w14:paraId="2D7BDE2E" w14:textId="77777777" w:rsidR="000A1EA7" w:rsidRPr="007D5748" w:rsidRDefault="000A1EA7" w:rsidP="00722749">
            <w:pPr>
              <w:ind w:left="259"/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381" w:type="dxa"/>
            <w:noWrap/>
            <w:vAlign w:val="center"/>
          </w:tcPr>
          <w:p w14:paraId="04075C89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2975B4BC" w14:textId="77777777" w:rsidR="000A1EA7" w:rsidRPr="003C2C53" w:rsidRDefault="000A1EA7" w:rsidP="00722749">
            <w:pPr>
              <w:jc w:val="right"/>
              <w:rPr>
                <w:rFonts w:eastAsia="Times New Roman" w:cs="Times New Roman"/>
                <w:bCs/>
                <w:iCs/>
                <w:szCs w:val="24"/>
                <w:lang w:eastAsia="sk-SK"/>
              </w:rPr>
            </w:pPr>
            <w:r w:rsidRPr="003C2C53">
              <w:rPr>
                <w:rFonts w:eastAsia="Times New Roman" w:cs="Times New Roman"/>
                <w:bCs/>
                <w:iCs/>
                <w:szCs w:val="24"/>
                <w:lang w:eastAsia="sk-SK"/>
              </w:rPr>
              <w:t>7 470 679,03</w:t>
            </w:r>
          </w:p>
        </w:tc>
        <w:tc>
          <w:tcPr>
            <w:tcW w:w="1285" w:type="dxa"/>
            <w:noWrap/>
            <w:vAlign w:val="center"/>
          </w:tcPr>
          <w:p w14:paraId="23A3564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C31D4A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245F2C03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6823A08C" w14:textId="77777777" w:rsidR="000A1EA7" w:rsidRPr="007D5748" w:rsidRDefault="000A1EA7" w:rsidP="00722749">
            <w:pP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381" w:type="dxa"/>
            <w:noWrap/>
            <w:vAlign w:val="center"/>
          </w:tcPr>
          <w:p w14:paraId="39D3197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7285A933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0CB8ECB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2D5EAEA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41334745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722845C7" w14:textId="77777777" w:rsidR="000A1EA7" w:rsidRPr="007D5748" w:rsidRDefault="000A1EA7" w:rsidP="00722749">
            <w:pPr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Cs/>
                <w:i/>
                <w:iCs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381" w:type="dxa"/>
            <w:noWrap/>
            <w:vAlign w:val="center"/>
          </w:tcPr>
          <w:p w14:paraId="0E09E99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2D52265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43956FB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6EC458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454A506D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67420100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6A2D3C2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6469BE9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47C1B4E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6D46843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04EF1346" w14:textId="77777777" w:rsidTr="00722749">
        <w:trPr>
          <w:trHeight w:val="119"/>
          <w:jc w:val="center"/>
        </w:trPr>
        <w:tc>
          <w:tcPr>
            <w:tcW w:w="3758" w:type="dxa"/>
            <w:noWrap/>
            <w:vAlign w:val="center"/>
          </w:tcPr>
          <w:p w14:paraId="4EFC2C8E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14:paraId="3B461DF3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BF7CF5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3CDB05B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976282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1EB9ACA1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62C31342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70C6B8F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12B2F4D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766686A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647E219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2F251431" w14:textId="77777777" w:rsidTr="00722749">
        <w:trPr>
          <w:trHeight w:val="66"/>
          <w:jc w:val="center"/>
        </w:trPr>
        <w:tc>
          <w:tcPr>
            <w:tcW w:w="3758" w:type="dxa"/>
            <w:shd w:val="clear" w:color="auto" w:fill="BFBFBF" w:themeFill="background1" w:themeFillShade="BF"/>
            <w:noWrap/>
            <w:vAlign w:val="center"/>
          </w:tcPr>
          <w:p w14:paraId="54206445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14:paraId="79B3855A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vAlign w:val="center"/>
          </w:tcPr>
          <w:p w14:paraId="770FC92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center"/>
          </w:tcPr>
          <w:p w14:paraId="33A5AA6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7585F56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A1EA7" w:rsidRPr="007D5748" w14:paraId="373D4EC4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3C845B44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14:paraId="3CAE13C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7D39651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1DE9606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D2533B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3F610761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46038EE4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118DAAE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2E327B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5F77FE6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1967D4F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6078EDB9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0864E850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14:paraId="2230F0E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4A9664F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06AD626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44A3F19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781EC2CF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1A44BC4F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59F8DDF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3B68409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2981F3D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7974279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089B1D36" w14:textId="77777777" w:rsidTr="00722749">
        <w:trPr>
          <w:trHeight w:val="66"/>
          <w:jc w:val="center"/>
        </w:trPr>
        <w:tc>
          <w:tcPr>
            <w:tcW w:w="3758" w:type="dxa"/>
            <w:shd w:val="clear" w:color="auto" w:fill="BFBFBF" w:themeFill="background1" w:themeFillShade="BF"/>
            <w:noWrap/>
            <w:vAlign w:val="center"/>
          </w:tcPr>
          <w:p w14:paraId="4F247702" w14:textId="77777777" w:rsidR="000A1EA7" w:rsidRPr="007D5748" w:rsidRDefault="000A1EA7" w:rsidP="00722749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Vplyv na mzdové výdavky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14:paraId="44F672A6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vAlign w:val="center"/>
          </w:tcPr>
          <w:p w14:paraId="3D992BDD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center"/>
          </w:tcPr>
          <w:p w14:paraId="383483C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51B0D9AA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0</w:t>
            </w:r>
          </w:p>
        </w:tc>
      </w:tr>
      <w:tr w:rsidR="000A1EA7" w:rsidRPr="007D5748" w14:paraId="032137B7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41BC5AE9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381" w:type="dxa"/>
            <w:noWrap/>
            <w:vAlign w:val="center"/>
          </w:tcPr>
          <w:p w14:paraId="71F8829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65B7EFC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5C76228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3B172CD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22EF62B4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2C630CA5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381" w:type="dxa"/>
            <w:noWrap/>
            <w:vAlign w:val="center"/>
          </w:tcPr>
          <w:p w14:paraId="6EE8F36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79CDAE1F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629DCC0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AA9109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0A2BF4D7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54AA5D0B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1" w:type="dxa"/>
            <w:noWrap/>
            <w:vAlign w:val="center"/>
          </w:tcPr>
          <w:p w14:paraId="26C05E0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3CE486D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2614C9F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0694812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5577B159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535C81A5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1" w:type="dxa"/>
            <w:noWrap/>
            <w:vAlign w:val="center"/>
          </w:tcPr>
          <w:p w14:paraId="1EE670D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09845A3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35852BC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0EDFFB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0</w:t>
            </w:r>
          </w:p>
        </w:tc>
      </w:tr>
      <w:tr w:rsidR="000A1EA7" w:rsidRPr="007D5748" w14:paraId="62C15E47" w14:textId="77777777" w:rsidTr="00722749">
        <w:trPr>
          <w:trHeight w:val="66"/>
          <w:jc w:val="center"/>
        </w:trPr>
        <w:tc>
          <w:tcPr>
            <w:tcW w:w="3758" w:type="dxa"/>
            <w:shd w:val="clear" w:color="auto" w:fill="C0C0C0"/>
            <w:noWrap/>
            <w:vAlign w:val="center"/>
          </w:tcPr>
          <w:p w14:paraId="6BDB8111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81" w:type="dxa"/>
            <w:shd w:val="clear" w:color="auto" w:fill="C0C0C0"/>
            <w:noWrap/>
            <w:vAlign w:val="center"/>
          </w:tcPr>
          <w:p w14:paraId="5EF34BE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C0C0C0"/>
            <w:noWrap/>
            <w:vAlign w:val="center"/>
          </w:tcPr>
          <w:p w14:paraId="36B4D2E3" w14:textId="77777777" w:rsidR="000A1EA7" w:rsidRPr="008564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szCs w:val="24"/>
                <w:lang w:eastAsia="sk-SK"/>
              </w:rPr>
              <w:t>7 470 679,03</w:t>
            </w:r>
          </w:p>
        </w:tc>
        <w:tc>
          <w:tcPr>
            <w:tcW w:w="1285" w:type="dxa"/>
            <w:shd w:val="clear" w:color="auto" w:fill="C0C0C0"/>
            <w:noWrap/>
            <w:vAlign w:val="center"/>
          </w:tcPr>
          <w:p w14:paraId="520B17BE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0E9AC69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A1EA7" w:rsidRPr="007D5748" w14:paraId="5DFC8C28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2F4AB850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 xml:space="preserve">v tom: </w:t>
            </w:r>
          </w:p>
        </w:tc>
        <w:tc>
          <w:tcPr>
            <w:tcW w:w="1381" w:type="dxa"/>
            <w:noWrap/>
            <w:vAlign w:val="center"/>
          </w:tcPr>
          <w:p w14:paraId="608DABD4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3605CAE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noWrap/>
            <w:vAlign w:val="center"/>
          </w:tcPr>
          <w:p w14:paraId="174575BB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EC245C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14FD5518" w14:textId="77777777" w:rsidTr="00722749">
        <w:trPr>
          <w:trHeight w:val="66"/>
          <w:jc w:val="center"/>
        </w:trPr>
        <w:tc>
          <w:tcPr>
            <w:tcW w:w="3758" w:type="dxa"/>
            <w:noWrap/>
            <w:vAlign w:val="center"/>
          </w:tcPr>
          <w:p w14:paraId="3C99CDB2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856448">
              <w:rPr>
                <w:rFonts w:eastAsia="Times New Roman" w:cs="Times New Roman"/>
                <w:szCs w:val="24"/>
                <w:lang w:eastAsia="sk-SK"/>
              </w:rPr>
              <w:t>MDV SR (program 055</w:t>
            </w:r>
            <w:r>
              <w:rPr>
                <w:rFonts w:eastAsia="Times New Roman" w:cs="Times New Roman"/>
                <w:szCs w:val="24"/>
                <w:lang w:eastAsia="sk-SK"/>
              </w:rPr>
              <w:t>07 zdroj 131K</w:t>
            </w:r>
            <w:r w:rsidRPr="00856448">
              <w:rPr>
                <w:rFonts w:eastAsia="Times New Roman" w:cs="Times New Roman"/>
                <w:szCs w:val="24"/>
                <w:lang w:eastAsia="sk-SK"/>
              </w:rPr>
              <w:t>)</w:t>
            </w:r>
          </w:p>
        </w:tc>
        <w:tc>
          <w:tcPr>
            <w:tcW w:w="1381" w:type="dxa"/>
            <w:noWrap/>
            <w:vAlign w:val="center"/>
          </w:tcPr>
          <w:p w14:paraId="73750678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noWrap/>
            <w:vAlign w:val="center"/>
          </w:tcPr>
          <w:p w14:paraId="6B861D8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7 470 679,03</w:t>
            </w:r>
          </w:p>
        </w:tc>
        <w:tc>
          <w:tcPr>
            <w:tcW w:w="1285" w:type="dxa"/>
            <w:noWrap/>
            <w:vAlign w:val="center"/>
          </w:tcPr>
          <w:p w14:paraId="1326DE12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14:paraId="552203E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0</w:t>
            </w:r>
          </w:p>
        </w:tc>
      </w:tr>
      <w:tr w:rsidR="000A1EA7" w:rsidRPr="007D5748" w14:paraId="52D3720A" w14:textId="77777777" w:rsidTr="00722749">
        <w:trPr>
          <w:trHeight w:val="66"/>
          <w:jc w:val="center"/>
        </w:trPr>
        <w:tc>
          <w:tcPr>
            <w:tcW w:w="3758" w:type="dxa"/>
            <w:shd w:val="clear" w:color="auto" w:fill="BFBFBF" w:themeFill="background1" w:themeFillShade="BF"/>
            <w:noWrap/>
            <w:vAlign w:val="center"/>
          </w:tcPr>
          <w:p w14:paraId="55B643D2" w14:textId="77777777" w:rsidR="000A1EA7" w:rsidRPr="007D5748" w:rsidRDefault="000A1EA7" w:rsidP="00722749">
            <w:pPr>
              <w:rPr>
                <w:rFonts w:eastAsia="Times New Roman" w:cs="Times New Roman"/>
                <w:b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szCs w:val="24"/>
                <w:lang w:eastAsia="sk-SK"/>
              </w:rPr>
              <w:t>Iné ako rozpočtové zdroje</w:t>
            </w:r>
          </w:p>
        </w:tc>
        <w:tc>
          <w:tcPr>
            <w:tcW w:w="1381" w:type="dxa"/>
            <w:shd w:val="clear" w:color="auto" w:fill="BFBFBF" w:themeFill="background1" w:themeFillShade="BF"/>
            <w:noWrap/>
            <w:vAlign w:val="center"/>
          </w:tcPr>
          <w:p w14:paraId="4C54C1C7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BFBFBF" w:themeFill="background1" w:themeFillShade="BF"/>
            <w:noWrap/>
            <w:vAlign w:val="center"/>
          </w:tcPr>
          <w:p w14:paraId="6A9ADE1C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BFBFBF" w:themeFill="background1" w:themeFillShade="BF"/>
            <w:noWrap/>
            <w:vAlign w:val="center"/>
          </w:tcPr>
          <w:p w14:paraId="5247CAD0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273C63F5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tr w:rsidR="000A1EA7" w:rsidRPr="007D5748" w14:paraId="6B7C5F77" w14:textId="77777777" w:rsidTr="00722749">
        <w:trPr>
          <w:trHeight w:val="66"/>
          <w:jc w:val="center"/>
        </w:trPr>
        <w:tc>
          <w:tcPr>
            <w:tcW w:w="3758" w:type="dxa"/>
            <w:shd w:val="clear" w:color="auto" w:fill="A6A6A6" w:themeFill="background1" w:themeFillShade="A6"/>
            <w:noWrap/>
            <w:vAlign w:val="center"/>
          </w:tcPr>
          <w:p w14:paraId="14CAC0C7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381" w:type="dxa"/>
            <w:shd w:val="clear" w:color="auto" w:fill="A6A6A6" w:themeFill="background1" w:themeFillShade="A6"/>
            <w:noWrap/>
            <w:vAlign w:val="center"/>
          </w:tcPr>
          <w:p w14:paraId="41524F49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2360" w:type="dxa"/>
            <w:shd w:val="clear" w:color="auto" w:fill="A6A6A6" w:themeFill="background1" w:themeFillShade="A6"/>
            <w:noWrap/>
            <w:vAlign w:val="center"/>
          </w:tcPr>
          <w:p w14:paraId="0DB877D1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285" w:type="dxa"/>
            <w:shd w:val="clear" w:color="auto" w:fill="A6A6A6" w:themeFill="background1" w:themeFillShade="A6"/>
            <w:noWrap/>
            <w:vAlign w:val="center"/>
          </w:tcPr>
          <w:p w14:paraId="78D94DA9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</w:tcPr>
          <w:p w14:paraId="43854A33" w14:textId="77777777" w:rsidR="000A1EA7" w:rsidRPr="007D5748" w:rsidRDefault="000A1EA7" w:rsidP="00722749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0</w:t>
            </w:r>
          </w:p>
        </w:tc>
      </w:tr>
      <w:bookmarkEnd w:id="0"/>
    </w:tbl>
    <w:p w14:paraId="1D674960" w14:textId="77777777" w:rsidR="000A1EA7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zCs w:val="24"/>
          <w:lang w:eastAsia="sk-SK"/>
        </w:rPr>
        <w:br w:type="page"/>
      </w:r>
    </w:p>
    <w:p w14:paraId="1E76A625" w14:textId="77777777" w:rsidR="000A1EA7" w:rsidRPr="007D5748" w:rsidRDefault="000A1EA7" w:rsidP="000A1EA7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48D08ABE" w14:textId="77777777" w:rsidR="000A1EA7" w:rsidRPr="007D5748" w:rsidRDefault="000A1EA7" w:rsidP="000A1EA7">
      <w:pPr>
        <w:jc w:val="both"/>
        <w:rPr>
          <w:rFonts w:eastAsia="Times New Roman" w:cs="Times New Roman"/>
          <w:b/>
          <w:bCs/>
          <w:sz w:val="12"/>
          <w:szCs w:val="24"/>
          <w:lang w:eastAsia="sk-SK"/>
        </w:rPr>
      </w:pPr>
    </w:p>
    <w:p w14:paraId="036788CC" w14:textId="77777777" w:rsidR="000A1EA7" w:rsidRPr="003C2C53" w:rsidRDefault="000A1EA7" w:rsidP="000A1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eastAsia="Calibri" w:cs="Times New Roman"/>
          <w:szCs w:val="24"/>
        </w:rPr>
      </w:pPr>
      <w:r w:rsidRPr="003C2C53">
        <w:rPr>
          <w:rFonts w:eastAsia="Calibri" w:cs="Times New Roman"/>
          <w:szCs w:val="24"/>
        </w:rPr>
        <w:t>Predmetný návrh zákona predpokladá negatívny vplyv na rozpočet verejnej správy v roku 2022, ktorý bude v roku 2022 rozpočtovo zabezpečený v rámci rozpočtu Ministerstva dopravy a výstavby Slovenskej republiky v podprograme 05507 štátna pomoc v oblasti civilného letectva, a to vo forme kapitálových výdavkov (zdroj 131K) presunom z roku 2021 prostredníctvom §8 zákona č. 523/2004 Z. z. o rozpočtových pravidlách verejnej správy a o zmene a doplnení niektorých zákonov v znení neskorších predpisov. Ministerstvo dopravy a výstavby Slovenskej republiky následne, na základe schválenej zmeny platnej a účinnej schémy štátnej pomoci, požiada o ich preklasifikovanie na bežné výdavky.</w:t>
      </w:r>
    </w:p>
    <w:p w14:paraId="35F7B18F" w14:textId="77777777" w:rsidR="000A1EA7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</w:p>
    <w:p w14:paraId="7A637E4E" w14:textId="77777777" w:rsidR="000A1EA7" w:rsidRPr="007D5748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 Popis a charakteristika návrhu</w:t>
      </w:r>
    </w:p>
    <w:p w14:paraId="55F181DA" w14:textId="77777777" w:rsidR="000A1EA7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2D0F6A6E" w14:textId="77777777" w:rsidR="000A1EA7" w:rsidRPr="007D5748" w:rsidRDefault="000A1EA7" w:rsidP="000A1EA7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2.2.1. Popis návrhu:</w:t>
      </w:r>
    </w:p>
    <w:p w14:paraId="4372B675" w14:textId="77777777" w:rsidR="000A1EA7" w:rsidRPr="007D5748" w:rsidRDefault="000A1EA7" w:rsidP="000A1EA7">
      <w:pPr>
        <w:jc w:val="both"/>
        <w:rPr>
          <w:rFonts w:eastAsia="Times New Roman" w:cs="Times New Roman"/>
          <w:b/>
          <w:bCs/>
          <w:szCs w:val="24"/>
          <w:lang w:eastAsia="sk-SK"/>
        </w:rPr>
      </w:pPr>
    </w:p>
    <w:p w14:paraId="22CE7EB2" w14:textId="77777777" w:rsidR="000A1EA7" w:rsidRPr="00856448" w:rsidRDefault="000A1EA7" w:rsidP="000A1EA7">
      <w:pPr>
        <w:jc w:val="both"/>
        <w:rPr>
          <w:rFonts w:eastAsia="Times New Roman" w:cs="Times New Roman"/>
          <w:szCs w:val="24"/>
          <w:lang w:eastAsia="sk-SK"/>
        </w:rPr>
      </w:pPr>
      <w:r w:rsidRPr="00856448">
        <w:rPr>
          <w:rFonts w:eastAsia="Times New Roman" w:cs="Times New Roman"/>
          <w:szCs w:val="24"/>
          <w:lang w:eastAsia="sk-SK"/>
        </w:rPr>
        <w:t>Predmetným návrhom zákona sa zavádza právna úprava</w:t>
      </w:r>
      <w:r>
        <w:rPr>
          <w:rFonts w:eastAsia="Times New Roman" w:cs="Times New Roman"/>
          <w:szCs w:val="24"/>
          <w:lang w:eastAsia="sk-SK"/>
        </w:rPr>
        <w:t>, ktorá umožní poskytnúť príspevok na zabezpečenie nevyhnutnej leteckej dostupnosti aj v roku 2022</w:t>
      </w:r>
      <w:r w:rsidRPr="00856448">
        <w:rPr>
          <w:rFonts w:eastAsia="Times New Roman" w:cs="Times New Roman"/>
          <w:szCs w:val="24"/>
          <w:lang w:eastAsia="sk-SK"/>
        </w:rPr>
        <w:t xml:space="preserve">. </w:t>
      </w:r>
    </w:p>
    <w:p w14:paraId="66DF447C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1E533060" w14:textId="77777777" w:rsidR="000A1EA7" w:rsidRPr="007D5748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2.2.2. Charakteristika návrhu:</w:t>
      </w:r>
    </w:p>
    <w:p w14:paraId="787398DB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05BBFC6D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b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b/>
          <w:szCs w:val="24"/>
          <w:lang w:eastAsia="sk-SK"/>
        </w:rPr>
        <w:t xml:space="preserve">  </w:t>
      </w:r>
      <w:r w:rsidRPr="007D5748">
        <w:rPr>
          <w:rFonts w:eastAsia="Times New Roman" w:cs="Times New Roman"/>
          <w:szCs w:val="24"/>
          <w:lang w:eastAsia="sk-SK"/>
        </w:rPr>
        <w:t>zmena sadzby</w:t>
      </w:r>
    </w:p>
    <w:p w14:paraId="17CFA69C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szCs w:val="24"/>
          <w:lang w:eastAsia="sk-SK"/>
        </w:rPr>
        <w:t xml:space="preserve">  zmena v nároku</w:t>
      </w:r>
    </w:p>
    <w:p w14:paraId="14376D51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szCs w:val="24"/>
          <w:lang w:eastAsia="sk-SK"/>
        </w:rPr>
        <w:t xml:space="preserve">  nová služba alebo nariadenie (alebo ich zrušenie)</w:t>
      </w:r>
    </w:p>
    <w:p w14:paraId="2D696A35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</w:t>
      </w:r>
      <w:r>
        <w:rPr>
          <w:rFonts w:eastAsia="Times New Roman" w:cs="Times New Roman"/>
          <w:szCs w:val="24"/>
          <w:bdr w:val="single" w:sz="4" w:space="0" w:color="auto"/>
          <w:lang w:eastAsia="sk-SK"/>
        </w:rPr>
        <w:t>x</w:t>
      </w: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eastAsia="Times New Roman" w:cs="Times New Roman"/>
          <w:szCs w:val="24"/>
          <w:lang w:eastAsia="sk-SK"/>
        </w:rPr>
        <w:t xml:space="preserve">  kombinovaný návrh</w:t>
      </w:r>
    </w:p>
    <w:p w14:paraId="401C4C6B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eastAsia="Times New Roman" w:cs="Times New Roman"/>
          <w:szCs w:val="24"/>
          <w:lang w:eastAsia="sk-SK"/>
        </w:rPr>
        <w:t xml:space="preserve">  iné </w:t>
      </w:r>
    </w:p>
    <w:p w14:paraId="18AC848F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2D6613B4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400EAB3F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2.2.3. Predpoklady vývoja objemu aktivít:</w:t>
      </w:r>
    </w:p>
    <w:p w14:paraId="0DCC54F9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72E49A10" w14:textId="77777777" w:rsidR="000A1EA7" w:rsidRPr="007D5748" w:rsidRDefault="000A1EA7" w:rsidP="000A1EA7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7D5748">
        <w:rPr>
          <w:rFonts w:eastAsia="Times New Roman" w:cs="Times New Roman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6F74E33" w14:textId="77777777" w:rsidR="000A1EA7" w:rsidRPr="007D5748" w:rsidRDefault="000A1EA7" w:rsidP="000A1EA7">
      <w:pPr>
        <w:jc w:val="right"/>
        <w:rPr>
          <w:rFonts w:eastAsia="Times New Roman" w:cs="Times New Roman"/>
          <w:sz w:val="20"/>
          <w:szCs w:val="20"/>
          <w:lang w:eastAsia="sk-SK"/>
        </w:rPr>
      </w:pPr>
      <w:r w:rsidRPr="007D5748">
        <w:rPr>
          <w:rFonts w:eastAsia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0A1EA7" w:rsidRPr="007D5748" w14:paraId="0104091F" w14:textId="77777777" w:rsidTr="00722749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87FD412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7AF76C56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Odhadované objemy</w:t>
            </w:r>
          </w:p>
        </w:tc>
      </w:tr>
      <w:tr w:rsidR="000A1EA7" w:rsidRPr="007D5748" w14:paraId="2EEDE517" w14:textId="77777777" w:rsidTr="00722749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2DE90B4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6203D5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3A01CB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63B145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948CE5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2024</w:t>
            </w:r>
          </w:p>
        </w:tc>
      </w:tr>
      <w:tr w:rsidR="000A1EA7" w:rsidRPr="007D5748" w14:paraId="6238320E" w14:textId="77777777" w:rsidTr="00722749">
        <w:trPr>
          <w:trHeight w:val="70"/>
        </w:trPr>
        <w:tc>
          <w:tcPr>
            <w:tcW w:w="4530" w:type="dxa"/>
          </w:tcPr>
          <w:p w14:paraId="777A6A29" w14:textId="77777777" w:rsidR="000A1EA7" w:rsidRPr="007D5748" w:rsidRDefault="000A1EA7" w:rsidP="0072274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4799B0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BDFB2E8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FDF2A14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F5DF2CB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0A1EA7" w:rsidRPr="007D5748" w14:paraId="089452FF" w14:textId="77777777" w:rsidTr="00722749">
        <w:trPr>
          <w:trHeight w:val="70"/>
        </w:trPr>
        <w:tc>
          <w:tcPr>
            <w:tcW w:w="4530" w:type="dxa"/>
          </w:tcPr>
          <w:p w14:paraId="20E53AE6" w14:textId="77777777" w:rsidR="000A1EA7" w:rsidRPr="007D5748" w:rsidRDefault="000A1EA7" w:rsidP="0072274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5114E0B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3EBB038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3D44557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174CAC9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  <w:tr w:rsidR="000A1EA7" w:rsidRPr="007D5748" w14:paraId="03324168" w14:textId="77777777" w:rsidTr="00722749">
        <w:trPr>
          <w:trHeight w:val="70"/>
        </w:trPr>
        <w:tc>
          <w:tcPr>
            <w:tcW w:w="4530" w:type="dxa"/>
          </w:tcPr>
          <w:p w14:paraId="3D40A92C" w14:textId="77777777" w:rsidR="000A1EA7" w:rsidRPr="007D5748" w:rsidRDefault="000A1EA7" w:rsidP="0072274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4A6E116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115FC9B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388AAA4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D07115F" w14:textId="77777777" w:rsidR="000A1EA7" w:rsidRPr="007D5748" w:rsidRDefault="000A1EA7" w:rsidP="007227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</w:p>
        </w:tc>
      </w:tr>
    </w:tbl>
    <w:p w14:paraId="3A03E8BB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43041F62" w14:textId="77777777" w:rsidR="000A1EA7" w:rsidRPr="007D5748" w:rsidRDefault="000A1EA7" w:rsidP="000A1EA7">
      <w:pPr>
        <w:rPr>
          <w:rFonts w:eastAsia="Times New Roman" w:cs="Times New Roman"/>
          <w:b/>
          <w:bCs/>
          <w:szCs w:val="24"/>
          <w:lang w:eastAsia="sk-SK"/>
        </w:rPr>
      </w:pPr>
      <w:r w:rsidRPr="007D5748">
        <w:rPr>
          <w:rFonts w:eastAsia="Times New Roman" w:cs="Times New Roman"/>
          <w:b/>
          <w:bCs/>
          <w:szCs w:val="24"/>
          <w:lang w:eastAsia="sk-SK"/>
        </w:rPr>
        <w:t>2.2.4. Výpočty vplyvov na verejné financie</w:t>
      </w:r>
    </w:p>
    <w:p w14:paraId="1034CE18" w14:textId="77777777" w:rsidR="000A1EA7" w:rsidRPr="007D5748" w:rsidRDefault="000A1EA7" w:rsidP="000A1EA7">
      <w:pPr>
        <w:rPr>
          <w:rFonts w:eastAsia="Times New Roman" w:cs="Times New Roman"/>
          <w:szCs w:val="24"/>
          <w:lang w:eastAsia="sk-SK"/>
        </w:rPr>
      </w:pPr>
    </w:p>
    <w:p w14:paraId="54D319E0" w14:textId="77777777" w:rsidR="000A1EA7" w:rsidRDefault="000A1EA7" w:rsidP="000A1EA7">
      <w:pPr>
        <w:jc w:val="both"/>
        <w:rPr>
          <w:rFonts w:cs="Times New Roman"/>
          <w:szCs w:val="24"/>
        </w:rPr>
      </w:pPr>
      <w:r w:rsidRPr="00D44918">
        <w:rPr>
          <w:rFonts w:eastAsia="Times New Roman" w:cs="Times New Roman"/>
          <w:szCs w:val="24"/>
          <w:lang w:eastAsia="sk-SK"/>
        </w:rPr>
        <w:t xml:space="preserve">Celkový rozpočet </w:t>
      </w:r>
      <w:r>
        <w:rPr>
          <w:rFonts w:eastAsia="Times New Roman" w:cs="Times New Roman"/>
          <w:szCs w:val="24"/>
          <w:lang w:eastAsia="sk-SK"/>
        </w:rPr>
        <w:t xml:space="preserve">v roku 2021 </w:t>
      </w:r>
      <w:r w:rsidRPr="00D44918">
        <w:rPr>
          <w:rFonts w:eastAsia="Times New Roman" w:cs="Times New Roman"/>
          <w:szCs w:val="24"/>
          <w:lang w:eastAsia="sk-SK"/>
        </w:rPr>
        <w:t>vo výške</w:t>
      </w:r>
      <w:r w:rsidRPr="003C2C53">
        <w:rPr>
          <w:rFonts w:cs="Times New Roman"/>
          <w:szCs w:val="24"/>
        </w:rPr>
        <w:t xml:space="preserve"> 21</w:t>
      </w:r>
      <w:r>
        <w:rPr>
          <w:rFonts w:cs="Times New Roman"/>
          <w:szCs w:val="24"/>
        </w:rPr>
        <w:t> 000 000,00</w:t>
      </w:r>
      <w:r w:rsidRPr="003C2C53">
        <w:rPr>
          <w:rFonts w:cs="Times New Roman"/>
          <w:szCs w:val="24"/>
        </w:rPr>
        <w:t xml:space="preserve"> eur</w:t>
      </w:r>
    </w:p>
    <w:p w14:paraId="41949831" w14:textId="77777777" w:rsidR="000A1EA7" w:rsidRPr="00BD2B1D" w:rsidRDefault="000A1EA7" w:rsidP="000A1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</w:t>
      </w:r>
      <w:r w:rsidRPr="003C2C53">
        <w:rPr>
          <w:rFonts w:cs="Times New Roman"/>
          <w:szCs w:val="24"/>
        </w:rPr>
        <w:t xml:space="preserve">erpanie </w:t>
      </w:r>
      <w:r>
        <w:rPr>
          <w:rFonts w:cs="Times New Roman"/>
          <w:szCs w:val="24"/>
        </w:rPr>
        <w:t>k 26. 11. 2021 vo výške</w:t>
      </w:r>
      <w:r w:rsidRPr="003C2C53">
        <w:rPr>
          <w:rFonts w:cs="Times New Roman"/>
          <w:szCs w:val="24"/>
        </w:rPr>
        <w:t xml:space="preserve"> 7 812 347,87 eur </w:t>
      </w:r>
      <w:r>
        <w:rPr>
          <w:rFonts w:cs="Times New Roman"/>
          <w:szCs w:val="24"/>
        </w:rPr>
        <w:t>(</w:t>
      </w:r>
      <w:r w:rsidRPr="003C2C53">
        <w:rPr>
          <w:rFonts w:cs="Times New Roman"/>
          <w:szCs w:val="24"/>
        </w:rPr>
        <w:t>poskytnu</w:t>
      </w:r>
      <w:r>
        <w:rPr>
          <w:rFonts w:cs="Times New Roman"/>
          <w:szCs w:val="24"/>
        </w:rPr>
        <w:t>té za obdobie 13. 03. 2020 – 30. </w:t>
      </w:r>
      <w:r w:rsidRPr="003C2C53">
        <w:rPr>
          <w:rFonts w:cs="Times New Roman"/>
          <w:szCs w:val="24"/>
        </w:rPr>
        <w:t>11. 2020)</w:t>
      </w:r>
    </w:p>
    <w:p w14:paraId="7C9F6644" w14:textId="77777777" w:rsidR="000A1EA7" w:rsidRPr="00BD2B1D" w:rsidRDefault="000A1EA7" w:rsidP="000A1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Očakávané čerpanie do konca roka 2021 ešte vo výške 2</w:t>
      </w:r>
      <w:r>
        <w:rPr>
          <w:szCs w:val="24"/>
        </w:rPr>
        <w:t> 716 973,10</w:t>
      </w:r>
      <w:r w:rsidRPr="003C2C53">
        <w:rPr>
          <w:rFonts w:cs="Times New Roman"/>
          <w:szCs w:val="24"/>
        </w:rPr>
        <w:t xml:space="preserve"> mil. eur </w:t>
      </w:r>
      <w:r w:rsidRPr="00BD2B1D">
        <w:rPr>
          <w:rFonts w:cs="Times New Roman"/>
          <w:szCs w:val="24"/>
        </w:rPr>
        <w:t xml:space="preserve">(za </w:t>
      </w:r>
      <w:r w:rsidRPr="003C2C53">
        <w:rPr>
          <w:rFonts w:cs="Times New Roman"/>
          <w:szCs w:val="24"/>
        </w:rPr>
        <w:t>obdobie od 01. 12. 2020 do 31. 08. 2021)</w:t>
      </w:r>
    </w:p>
    <w:p w14:paraId="0A233013" w14:textId="77777777" w:rsidR="000A1EA7" w:rsidRDefault="000A1EA7" w:rsidP="000A1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Doložka vplyvov k novela zákona č. 213/2019 Z. z. – letecký dopravcovia</w:t>
      </w:r>
      <w:r w:rsidRPr="003C2C53">
        <w:rPr>
          <w:rFonts w:cs="Times New Roman"/>
          <w:szCs w:val="24"/>
        </w:rPr>
        <w:t xml:space="preserve"> 3</w:t>
      </w:r>
      <w:r>
        <w:rPr>
          <w:rFonts w:cs="Times New Roman"/>
          <w:szCs w:val="24"/>
        </w:rPr>
        <w:t> 000 000,00</w:t>
      </w:r>
      <w:r w:rsidRPr="003C2C53">
        <w:rPr>
          <w:rFonts w:cs="Times New Roman"/>
          <w:szCs w:val="24"/>
        </w:rPr>
        <w:t xml:space="preserve"> eur </w:t>
      </w:r>
    </w:p>
    <w:p w14:paraId="02F7F5A3" w14:textId="77777777" w:rsidR="000A1EA7" w:rsidRPr="003C2C53" w:rsidRDefault="000A1EA7" w:rsidP="000A1EA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Zostatok 7 470 679,03 eur </w:t>
      </w:r>
    </w:p>
    <w:p w14:paraId="2C7B17E1" w14:textId="77777777" w:rsidR="000A1EA7" w:rsidRPr="007D5748" w:rsidRDefault="000A1EA7" w:rsidP="000A1EA7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</w:p>
    <w:p w14:paraId="094FD641" w14:textId="77777777" w:rsidR="000A1EA7" w:rsidRPr="007D5748" w:rsidRDefault="000A1EA7" w:rsidP="000A1EA7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  <w:sectPr w:rsidR="000A1EA7" w:rsidRPr="007D5748" w:rsidSect="003C2C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418" w:bottom="1276" w:left="1418" w:header="709" w:footer="709" w:gutter="0"/>
          <w:pgNumType w:start="1"/>
          <w:cols w:space="708"/>
          <w:docGrid w:linePitch="360"/>
        </w:sectPr>
      </w:pPr>
    </w:p>
    <w:p w14:paraId="56DB21FA" w14:textId="77777777" w:rsidR="000A1EA7" w:rsidRPr="007D5748" w:rsidRDefault="000A1EA7" w:rsidP="000A1EA7">
      <w:pPr>
        <w:tabs>
          <w:tab w:val="num" w:pos="1080"/>
        </w:tabs>
        <w:ind w:right="-578"/>
        <w:jc w:val="right"/>
        <w:rPr>
          <w:rFonts w:eastAsia="Times New Roman" w:cs="Times New Roman"/>
          <w:bCs/>
          <w:szCs w:val="24"/>
          <w:lang w:eastAsia="sk-SK"/>
        </w:rPr>
      </w:pPr>
    </w:p>
    <w:p w14:paraId="2FB34DA9" w14:textId="77777777" w:rsidR="000A1EA7" w:rsidRPr="007D5748" w:rsidRDefault="000A1EA7" w:rsidP="000A1EA7">
      <w:pPr>
        <w:tabs>
          <w:tab w:val="num" w:pos="1080"/>
        </w:tabs>
        <w:jc w:val="both"/>
        <w:rPr>
          <w:rFonts w:eastAsia="Times New Roman" w:cs="Times New Roman"/>
          <w:bCs/>
          <w:szCs w:val="20"/>
          <w:lang w:eastAsia="sk-SK"/>
        </w:rPr>
      </w:pPr>
      <w:r>
        <w:rPr>
          <w:rFonts w:eastAsia="Times New Roman" w:cs="Times New Roman"/>
          <w:bCs/>
          <w:szCs w:val="24"/>
          <w:lang w:eastAsia="sk-SK"/>
        </w:rPr>
        <w:t>Ministerstvo dopravy a výstavby Slovenskej republiky</w:t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</w:r>
      <w:r>
        <w:rPr>
          <w:rFonts w:eastAsia="Times New Roman" w:cs="Times New Roman"/>
          <w:bCs/>
          <w:szCs w:val="24"/>
          <w:lang w:eastAsia="sk-SK"/>
        </w:rPr>
        <w:tab/>
        <w:t>Tabuľka č.3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A1EA7" w:rsidRPr="007D5748" w14:paraId="1795B4AC" w14:textId="77777777" w:rsidTr="0072274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71E12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94B90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A4C7E7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Cs w:val="24"/>
                <w:lang w:eastAsia="sk-SK"/>
              </w:rPr>
              <w:t>poznámka</w:t>
            </w:r>
          </w:p>
        </w:tc>
      </w:tr>
      <w:tr w:rsidR="000A1EA7" w:rsidRPr="007D5748" w14:paraId="421671AB" w14:textId="77777777" w:rsidTr="0072274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0F676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3BEDC1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1CB344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633B6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CA9846" w14:textId="77777777" w:rsidR="000A1EA7" w:rsidRPr="007D5748" w:rsidRDefault="000A1EA7" w:rsidP="0072274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007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color w:val="FFFFFF"/>
                <w:szCs w:val="24"/>
                <w:lang w:eastAsia="sk-SK"/>
              </w:rPr>
            </w:pPr>
          </w:p>
        </w:tc>
      </w:tr>
      <w:tr w:rsidR="000A1EA7" w:rsidRPr="007D5748" w14:paraId="00D828D9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EA4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4B64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383D" w14:textId="77777777" w:rsidR="000A1EA7" w:rsidRPr="00BD2B1D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2B1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7 470 </w:t>
            </w:r>
            <w:r w:rsidRPr="003C2C53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sk-SK"/>
              </w:rPr>
              <w:t>679,03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27D8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5F57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C51BB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6C980966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79C" w14:textId="77777777" w:rsidR="000A1EA7" w:rsidRPr="007D5748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ABC3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33DD0" w14:textId="77777777" w:rsidR="000A1EA7" w:rsidRPr="00BD2B1D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75CEE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506C7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1E4EC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4A1B299A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BD4" w14:textId="77777777" w:rsidR="000A1EA7" w:rsidRPr="007D5748" w:rsidRDefault="000A1EA7" w:rsidP="00722749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2B89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1776" w14:textId="77777777" w:rsidR="000A1EA7" w:rsidRPr="00BD2B1D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EAE7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5C04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9AC7F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7361DFA9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BE5" w14:textId="77777777" w:rsidR="000A1EA7" w:rsidRPr="007D5748" w:rsidRDefault="000A1EA7" w:rsidP="00722749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5C697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63C0" w14:textId="77777777" w:rsidR="000A1EA7" w:rsidRPr="00BD2B1D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8EDF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8DDD9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3A9B2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1E789424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9F9" w14:textId="77777777" w:rsidR="000A1EA7" w:rsidRPr="00ED5934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ED593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v tom </w:t>
            </w:r>
            <w:r w:rsidRPr="00ED5934">
              <w:rPr>
                <w:rFonts w:eastAsia="Times New Roman" w:cs="Times New Roman"/>
                <w:sz w:val="20"/>
                <w:szCs w:val="20"/>
                <w:lang w:eastAsia="sk-SK"/>
              </w:rPr>
              <w:t>transfery prijímateľom príspevku (644001)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576F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1D15" w14:textId="77777777" w:rsidR="000A1EA7" w:rsidRPr="00BD2B1D" w:rsidRDefault="000A1EA7" w:rsidP="00722749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3C2C53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 xml:space="preserve">7 470 </w:t>
            </w:r>
            <w:r w:rsidRPr="003C2C53"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679,03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8DB6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6C37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3F71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0C0B3C95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480" w14:textId="77777777" w:rsidR="000A1EA7" w:rsidRPr="007D5748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eastAsia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B78C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66C6" w14:textId="77777777" w:rsidR="000A1EA7" w:rsidRPr="00BD2B1D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6AFF2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88DB0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06A50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</w:p>
        </w:tc>
      </w:tr>
      <w:tr w:rsidR="000A1EA7" w:rsidRPr="007D5748" w14:paraId="74A86C6B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87A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08A93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0378" w14:textId="77777777" w:rsidR="000A1EA7" w:rsidRPr="00BD2B1D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2B1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D2CE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1C3B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AC6C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5935D38A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61E" w14:textId="77777777" w:rsidR="000A1EA7" w:rsidRPr="007D5748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2F9D7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7A36" w14:textId="77777777" w:rsidR="000A1EA7" w:rsidRPr="00BD2B1D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81993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9D978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ABDC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04ACF68A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CF4" w14:textId="77777777" w:rsidR="000A1EA7" w:rsidRPr="007D5748" w:rsidRDefault="000A1EA7" w:rsidP="00722749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3B9F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1855" w14:textId="77777777" w:rsidR="000A1EA7" w:rsidRPr="00BD2B1D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447D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5C34" w14:textId="77777777" w:rsidR="000A1EA7" w:rsidRPr="00ED5934" w:rsidRDefault="000A1EA7" w:rsidP="00722749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22D34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4FADB1A5" w14:textId="77777777" w:rsidTr="0072274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D04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181E32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4B34DD" w14:textId="77777777" w:rsidR="000A1EA7" w:rsidRPr="00BD2B1D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2B1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37CDD0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DF81FF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B00E1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0A1EA7" w:rsidRPr="007D5748" w14:paraId="5D982F65" w14:textId="77777777" w:rsidTr="0072274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4F516" w14:textId="77777777" w:rsidR="000A1EA7" w:rsidRPr="007D5748" w:rsidRDefault="000A1EA7" w:rsidP="00722749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B2747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ECA46" w14:textId="77777777" w:rsidR="000A1EA7" w:rsidRPr="00BD2B1D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C2C5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7 470 </w:t>
            </w:r>
            <w:r w:rsidRPr="003C2C53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sk-SK"/>
              </w:rPr>
              <w:t>679,03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02C674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84470E" w14:textId="77777777" w:rsidR="000A1EA7" w:rsidRPr="00ED5934" w:rsidRDefault="000A1EA7" w:rsidP="00722749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D59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A6A1C0" w14:textId="77777777" w:rsidR="000A1EA7" w:rsidRPr="007D5748" w:rsidRDefault="000A1EA7" w:rsidP="00722749">
            <w:pPr>
              <w:rPr>
                <w:rFonts w:eastAsia="Times New Roman" w:cs="Times New Roman"/>
                <w:szCs w:val="24"/>
                <w:lang w:eastAsia="sk-SK"/>
              </w:rPr>
            </w:pPr>
            <w:r w:rsidRPr="007D5748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</w:tbl>
    <w:p w14:paraId="325F1E11" w14:textId="77777777" w:rsidR="000A1EA7" w:rsidRPr="007D5748" w:rsidRDefault="000A1EA7" w:rsidP="000A1EA7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7D5748">
        <w:rPr>
          <w:rFonts w:eastAsia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CD92096" w14:textId="2F31C2D9" w:rsidR="000A1EA7" w:rsidRDefault="000A1EA7" w:rsidP="000A1EA7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Cs w:val="20"/>
          <w:lang w:eastAsia="sk-SK"/>
        </w:rPr>
      </w:pPr>
    </w:p>
    <w:p w14:paraId="230CC4D1" w14:textId="77777777" w:rsidR="000A1EA7" w:rsidRDefault="000A1EA7" w:rsidP="000A1EA7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Cs w:val="20"/>
          <w:lang w:eastAsia="sk-SK"/>
        </w:rPr>
        <w:sectPr w:rsidR="000A1EA7" w:rsidSect="000A1EA7">
          <w:pgSz w:w="16840" w:h="11900" w:orient="landscape" w:code="9"/>
          <w:pgMar w:top="1418" w:right="1531" w:bottom="851" w:left="1418" w:header="709" w:footer="709" w:gutter="0"/>
          <w:cols w:space="708"/>
          <w:docGrid w:linePitch="326"/>
        </w:sectPr>
      </w:pPr>
    </w:p>
    <w:p w14:paraId="06114CFE" w14:textId="2930B694" w:rsidR="000A1EA7" w:rsidRPr="007D5748" w:rsidRDefault="000A1EA7" w:rsidP="000A1EA7">
      <w:pPr>
        <w:tabs>
          <w:tab w:val="num" w:pos="1080"/>
        </w:tabs>
        <w:ind w:left="-900"/>
        <w:jc w:val="both"/>
        <w:rPr>
          <w:rFonts w:eastAsia="Times New Roman" w:cs="Times New Roman"/>
          <w:bCs/>
          <w:szCs w:val="20"/>
          <w:lang w:eastAsia="sk-SK"/>
        </w:rPr>
      </w:pPr>
    </w:p>
    <w:p w14:paraId="3A68C369" w14:textId="77777777" w:rsidR="000A1EA7" w:rsidRPr="00B97336" w:rsidRDefault="000A1EA7" w:rsidP="000A1EA7">
      <w:pPr>
        <w:pStyle w:val="Default"/>
        <w:ind w:left="360"/>
        <w:jc w:val="center"/>
        <w:rPr>
          <w:color w:val="auto"/>
        </w:rPr>
      </w:pPr>
      <w:r w:rsidRPr="00B97336">
        <w:rPr>
          <w:b/>
          <w:bCs/>
          <w:color w:val="auto"/>
        </w:rPr>
        <w:t>DOLOŽKA ZLUČITEĽNOSTI</w:t>
      </w:r>
    </w:p>
    <w:p w14:paraId="601D68F0" w14:textId="77777777" w:rsidR="000A1EA7" w:rsidRPr="00B97336" w:rsidRDefault="000A1EA7" w:rsidP="000A1EA7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zákona s právom Európskej únie</w:t>
      </w:r>
    </w:p>
    <w:p w14:paraId="634F9833" w14:textId="77777777" w:rsidR="000A1EA7" w:rsidRPr="00B97336" w:rsidRDefault="000A1EA7" w:rsidP="000A1EA7">
      <w:pPr>
        <w:pStyle w:val="Default"/>
        <w:rPr>
          <w:color w:val="auto"/>
        </w:rPr>
      </w:pPr>
    </w:p>
    <w:p w14:paraId="7F8ED4A2" w14:textId="77777777" w:rsidR="000A1EA7" w:rsidRPr="00B97336" w:rsidRDefault="000A1EA7" w:rsidP="000A1EA7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>: Ministerstvo dopravy a výstavby Slovenskej republiky</w:t>
      </w:r>
    </w:p>
    <w:p w14:paraId="25805193" w14:textId="77777777" w:rsidR="000A1EA7" w:rsidRPr="00B97336" w:rsidRDefault="000A1EA7" w:rsidP="000A1EA7">
      <w:pPr>
        <w:pStyle w:val="Default"/>
        <w:jc w:val="both"/>
        <w:rPr>
          <w:color w:val="auto"/>
        </w:rPr>
      </w:pPr>
    </w:p>
    <w:p w14:paraId="46C63EA8" w14:textId="77777777" w:rsidR="000A1EA7" w:rsidRPr="00B97336" w:rsidRDefault="000A1EA7" w:rsidP="000A1EA7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Názov návrhu zákona</w:t>
      </w:r>
      <w:r w:rsidRPr="00B97336">
        <w:rPr>
          <w:color w:val="auto"/>
        </w:rPr>
        <w:t>: Návrh zákona</w:t>
      </w:r>
      <w:r>
        <w:t>,</w:t>
      </w:r>
      <w:r w:rsidRPr="00C26E08">
        <w:t xml:space="preserve"> </w:t>
      </w:r>
      <w:r w:rsidRPr="00F42F9F">
        <w:t xml:space="preserve">ktorým sa </w:t>
      </w:r>
      <w:r>
        <w:t>mení</w:t>
      </w:r>
      <w:r w:rsidRPr="00F42F9F">
        <w:t xml:space="preserve"> zákon č. 213/2019 Z. z. o odplatách a o poskytovaní príspevku v civilnom letectve a o zmene a doplnení niektorých zákonov v znení </w:t>
      </w:r>
      <w:r>
        <w:t>neskorších predpisov</w:t>
      </w:r>
    </w:p>
    <w:p w14:paraId="3E5E8D18" w14:textId="77777777" w:rsidR="000A1EA7" w:rsidRPr="00B97336" w:rsidRDefault="000A1EA7" w:rsidP="000A1EA7">
      <w:pPr>
        <w:rPr>
          <w:bCs/>
        </w:rPr>
      </w:pPr>
    </w:p>
    <w:p w14:paraId="4C57B84C" w14:textId="77777777" w:rsidR="000A1EA7" w:rsidRPr="00B97336" w:rsidRDefault="000A1EA7" w:rsidP="000A1EA7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zákona je upravený v práve Európskej únie</w:t>
      </w:r>
      <w:r w:rsidRPr="00B97336">
        <w:rPr>
          <w:color w:val="auto"/>
        </w:rPr>
        <w:t xml:space="preserve">: </w:t>
      </w:r>
    </w:p>
    <w:p w14:paraId="5C4608A2" w14:textId="77777777" w:rsidR="000A1EA7" w:rsidRPr="00B97336" w:rsidRDefault="000A1EA7" w:rsidP="000A1EA7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primárnom práve</w:t>
      </w:r>
    </w:p>
    <w:p w14:paraId="05C62491" w14:textId="77777777" w:rsidR="000A1EA7" w:rsidRPr="00B97336" w:rsidRDefault="000A1EA7" w:rsidP="000A1EA7">
      <w:pPr>
        <w:pStyle w:val="Default"/>
        <w:numPr>
          <w:ilvl w:val="0"/>
          <w:numId w:val="7"/>
        </w:numPr>
        <w:ind w:left="1701" w:hanging="567"/>
        <w:jc w:val="both"/>
        <w:rPr>
          <w:color w:val="auto"/>
        </w:rPr>
      </w:pPr>
      <w:r w:rsidRPr="00B97336">
        <w:rPr>
          <w:color w:val="auto"/>
        </w:rPr>
        <w:t>Zmluva o fungovaní Európskej únie (čl. 107</w:t>
      </w:r>
      <w:r>
        <w:rPr>
          <w:color w:val="auto"/>
        </w:rPr>
        <w:t xml:space="preserve"> až 109</w:t>
      </w:r>
      <w:r w:rsidRPr="00B97336">
        <w:rPr>
          <w:color w:val="auto"/>
        </w:rPr>
        <w:t>),</w:t>
      </w:r>
    </w:p>
    <w:p w14:paraId="1D758FDE" w14:textId="77777777" w:rsidR="000A1EA7" w:rsidRPr="00B97336" w:rsidRDefault="000A1EA7" w:rsidP="000A1EA7">
      <w:pPr>
        <w:jc w:val="both"/>
      </w:pPr>
    </w:p>
    <w:p w14:paraId="421CEC2C" w14:textId="77777777" w:rsidR="000A1EA7" w:rsidRDefault="000A1EA7" w:rsidP="000A1EA7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>
        <w:rPr>
          <w:color w:val="auto"/>
        </w:rPr>
        <w:t>v sekundárnom práve</w:t>
      </w:r>
    </w:p>
    <w:p w14:paraId="6A9D3A7C" w14:textId="77777777" w:rsidR="000A1EA7" w:rsidRPr="00161EA8" w:rsidRDefault="000A1EA7" w:rsidP="000A1EA7">
      <w:pPr>
        <w:pStyle w:val="Default"/>
        <w:ind w:left="993" w:firstLine="141"/>
        <w:jc w:val="both"/>
        <w:rPr>
          <w:color w:val="auto"/>
        </w:rPr>
      </w:pPr>
      <w:r>
        <w:rPr>
          <w:color w:val="auto"/>
        </w:rPr>
        <w:t>-</w:t>
      </w:r>
    </w:p>
    <w:p w14:paraId="2CD99378" w14:textId="77777777" w:rsidR="000A1EA7" w:rsidRPr="00B97336" w:rsidRDefault="000A1EA7" w:rsidP="000A1EA7">
      <w:pPr>
        <w:pStyle w:val="Default"/>
        <w:jc w:val="both"/>
        <w:rPr>
          <w:color w:val="auto"/>
        </w:rPr>
      </w:pPr>
    </w:p>
    <w:p w14:paraId="31FB3611" w14:textId="77777777" w:rsidR="000A1EA7" w:rsidRPr="00B97336" w:rsidRDefault="000A1EA7" w:rsidP="000A1EA7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judikatúre Súdneho dvora Európskej únie napr.</w:t>
      </w:r>
    </w:p>
    <w:p w14:paraId="0D55EAFE" w14:textId="77777777" w:rsidR="000A1EA7" w:rsidRPr="00B97336" w:rsidRDefault="000A1EA7" w:rsidP="000A1EA7">
      <w:pPr>
        <w:pStyle w:val="Default"/>
        <w:numPr>
          <w:ilvl w:val="0"/>
          <w:numId w:val="6"/>
        </w:numPr>
        <w:ind w:left="1701" w:hanging="567"/>
        <w:rPr>
          <w:color w:val="auto"/>
        </w:rPr>
      </w:pPr>
      <w:r w:rsidRPr="00B97336">
        <w:rPr>
          <w:color w:val="auto"/>
        </w:rPr>
        <w:t>Rozsudok Všeobecného súdu (ôsma rozší</w:t>
      </w:r>
      <w:r>
        <w:rPr>
          <w:color w:val="auto"/>
        </w:rPr>
        <w:t>rená komora) z 25. januára 2018,</w:t>
      </w:r>
    </w:p>
    <w:p w14:paraId="3424CA52" w14:textId="77777777" w:rsidR="000A1EA7" w:rsidRPr="00B97336" w:rsidRDefault="000A1EA7" w:rsidP="000A1EA7">
      <w:pPr>
        <w:pStyle w:val="Default"/>
        <w:ind w:left="1701"/>
        <w:jc w:val="both"/>
        <w:rPr>
          <w:color w:val="auto"/>
        </w:rPr>
      </w:pPr>
      <w:proofErr w:type="spellStart"/>
      <w:r w:rsidRPr="00B97336">
        <w:rPr>
          <w:color w:val="auto"/>
        </w:rPr>
        <w:t>Brussels</w:t>
      </w:r>
      <w:proofErr w:type="spellEnd"/>
      <w:r w:rsidRPr="00B97336">
        <w:rPr>
          <w:color w:val="auto"/>
        </w:rPr>
        <w:t xml:space="preserve"> South </w:t>
      </w:r>
      <w:proofErr w:type="spellStart"/>
      <w:r w:rsidRPr="00B97336">
        <w:rPr>
          <w:color w:val="auto"/>
        </w:rPr>
        <w:t>Charleroi</w:t>
      </w:r>
      <w:proofErr w:type="spellEnd"/>
      <w:r w:rsidRPr="00B97336">
        <w:rPr>
          <w:color w:val="auto"/>
        </w:rPr>
        <w:t xml:space="preserve"> Airport (BSCA) proti Európska komisia (vec T-818/14).</w:t>
      </w:r>
    </w:p>
    <w:p w14:paraId="02728089" w14:textId="77777777" w:rsidR="000A1EA7" w:rsidRPr="00B97336" w:rsidRDefault="000A1EA7" w:rsidP="000A1EA7">
      <w:pPr>
        <w:pStyle w:val="Default"/>
        <w:jc w:val="both"/>
        <w:rPr>
          <w:color w:val="auto"/>
        </w:rPr>
      </w:pPr>
    </w:p>
    <w:p w14:paraId="7DB9CBF3" w14:textId="77777777" w:rsidR="000A1EA7" w:rsidRPr="00B97336" w:rsidRDefault="000A1EA7" w:rsidP="000A1EA7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Záväzky Slovenskej republiky vo vzťahu k Európskej únii</w:t>
      </w:r>
      <w:r w:rsidRPr="00B97336">
        <w:rPr>
          <w:color w:val="auto"/>
        </w:rPr>
        <w:t xml:space="preserve">: </w:t>
      </w:r>
    </w:p>
    <w:p w14:paraId="5BD234B8" w14:textId="77777777" w:rsidR="000A1EA7" w:rsidRPr="00B97336" w:rsidRDefault="000A1EA7" w:rsidP="000A1EA7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lehotu na prebranie príslušného právneho aktu Európskej únie, príp. aj osobitnú lehotu účinnosti jeho ustanovení </w:t>
      </w:r>
    </w:p>
    <w:p w14:paraId="2A3D68F6" w14:textId="77777777" w:rsidR="000A1EA7" w:rsidRPr="00B97336" w:rsidRDefault="000A1EA7" w:rsidP="000A1EA7">
      <w:pPr>
        <w:pStyle w:val="Default"/>
        <w:numPr>
          <w:ilvl w:val="0"/>
          <w:numId w:val="6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,</w:t>
      </w:r>
    </w:p>
    <w:p w14:paraId="10F07159" w14:textId="77777777" w:rsidR="000A1EA7" w:rsidRPr="00B97336" w:rsidRDefault="000A1EA7" w:rsidP="000A1EA7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</w:t>
      </w:r>
    </w:p>
    <w:p w14:paraId="73391DD9" w14:textId="77777777" w:rsidR="000A1EA7" w:rsidRPr="00B97336" w:rsidRDefault="000A1EA7" w:rsidP="000A1EA7">
      <w:pPr>
        <w:pStyle w:val="Default"/>
        <w:numPr>
          <w:ilvl w:val="0"/>
          <w:numId w:val="6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,</w:t>
      </w:r>
    </w:p>
    <w:p w14:paraId="713B08B6" w14:textId="77777777" w:rsidR="000A1EA7" w:rsidRPr="00B97336" w:rsidRDefault="000A1EA7" w:rsidP="000A1EA7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o právnych predpisoch, v ktorých sú uvádzané právne akty Európskej únie už prebrané, spolu s uvedením rozsahu ich prebrania, príp. potreby prijatia ďalších úprav </w:t>
      </w:r>
    </w:p>
    <w:p w14:paraId="00CA2A21" w14:textId="77777777" w:rsidR="000A1EA7" w:rsidRPr="00B97336" w:rsidRDefault="000A1EA7" w:rsidP="000A1EA7">
      <w:pPr>
        <w:pStyle w:val="Default"/>
        <w:numPr>
          <w:ilvl w:val="0"/>
          <w:numId w:val="6"/>
        </w:numPr>
        <w:autoSpaceDE/>
        <w:autoSpaceDN/>
        <w:adjustRightInd/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.</w:t>
      </w:r>
    </w:p>
    <w:p w14:paraId="66BED8C7" w14:textId="77777777" w:rsidR="000A1EA7" w:rsidRPr="00B97336" w:rsidRDefault="000A1EA7" w:rsidP="000A1EA7">
      <w:pPr>
        <w:pStyle w:val="Default"/>
        <w:jc w:val="both"/>
        <w:rPr>
          <w:color w:val="auto"/>
        </w:rPr>
      </w:pPr>
    </w:p>
    <w:p w14:paraId="428F2B40" w14:textId="77777777" w:rsidR="000A1EA7" w:rsidRPr="00B97336" w:rsidRDefault="000A1EA7" w:rsidP="000A1EA7">
      <w:pPr>
        <w:pStyle w:val="Default"/>
        <w:keepNext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Návrh zákona je zlučiteľný s právom Európskej únie</w:t>
      </w:r>
      <w:r w:rsidRPr="00B97336">
        <w:rPr>
          <w:color w:val="auto"/>
        </w:rPr>
        <w:t xml:space="preserve">: </w:t>
      </w:r>
    </w:p>
    <w:p w14:paraId="097B1D35" w14:textId="77777777" w:rsidR="000A1EA7" w:rsidRPr="00B97336" w:rsidRDefault="000A1EA7" w:rsidP="000A1EA7">
      <w:pPr>
        <w:pStyle w:val="Default"/>
        <w:ind w:firstLine="567"/>
        <w:jc w:val="both"/>
        <w:rPr>
          <w:color w:val="auto"/>
        </w:rPr>
      </w:pPr>
      <w:r w:rsidRPr="00B97336">
        <w:rPr>
          <w:color w:val="auto"/>
        </w:rPr>
        <w:t>Úplne</w:t>
      </w:r>
    </w:p>
    <w:p w14:paraId="5AC9A011" w14:textId="77777777" w:rsidR="000A1EA7" w:rsidRDefault="000A1EA7" w:rsidP="000A1EA7">
      <w:pPr>
        <w:sectPr w:rsidR="000A1EA7" w:rsidSect="003455E1">
          <w:headerReference w:type="default" r:id="rId21"/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590B8D61" w14:textId="77777777" w:rsidR="000A1EA7" w:rsidRPr="000E33A0" w:rsidRDefault="000A1EA7" w:rsidP="000A1EA7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t>Osobitná časť</w:t>
      </w:r>
    </w:p>
    <w:p w14:paraId="2B3B9662" w14:textId="77777777" w:rsidR="000A1EA7" w:rsidRPr="000E33A0" w:rsidRDefault="000A1EA7" w:rsidP="000A1EA7">
      <w:pPr>
        <w:widowControl w:val="0"/>
        <w:outlineLvl w:val="0"/>
        <w:rPr>
          <w:rFonts w:eastAsia="Times New Roman" w:cs="Times New Roman"/>
          <w:b/>
          <w:szCs w:val="24"/>
        </w:rPr>
      </w:pPr>
    </w:p>
    <w:p w14:paraId="280506C5" w14:textId="77777777" w:rsidR="000A1EA7" w:rsidRPr="000E33A0" w:rsidRDefault="000A1EA7" w:rsidP="000A1EA7">
      <w:pPr>
        <w:widowControl w:val="0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 I</w:t>
      </w:r>
    </w:p>
    <w:p w14:paraId="63E16CE2" w14:textId="77777777" w:rsidR="000A1EA7" w:rsidRDefault="000A1EA7" w:rsidP="000A1EA7">
      <w:pPr>
        <w:widowControl w:val="0"/>
        <w:jc w:val="both"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Dňa </w:t>
      </w:r>
      <w:r>
        <w:rPr>
          <w:rFonts w:cs="Times New Roman"/>
          <w:szCs w:val="24"/>
        </w:rPr>
        <w:t xml:space="preserve">18. novembra 2021 Európska komisia prijala 6. zmenu tzv. </w:t>
      </w:r>
      <w:r w:rsidRPr="005C652D">
        <w:rPr>
          <w:rFonts w:cs="Times New Roman"/>
          <w:szCs w:val="24"/>
        </w:rPr>
        <w:t>Dočasn</w:t>
      </w:r>
      <w:r>
        <w:rPr>
          <w:rFonts w:cs="Times New Roman"/>
          <w:szCs w:val="24"/>
        </w:rPr>
        <w:t>ého</w:t>
      </w:r>
      <w:r w:rsidRPr="005C652D">
        <w:rPr>
          <w:rFonts w:cs="Times New Roman"/>
          <w:szCs w:val="24"/>
        </w:rPr>
        <w:t xml:space="preserve"> rám</w:t>
      </w:r>
      <w:r>
        <w:rPr>
          <w:rFonts w:cs="Times New Roman"/>
          <w:szCs w:val="24"/>
        </w:rPr>
        <w:t>ca</w:t>
      </w:r>
      <w:r w:rsidRPr="005C652D">
        <w:rPr>
          <w:rFonts w:cs="Times New Roman"/>
          <w:szCs w:val="24"/>
        </w:rPr>
        <w:t xml:space="preserve"> pre opatrenia štátnej pomoci na podporu hospodárstva v súčasnej situácii spôsobenej nákazou COVID-19</w:t>
      </w:r>
      <w:r>
        <w:rPr>
          <w:rFonts w:cs="Times New Roman"/>
          <w:szCs w:val="24"/>
        </w:rPr>
        <w:t>, ktorým sa predĺžila možnosť poskytovať štátnu pomoc z 31. decembra 2021 do 30. júna 2022. Navrhovaná právna úprava umožní ministerstvu poskytnúť príspevok na zabezpečenie nevyhnutnej leteckej dostupnosti aj v roku 2022 s možnosťou špecifikovať oprávnené obdobie v schéme štátnej pomoci. Navrhovaná právna úprava umožní, v prípade schválenia ďalšej zmeny Dočasného rámca pružnejšie reagovať.</w:t>
      </w:r>
    </w:p>
    <w:p w14:paraId="5A1B1894" w14:textId="77777777" w:rsidR="000A1EA7" w:rsidRPr="000E33A0" w:rsidRDefault="000A1EA7" w:rsidP="000A1EA7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5C8AD6FB" w14:textId="77777777" w:rsidR="000A1EA7" w:rsidRPr="000E33A0" w:rsidRDefault="000A1EA7" w:rsidP="000A1EA7">
      <w:pPr>
        <w:keepNext/>
        <w:widowControl w:val="0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 II</w:t>
      </w:r>
    </w:p>
    <w:p w14:paraId="556646A1" w14:textId="77777777" w:rsidR="000A1EA7" w:rsidRPr="000E33A0" w:rsidRDefault="000A1EA7" w:rsidP="000A1EA7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Ustanovuje sa účinnosť navrhovaného zákona.</w:t>
      </w:r>
    </w:p>
    <w:p w14:paraId="4A6CBA0D" w14:textId="77777777" w:rsidR="000A1EA7" w:rsidRDefault="000A1EA7" w:rsidP="005B5084"/>
    <w:p w14:paraId="5386FB74" w14:textId="77777777" w:rsidR="005B5084" w:rsidRDefault="005B5084" w:rsidP="005B5084">
      <w:p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0EA89A80" w14:textId="663412DF" w:rsidR="005B5084" w:rsidRPr="005B5084" w:rsidRDefault="005B5084" w:rsidP="005B5084">
      <w:pPr>
        <w:jc w:val="both"/>
        <w:rPr>
          <w:rFonts w:eastAsia="Times New Roman" w:cs="Times New Roman"/>
          <w:szCs w:val="24"/>
        </w:rPr>
      </w:pPr>
      <w:bookmarkStart w:id="1" w:name="_GoBack"/>
      <w:bookmarkEnd w:id="1"/>
      <w:r w:rsidRPr="005B5084">
        <w:rPr>
          <w:rFonts w:eastAsia="Times New Roman" w:cs="Times New Roman"/>
          <w:szCs w:val="24"/>
        </w:rPr>
        <w:t xml:space="preserve">Bratislava  </w:t>
      </w:r>
      <w:r w:rsidR="000A1EA7">
        <w:rPr>
          <w:rFonts w:eastAsia="Times New Roman" w:cs="Times New Roman"/>
          <w:szCs w:val="24"/>
        </w:rPr>
        <w:t>1</w:t>
      </w:r>
      <w:r w:rsidRPr="005B5084">
        <w:rPr>
          <w:rFonts w:eastAsia="Times New Roman" w:cs="Times New Roman"/>
          <w:szCs w:val="24"/>
        </w:rPr>
        <w:t xml:space="preserve">. </w:t>
      </w:r>
      <w:r w:rsidR="000A1EA7">
        <w:rPr>
          <w:rFonts w:eastAsia="Times New Roman" w:cs="Times New Roman"/>
          <w:szCs w:val="24"/>
        </w:rPr>
        <w:t xml:space="preserve">decembra </w:t>
      </w:r>
      <w:r w:rsidR="008149D5">
        <w:rPr>
          <w:rFonts w:eastAsia="Times New Roman" w:cs="Times New Roman"/>
          <w:szCs w:val="24"/>
        </w:rPr>
        <w:t>202</w:t>
      </w:r>
      <w:r w:rsidR="000C4D87">
        <w:rPr>
          <w:rFonts w:eastAsia="Times New Roman" w:cs="Times New Roman"/>
          <w:szCs w:val="24"/>
        </w:rPr>
        <w:t>1</w:t>
      </w:r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5B5084" w:rsidRPr="005B5084" w14:paraId="3F9E0F54" w14:textId="77777777" w:rsidTr="005B5084">
        <w:trPr>
          <w:trHeight w:val="3402"/>
        </w:trPr>
        <w:tc>
          <w:tcPr>
            <w:tcW w:w="9621" w:type="dxa"/>
            <w:vAlign w:val="bottom"/>
          </w:tcPr>
          <w:p w14:paraId="753BEA87" w14:textId="076FA6DC" w:rsidR="005B5084" w:rsidRPr="005B5084" w:rsidRDefault="002B162C" w:rsidP="005B5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 xml:space="preserve">Eduard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cs-CZ"/>
              </w:rPr>
              <w:t>Heger</w:t>
            </w:r>
            <w:proofErr w:type="spellEnd"/>
          </w:p>
          <w:p w14:paraId="16A12891" w14:textId="77777777" w:rsidR="005B5084" w:rsidRPr="005B5084" w:rsidRDefault="005B5084" w:rsidP="005B5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B5084">
              <w:rPr>
                <w:rFonts w:eastAsia="Times New Roman" w:cs="Times New Roman"/>
                <w:szCs w:val="24"/>
              </w:rPr>
              <w:t>predseda vlády Slovenskej republiky</w:t>
            </w:r>
          </w:p>
        </w:tc>
      </w:tr>
      <w:tr w:rsidR="005B5084" w:rsidRPr="005B5084" w14:paraId="06DFC67F" w14:textId="77777777" w:rsidTr="005B5084">
        <w:trPr>
          <w:trHeight w:val="3402"/>
        </w:trPr>
        <w:tc>
          <w:tcPr>
            <w:tcW w:w="9621" w:type="dxa"/>
            <w:vAlign w:val="bottom"/>
          </w:tcPr>
          <w:p w14:paraId="2DBEDC63" w14:textId="0586BCBB" w:rsidR="005B5084" w:rsidRPr="005B5084" w:rsidRDefault="005B5084" w:rsidP="005B5084">
            <w:pPr>
              <w:widowControl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Andrej Doležal</w:t>
            </w:r>
          </w:p>
          <w:p w14:paraId="0E1997C3" w14:textId="77777777" w:rsidR="005B5084" w:rsidRPr="005B5084" w:rsidRDefault="005B5084" w:rsidP="005B5084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Cs w:val="24"/>
              </w:rPr>
            </w:pPr>
            <w:r w:rsidRPr="005B5084">
              <w:rPr>
                <w:rFonts w:eastAsia="Times New Roman" w:cs="Times New Roman"/>
                <w:szCs w:val="24"/>
              </w:rPr>
              <w:t>minister dopravy a výstavby Slovenskej republiky</w:t>
            </w:r>
          </w:p>
        </w:tc>
      </w:tr>
    </w:tbl>
    <w:p w14:paraId="51CEA185" w14:textId="77777777" w:rsidR="005B5084" w:rsidRPr="005B5084" w:rsidRDefault="005B5084" w:rsidP="005B5084">
      <w:pPr>
        <w:tabs>
          <w:tab w:val="left" w:pos="708"/>
        </w:tabs>
        <w:jc w:val="both"/>
        <w:rPr>
          <w:rFonts w:eastAsia="Times New Roman" w:cs="Times New Roman"/>
          <w:szCs w:val="24"/>
        </w:rPr>
      </w:pPr>
    </w:p>
    <w:p w14:paraId="68EF8DD1" w14:textId="77777777" w:rsidR="005B5084" w:rsidRPr="000E33A0" w:rsidRDefault="005B5084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sectPr w:rsidR="005B5084" w:rsidRPr="000E33A0" w:rsidSect="003455E1">
      <w:headerReference w:type="default" r:id="rId22"/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F5DB" w14:textId="77777777" w:rsidR="00AD5110" w:rsidRDefault="00AD5110" w:rsidP="003455E1">
      <w:r>
        <w:separator/>
      </w:r>
    </w:p>
  </w:endnote>
  <w:endnote w:type="continuationSeparator" w:id="0">
    <w:p w14:paraId="7DF70D15" w14:textId="77777777" w:rsidR="00AD5110" w:rsidRDefault="00AD5110" w:rsidP="003455E1">
      <w:r>
        <w:continuationSeparator/>
      </w:r>
    </w:p>
  </w:endnote>
  <w:endnote w:type="continuationNotice" w:id="1">
    <w:p w14:paraId="53C1470F" w14:textId="77777777" w:rsidR="00AD5110" w:rsidRDefault="00AD5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6E69" w14:textId="77777777" w:rsidR="00090F0A" w:rsidRDefault="00090F0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14:paraId="75F68F5A" w14:textId="77777777" w:rsidR="00090F0A" w:rsidRDefault="00090F0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1EE4" w14:textId="3F9A0C3D" w:rsidR="00090F0A" w:rsidRPr="002B162C" w:rsidRDefault="00090F0A" w:rsidP="002B162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122D" w14:textId="77777777" w:rsidR="00090F0A" w:rsidRDefault="00090F0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0841599" w14:textId="77777777" w:rsidR="00090F0A" w:rsidRDefault="00090F0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76A5" w14:textId="77777777" w:rsidR="000A1EA7" w:rsidRDefault="000A1E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14:paraId="259C6DBC" w14:textId="77777777" w:rsidR="000A1EA7" w:rsidRDefault="000A1EA7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34CF" w14:textId="4B09A714" w:rsidR="000A1EA7" w:rsidRDefault="000A1EA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0DEC9A2" w14:textId="77777777" w:rsidR="000A1EA7" w:rsidRDefault="000A1EA7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9855" w14:textId="77777777" w:rsidR="000A1EA7" w:rsidRDefault="000A1EA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0C4DD1C" w14:textId="77777777" w:rsidR="000A1EA7" w:rsidRDefault="000A1E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BF76" w14:textId="77777777" w:rsidR="00AD5110" w:rsidRDefault="00AD5110" w:rsidP="003455E1">
      <w:r>
        <w:separator/>
      </w:r>
    </w:p>
  </w:footnote>
  <w:footnote w:type="continuationSeparator" w:id="0">
    <w:p w14:paraId="3C500AE2" w14:textId="77777777" w:rsidR="00AD5110" w:rsidRDefault="00AD5110" w:rsidP="003455E1">
      <w:r>
        <w:continuationSeparator/>
      </w:r>
    </w:p>
  </w:footnote>
  <w:footnote w:type="continuationNotice" w:id="1">
    <w:p w14:paraId="4FECA27C" w14:textId="77777777" w:rsidR="00AD5110" w:rsidRDefault="00AD5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139B" w14:textId="77777777" w:rsidR="00090F0A" w:rsidRPr="00F5297A" w:rsidRDefault="00090F0A" w:rsidP="005B5084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19D3" w14:textId="77777777" w:rsidR="00090F0A" w:rsidRDefault="00090F0A" w:rsidP="005B5084">
    <w:pPr>
      <w:pStyle w:val="Hlavika"/>
      <w:jc w:val="right"/>
      <w:rPr>
        <w:szCs w:val="24"/>
      </w:rPr>
    </w:pPr>
    <w:r>
      <w:rPr>
        <w:szCs w:val="24"/>
      </w:rPr>
      <w:t>Príloha č. 2</w:t>
    </w:r>
  </w:p>
  <w:p w14:paraId="5C9E6A20" w14:textId="77777777" w:rsidR="00090F0A" w:rsidRPr="00EB59C8" w:rsidRDefault="00090F0A" w:rsidP="005B5084">
    <w:pPr>
      <w:pStyle w:val="Hlavika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0ED" w14:textId="77777777" w:rsidR="00090F0A" w:rsidRPr="000A15AE" w:rsidRDefault="00090F0A" w:rsidP="005B5084">
    <w:pPr>
      <w:pStyle w:val="Hlavika"/>
      <w:jc w:val="right"/>
      <w:rPr>
        <w:szCs w:val="24"/>
      </w:rPr>
    </w:pPr>
    <w:r>
      <w:rPr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6571" w14:textId="77777777" w:rsidR="000A1EA7" w:rsidRDefault="000A1EA7" w:rsidP="00856448">
    <w:pPr>
      <w:pStyle w:val="Hlavika"/>
      <w:jc w:val="right"/>
      <w:rPr>
        <w:szCs w:val="24"/>
      </w:rPr>
    </w:pPr>
    <w:r>
      <w:rPr>
        <w:szCs w:val="24"/>
      </w:rPr>
      <w:t>Príloha č. 2</w:t>
    </w:r>
  </w:p>
  <w:p w14:paraId="43179098" w14:textId="77777777" w:rsidR="000A1EA7" w:rsidRPr="00EB59C8" w:rsidRDefault="000A1EA7" w:rsidP="00856448">
    <w:pPr>
      <w:pStyle w:val="Hlavika"/>
      <w:jc w:val="right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E9C3" w14:textId="3C0404C4" w:rsidR="000A1EA7" w:rsidRPr="000A1EA7" w:rsidRDefault="000A1EA7" w:rsidP="000A1EA7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781A" w14:textId="77777777" w:rsidR="000A1EA7" w:rsidRPr="000A15AE" w:rsidRDefault="000A1EA7" w:rsidP="00856448">
    <w:pPr>
      <w:pStyle w:val="Hlavika"/>
      <w:jc w:val="right"/>
      <w:rPr>
        <w:szCs w:val="24"/>
      </w:rPr>
    </w:pPr>
    <w:r>
      <w:rPr>
        <w:szCs w:val="24"/>
      </w:rPr>
      <w:t>Príloha č. 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E879" w14:textId="5FD6CDB4" w:rsidR="000A1EA7" w:rsidRPr="000A1EA7" w:rsidRDefault="000A1EA7" w:rsidP="000A1EA7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80FD" w14:textId="3C3ABA0D" w:rsidR="000A1EA7" w:rsidRPr="0024067A" w:rsidRDefault="000A1EA7">
    <w:pPr>
      <w:pStyle w:val="Hlavika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8A5"/>
    <w:multiLevelType w:val="hybridMultilevel"/>
    <w:tmpl w:val="0532D280"/>
    <w:lvl w:ilvl="0" w:tplc="96AA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pStyle w:val="Nadpis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D4B"/>
    <w:multiLevelType w:val="hybridMultilevel"/>
    <w:tmpl w:val="4BB85338"/>
    <w:lvl w:ilvl="0" w:tplc="B4EA0594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65"/>
    <w:rsid w:val="000557DE"/>
    <w:rsid w:val="0005616A"/>
    <w:rsid w:val="0008200F"/>
    <w:rsid w:val="00090F0A"/>
    <w:rsid w:val="000A1EA7"/>
    <w:rsid w:val="000B6736"/>
    <w:rsid w:val="000C4D87"/>
    <w:rsid w:val="000D4EF4"/>
    <w:rsid w:val="000E33A0"/>
    <w:rsid w:val="00116671"/>
    <w:rsid w:val="00117F2A"/>
    <w:rsid w:val="0012404C"/>
    <w:rsid w:val="0014047F"/>
    <w:rsid w:val="00152C1A"/>
    <w:rsid w:val="0018574B"/>
    <w:rsid w:val="001979EC"/>
    <w:rsid w:val="001B2E47"/>
    <w:rsid w:val="001B4307"/>
    <w:rsid w:val="001E297D"/>
    <w:rsid w:val="00204F23"/>
    <w:rsid w:val="0020623F"/>
    <w:rsid w:val="00210731"/>
    <w:rsid w:val="00231DDB"/>
    <w:rsid w:val="00234D26"/>
    <w:rsid w:val="0024144F"/>
    <w:rsid w:val="00254691"/>
    <w:rsid w:val="002B162C"/>
    <w:rsid w:val="002B6CC5"/>
    <w:rsid w:val="002C5F7A"/>
    <w:rsid w:val="002D4181"/>
    <w:rsid w:val="002F39A1"/>
    <w:rsid w:val="00331590"/>
    <w:rsid w:val="00334387"/>
    <w:rsid w:val="003455E1"/>
    <w:rsid w:val="003A3E83"/>
    <w:rsid w:val="003B28A7"/>
    <w:rsid w:val="003C6A48"/>
    <w:rsid w:val="003D7795"/>
    <w:rsid w:val="003F2034"/>
    <w:rsid w:val="00470496"/>
    <w:rsid w:val="00480B76"/>
    <w:rsid w:val="004A238A"/>
    <w:rsid w:val="004A3359"/>
    <w:rsid w:val="004B5244"/>
    <w:rsid w:val="004B5494"/>
    <w:rsid w:val="004C1046"/>
    <w:rsid w:val="004C4E65"/>
    <w:rsid w:val="00507051"/>
    <w:rsid w:val="005338E0"/>
    <w:rsid w:val="00556EAE"/>
    <w:rsid w:val="00563145"/>
    <w:rsid w:val="0059170D"/>
    <w:rsid w:val="00596776"/>
    <w:rsid w:val="0059690A"/>
    <w:rsid w:val="005A656A"/>
    <w:rsid w:val="005A6DB6"/>
    <w:rsid w:val="005B5084"/>
    <w:rsid w:val="005C2838"/>
    <w:rsid w:val="00602655"/>
    <w:rsid w:val="00610A4A"/>
    <w:rsid w:val="00614D1D"/>
    <w:rsid w:val="00621150"/>
    <w:rsid w:val="006412B3"/>
    <w:rsid w:val="00645FFF"/>
    <w:rsid w:val="00656C6D"/>
    <w:rsid w:val="00671989"/>
    <w:rsid w:val="00687C16"/>
    <w:rsid w:val="006A57AA"/>
    <w:rsid w:val="006D22BD"/>
    <w:rsid w:val="006E6A8E"/>
    <w:rsid w:val="006F7C80"/>
    <w:rsid w:val="007050F6"/>
    <w:rsid w:val="00706D98"/>
    <w:rsid w:val="007332D1"/>
    <w:rsid w:val="00761413"/>
    <w:rsid w:val="00764377"/>
    <w:rsid w:val="00771D80"/>
    <w:rsid w:val="00774B3E"/>
    <w:rsid w:val="007B16D3"/>
    <w:rsid w:val="007D112C"/>
    <w:rsid w:val="007D3D98"/>
    <w:rsid w:val="008149D5"/>
    <w:rsid w:val="00840369"/>
    <w:rsid w:val="00863F51"/>
    <w:rsid w:val="00867D0F"/>
    <w:rsid w:val="008D1962"/>
    <w:rsid w:val="008E7696"/>
    <w:rsid w:val="008F06EE"/>
    <w:rsid w:val="008F5721"/>
    <w:rsid w:val="008F7D62"/>
    <w:rsid w:val="0090318D"/>
    <w:rsid w:val="00925BD6"/>
    <w:rsid w:val="009276D1"/>
    <w:rsid w:val="009A4108"/>
    <w:rsid w:val="009C553A"/>
    <w:rsid w:val="009F436C"/>
    <w:rsid w:val="00A047C2"/>
    <w:rsid w:val="00A07C7B"/>
    <w:rsid w:val="00A20389"/>
    <w:rsid w:val="00A30F05"/>
    <w:rsid w:val="00A41205"/>
    <w:rsid w:val="00A830AF"/>
    <w:rsid w:val="00AD4500"/>
    <w:rsid w:val="00AD5110"/>
    <w:rsid w:val="00AE1852"/>
    <w:rsid w:val="00B44786"/>
    <w:rsid w:val="00B5289F"/>
    <w:rsid w:val="00B52DCC"/>
    <w:rsid w:val="00B60EA3"/>
    <w:rsid w:val="00B659ED"/>
    <w:rsid w:val="00BC6F20"/>
    <w:rsid w:val="00C2540C"/>
    <w:rsid w:val="00C34044"/>
    <w:rsid w:val="00C424E4"/>
    <w:rsid w:val="00C547C3"/>
    <w:rsid w:val="00C55857"/>
    <w:rsid w:val="00C60CC2"/>
    <w:rsid w:val="00C6473C"/>
    <w:rsid w:val="00C73F1D"/>
    <w:rsid w:val="00C752DB"/>
    <w:rsid w:val="00C77FB7"/>
    <w:rsid w:val="00C9061E"/>
    <w:rsid w:val="00CA50BB"/>
    <w:rsid w:val="00CA5DB8"/>
    <w:rsid w:val="00CA601F"/>
    <w:rsid w:val="00CD5268"/>
    <w:rsid w:val="00CF5C41"/>
    <w:rsid w:val="00D40A29"/>
    <w:rsid w:val="00D40C8D"/>
    <w:rsid w:val="00D511DE"/>
    <w:rsid w:val="00D60863"/>
    <w:rsid w:val="00D671CC"/>
    <w:rsid w:val="00D76C61"/>
    <w:rsid w:val="00D83620"/>
    <w:rsid w:val="00DA3877"/>
    <w:rsid w:val="00DE068E"/>
    <w:rsid w:val="00DF3DB5"/>
    <w:rsid w:val="00DF5A92"/>
    <w:rsid w:val="00E0594D"/>
    <w:rsid w:val="00E16B6B"/>
    <w:rsid w:val="00E22B41"/>
    <w:rsid w:val="00E373C5"/>
    <w:rsid w:val="00E82A91"/>
    <w:rsid w:val="00E903A5"/>
    <w:rsid w:val="00EB2207"/>
    <w:rsid w:val="00EE1FE0"/>
    <w:rsid w:val="00EE52BB"/>
    <w:rsid w:val="00F20140"/>
    <w:rsid w:val="00F4697A"/>
    <w:rsid w:val="00F664FB"/>
    <w:rsid w:val="00F91947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0A8"/>
  <w15:chartTrackingRefBased/>
  <w15:docId w15:val="{90A7CE00-7D05-4D13-89DF-8E13354C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5B5084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rFonts w:eastAsia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C4E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E65"/>
  </w:style>
  <w:style w:type="paragraph" w:styleId="Pta">
    <w:name w:val="footer"/>
    <w:basedOn w:val="Normlny"/>
    <w:link w:val="PtaChar"/>
    <w:uiPriority w:val="99"/>
    <w:unhideWhenUsed/>
    <w:rsid w:val="003455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5E1"/>
  </w:style>
  <w:style w:type="paragraph" w:styleId="Textbubliny">
    <w:name w:val="Balloon Text"/>
    <w:basedOn w:val="Normlny"/>
    <w:link w:val="TextbublinyChar"/>
    <w:uiPriority w:val="99"/>
    <w:semiHidden/>
    <w:unhideWhenUsed/>
    <w:rsid w:val="0053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8E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19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19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71989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customStyle="1" w:styleId="Nadpis4Char">
    <w:name w:val="Nadpis 4 Char"/>
    <w:basedOn w:val="Predvolenpsmoodseku"/>
    <w:link w:val="Nadpis4"/>
    <w:semiHidden/>
    <w:rsid w:val="005B5084"/>
    <w:rPr>
      <w:rFonts w:eastAsia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B508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5084"/>
  </w:style>
  <w:style w:type="table" w:styleId="Mriekatabuky">
    <w:name w:val="Table Grid"/>
    <w:basedOn w:val="Normlnatabuka"/>
    <w:uiPriority w:val="59"/>
    <w:rsid w:val="005B508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prepojenie1">
    <w:name w:val="Hypertextové prepojenie1"/>
    <w:basedOn w:val="Predvolenpsmoodseku"/>
    <w:uiPriority w:val="99"/>
    <w:unhideWhenUsed/>
    <w:rsid w:val="005B5084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5B5084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5B5084"/>
    <w:rPr>
      <w:rFonts w:cs="Times New Roman"/>
    </w:rPr>
  </w:style>
  <w:style w:type="paragraph" w:customStyle="1" w:styleId="Default">
    <w:name w:val="Default"/>
    <w:rsid w:val="005B5084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B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90F0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0F0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michal.hysek@mindop.sk" TargetMode="Externa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_MPK"/>
    <f:field ref="objsubject" par="" edit="true" text=""/>
    <f:field ref="objcreatedby" par="" text="Hýsek, Michal"/>
    <f:field ref="objcreatedat" par="" text="20.2.2019 17:42:55"/>
    <f:field ref="objchangedby" par="" text="Administrator, System"/>
    <f:field ref="objmodifiedat" par="" text="20.2.2019 17:42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52</cp:revision>
  <cp:lastPrinted>2020-10-14T08:20:00Z</cp:lastPrinted>
  <dcterms:created xsi:type="dcterms:W3CDTF">2019-03-18T05:08:00Z</dcterms:created>
  <dcterms:modified xsi:type="dcterms:W3CDTF">2021-12-02T04:46:00Z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COO.2145.1000.3.3220734</vt:lpwstr>
  </property>
  <property fmtid="{D5CDD505-2E9C-101B-9397-08002B2CF9AE}" pid="152" name="FSC#FSCFOLIO@1.1001:docpropproject">
    <vt:lpwstr/>
  </property>
</Properties>
</file>