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C70" w:rsidRPr="00490580" w:rsidRDefault="00257C70" w:rsidP="00257C70">
      <w:pPr>
        <w:pStyle w:val="Bezriadkovania"/>
        <w:jc w:val="center"/>
        <w:rPr>
          <w:b/>
          <w:lang w:eastAsia="cs-CZ"/>
        </w:rPr>
      </w:pPr>
      <w:r w:rsidRPr="00490580">
        <w:rPr>
          <w:b/>
          <w:lang w:eastAsia="cs-CZ"/>
        </w:rPr>
        <w:t>NÁRODNÁ RADA SLOVENSKEJ REPUBLIKY</w:t>
      </w:r>
    </w:p>
    <w:p w:rsidR="00257C70" w:rsidRDefault="00257C70" w:rsidP="00257C70">
      <w:pPr>
        <w:pStyle w:val="Bezriadkovania"/>
        <w:jc w:val="center"/>
        <w:rPr>
          <w:lang w:eastAsia="cs-CZ"/>
        </w:rPr>
      </w:pPr>
      <w:r>
        <w:rPr>
          <w:lang w:eastAsia="cs-CZ"/>
        </w:rPr>
        <w:t>VIII. volebné obdobie</w:t>
      </w:r>
    </w:p>
    <w:p w:rsidR="00257C70" w:rsidRDefault="00257C70" w:rsidP="00257C70">
      <w:pPr>
        <w:pStyle w:val="Bezriadkovania"/>
        <w:jc w:val="center"/>
        <w:rPr>
          <w:lang w:eastAsia="cs-CZ"/>
        </w:rPr>
      </w:pPr>
      <w:r>
        <w:rPr>
          <w:lang w:eastAsia="cs-CZ"/>
        </w:rPr>
        <w:t>___________________________________________________________________________</w:t>
      </w:r>
    </w:p>
    <w:p w:rsidR="00257C70" w:rsidRDefault="00257C70" w:rsidP="00257C70">
      <w:pPr>
        <w:pStyle w:val="Bezriadkovania"/>
        <w:jc w:val="center"/>
        <w:rPr>
          <w:lang w:eastAsia="cs-CZ"/>
        </w:rPr>
      </w:pPr>
    </w:p>
    <w:p w:rsidR="00257C70" w:rsidRPr="00490580" w:rsidRDefault="00257C70" w:rsidP="00257C70">
      <w:pPr>
        <w:pStyle w:val="Bezriadkovania"/>
        <w:jc w:val="center"/>
        <w:rPr>
          <w:b/>
          <w:lang w:eastAsia="cs-CZ"/>
        </w:rPr>
      </w:pPr>
      <w:r>
        <w:rPr>
          <w:b/>
          <w:lang w:eastAsia="cs-CZ"/>
        </w:rPr>
        <w:t>808</w:t>
      </w:r>
    </w:p>
    <w:p w:rsidR="00257C70" w:rsidRPr="00490580" w:rsidRDefault="00257C70" w:rsidP="00257C70">
      <w:pPr>
        <w:pStyle w:val="Bezriadkovania"/>
        <w:jc w:val="center"/>
        <w:rPr>
          <w:b/>
          <w:lang w:eastAsia="cs-CZ"/>
        </w:rPr>
      </w:pPr>
    </w:p>
    <w:p w:rsidR="00257C70" w:rsidRPr="00490580" w:rsidRDefault="00257C70" w:rsidP="00257C70">
      <w:pPr>
        <w:pStyle w:val="Bezriadkovania"/>
        <w:jc w:val="center"/>
        <w:rPr>
          <w:b/>
          <w:lang w:eastAsia="cs-CZ"/>
        </w:rPr>
      </w:pPr>
      <w:r w:rsidRPr="00490580">
        <w:rPr>
          <w:b/>
          <w:lang w:eastAsia="cs-CZ"/>
        </w:rPr>
        <w:t>VLÁDNY NÁVRH</w:t>
      </w:r>
    </w:p>
    <w:p w:rsidR="000C50C7" w:rsidRPr="00B264D9" w:rsidRDefault="000C50C7" w:rsidP="000C50C7">
      <w:pPr>
        <w:pStyle w:val="Bezriadkovania"/>
        <w:jc w:val="center"/>
        <w:rPr>
          <w:color w:val="000000" w:themeColor="text1"/>
          <w:lang w:eastAsia="cs-CZ"/>
        </w:rPr>
      </w:pPr>
      <w:bookmarkStart w:id="0" w:name="_GoBack"/>
      <w:bookmarkEnd w:id="0"/>
    </w:p>
    <w:p w:rsidR="000C50C7" w:rsidRPr="00257C70" w:rsidRDefault="000C50C7" w:rsidP="000C50C7">
      <w:pPr>
        <w:pStyle w:val="Bezriadkovania"/>
        <w:jc w:val="center"/>
        <w:rPr>
          <w:b/>
          <w:color w:val="000000" w:themeColor="text1"/>
          <w:lang w:eastAsia="cs-CZ"/>
        </w:rPr>
      </w:pPr>
      <w:r w:rsidRPr="00257C70">
        <w:rPr>
          <w:b/>
          <w:color w:val="000000" w:themeColor="text1"/>
          <w:lang w:eastAsia="cs-CZ"/>
        </w:rPr>
        <w:t>Z Á K O N</w:t>
      </w:r>
    </w:p>
    <w:p w:rsidR="000C50C7" w:rsidRPr="00B264D9" w:rsidRDefault="00B92EAF" w:rsidP="000C50C7">
      <w:pPr>
        <w:pStyle w:val="Bezriadkovania"/>
        <w:jc w:val="center"/>
        <w:rPr>
          <w:color w:val="000000" w:themeColor="text1"/>
          <w:lang w:eastAsia="cs-CZ"/>
        </w:rPr>
      </w:pPr>
      <w:r>
        <w:rPr>
          <w:color w:val="000000" w:themeColor="text1"/>
          <w:lang w:eastAsia="cs-CZ"/>
        </w:rPr>
        <w:t>z . . . . . . . . . . . 2021</w:t>
      </w:r>
      <w:r w:rsidR="000C50C7" w:rsidRPr="00B264D9">
        <w:rPr>
          <w:color w:val="000000" w:themeColor="text1"/>
          <w:lang w:eastAsia="cs-CZ"/>
        </w:rPr>
        <w:t>,</w:t>
      </w:r>
    </w:p>
    <w:p w:rsidR="000C50C7" w:rsidRPr="00B264D9" w:rsidRDefault="000C50C7" w:rsidP="000C50C7">
      <w:pPr>
        <w:pStyle w:val="Bezriadkovania"/>
        <w:jc w:val="center"/>
        <w:rPr>
          <w:color w:val="000000" w:themeColor="text1"/>
        </w:rPr>
      </w:pPr>
    </w:p>
    <w:p w:rsidR="000C50C7" w:rsidRPr="00B264D9" w:rsidRDefault="000C50C7" w:rsidP="000C50C7">
      <w:pPr>
        <w:pStyle w:val="Bezriadkovania"/>
        <w:jc w:val="center"/>
        <w:rPr>
          <w:b/>
          <w:bCs/>
          <w:color w:val="000000" w:themeColor="text1"/>
        </w:rPr>
      </w:pPr>
      <w:r w:rsidRPr="00B264D9">
        <w:rPr>
          <w:b/>
          <w:bCs/>
          <w:color w:val="000000" w:themeColor="text1"/>
        </w:rPr>
        <w:t xml:space="preserve">ktorým sa dopĺňa zákon č. 67/2020 Z. z. o niektorých mimoriadnych opatreniach vo finančnej oblasti v súvislosti so šírením nebezpečnej nákazlivej ľudskej choroby COVID-19 v znení </w:t>
      </w:r>
      <w:r w:rsidR="00B92EAF">
        <w:rPr>
          <w:b/>
          <w:bCs/>
          <w:color w:val="000000" w:themeColor="text1"/>
        </w:rPr>
        <w:t>neskorších predpisov</w:t>
      </w:r>
    </w:p>
    <w:p w:rsidR="000C50C7" w:rsidRPr="00B264D9" w:rsidRDefault="000C50C7" w:rsidP="000C50C7">
      <w:pPr>
        <w:pStyle w:val="Bezriadkovania"/>
        <w:jc w:val="center"/>
        <w:rPr>
          <w:color w:val="000000" w:themeColor="text1"/>
        </w:rPr>
      </w:pPr>
    </w:p>
    <w:p w:rsidR="000C50C7" w:rsidRPr="00B264D9" w:rsidRDefault="000C50C7" w:rsidP="000C50C7">
      <w:pPr>
        <w:pStyle w:val="Bezriadkovania"/>
        <w:rPr>
          <w:color w:val="000000" w:themeColor="text1"/>
        </w:rPr>
      </w:pPr>
      <w:r w:rsidRPr="00B264D9">
        <w:rPr>
          <w:color w:val="000000" w:themeColor="text1"/>
        </w:rPr>
        <w:t xml:space="preserve">Národná rada Slovenskej republiky sa uzniesla na tomto zákone:  </w:t>
      </w:r>
    </w:p>
    <w:p w:rsidR="000C50C7" w:rsidRPr="00B264D9" w:rsidRDefault="000C50C7" w:rsidP="000C50C7">
      <w:pPr>
        <w:pStyle w:val="Bezriadkovania"/>
        <w:jc w:val="both"/>
        <w:rPr>
          <w:color w:val="000000" w:themeColor="text1"/>
          <w:lang w:eastAsia="en-US"/>
        </w:rPr>
      </w:pPr>
    </w:p>
    <w:p w:rsidR="000C50C7" w:rsidRPr="00B264D9" w:rsidRDefault="000C50C7" w:rsidP="000C50C7">
      <w:pPr>
        <w:pStyle w:val="Bezriadkovania"/>
        <w:jc w:val="center"/>
        <w:rPr>
          <w:color w:val="000000" w:themeColor="text1"/>
        </w:rPr>
      </w:pPr>
      <w:r w:rsidRPr="00B264D9">
        <w:rPr>
          <w:color w:val="000000" w:themeColor="text1"/>
        </w:rPr>
        <w:t>Čl. I</w:t>
      </w:r>
    </w:p>
    <w:p w:rsidR="000C50C7" w:rsidRPr="00B264D9" w:rsidRDefault="000C50C7" w:rsidP="000C50C7">
      <w:pPr>
        <w:pStyle w:val="Zkladntext1"/>
        <w:tabs>
          <w:tab w:val="left" w:pos="360"/>
        </w:tabs>
        <w:jc w:val="both"/>
        <w:rPr>
          <w:color w:val="000000" w:themeColor="text1"/>
          <w:highlight w:val="yellow"/>
        </w:rPr>
      </w:pPr>
    </w:p>
    <w:p w:rsidR="000C50C7" w:rsidRPr="00B264D9" w:rsidRDefault="000C50C7" w:rsidP="000C50C7">
      <w:pPr>
        <w:pStyle w:val="Zkladntext1"/>
        <w:tabs>
          <w:tab w:val="left" w:pos="360"/>
        </w:tabs>
        <w:jc w:val="both"/>
        <w:rPr>
          <w:color w:val="000000" w:themeColor="text1"/>
        </w:rPr>
      </w:pPr>
      <w:r w:rsidRPr="00B264D9">
        <w:rPr>
          <w:color w:val="000000" w:themeColor="text1"/>
        </w:rPr>
        <w:t xml:space="preserve">Zákon č. 67/2020 Z. z. o niektorých mimoriadnych opatreniach vo finančnej oblasti v súvislosti so šírením nebezpečnej nákazlivej ľudskej choroby COVID-19 v znení zákona č. 75/2020 Z. z. zákona č. </w:t>
      </w:r>
      <w:r>
        <w:rPr>
          <w:color w:val="000000" w:themeColor="text1"/>
        </w:rPr>
        <w:t xml:space="preserve">96/2020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120/2020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156/2020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198/2020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264/2020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 353/2020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9/2021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47/2021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57/2021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 xml:space="preserve">115/2021 Z. z., </w:t>
      </w:r>
      <w:r w:rsidRPr="00B264D9">
        <w:rPr>
          <w:color w:val="000000" w:themeColor="text1"/>
        </w:rPr>
        <w:t xml:space="preserve">zákona č. </w:t>
      </w:r>
      <w:r>
        <w:rPr>
          <w:color w:val="000000" w:themeColor="text1"/>
        </w:rPr>
        <w:t>279/2021 Z. z. a zákona č. 412/2021 Z. z.</w:t>
      </w:r>
      <w:r w:rsidRPr="00B264D9">
        <w:rPr>
          <w:color w:val="000000" w:themeColor="text1"/>
        </w:rPr>
        <w:t>sa dopĺňa takto:</w:t>
      </w:r>
    </w:p>
    <w:p w:rsidR="000C50C7" w:rsidRDefault="000C50C7" w:rsidP="000C50C7">
      <w:pPr>
        <w:jc w:val="center"/>
        <w:rPr>
          <w:b/>
        </w:rPr>
      </w:pPr>
    </w:p>
    <w:p w:rsidR="000C50C7" w:rsidRDefault="000C50C7" w:rsidP="000C50C7">
      <w:pPr>
        <w:rPr>
          <w:b/>
        </w:rPr>
      </w:pPr>
      <w:r>
        <w:rPr>
          <w:b/>
        </w:rPr>
        <w:t>1</w:t>
      </w:r>
      <w:r w:rsidRPr="000C50C7">
        <w:t xml:space="preserve">. Za § </w:t>
      </w:r>
      <w:r w:rsidR="000C5256">
        <w:t>30s sa vkladá § 30t</w:t>
      </w:r>
      <w:r w:rsidRPr="000C50C7">
        <w:t>, ktorý vrátane nadpisu znie:</w:t>
      </w:r>
    </w:p>
    <w:p w:rsidR="000C50C7" w:rsidRDefault="000C50C7" w:rsidP="000C50C7">
      <w:pPr>
        <w:jc w:val="center"/>
        <w:rPr>
          <w:b/>
        </w:rPr>
      </w:pPr>
    </w:p>
    <w:p w:rsidR="0012215C" w:rsidRDefault="00143B7E" w:rsidP="00143B7E">
      <w:pPr>
        <w:tabs>
          <w:tab w:val="center" w:pos="4536"/>
          <w:tab w:val="left" w:pos="6609"/>
        </w:tabs>
        <w:rPr>
          <w:b/>
        </w:rPr>
      </w:pPr>
      <w:r>
        <w:rPr>
          <w:b/>
        </w:rPr>
        <w:tab/>
      </w:r>
      <w:r w:rsidR="005856EB">
        <w:rPr>
          <w:b/>
        </w:rPr>
        <w:t>„</w:t>
      </w:r>
      <w:r w:rsidR="000C50C7" w:rsidRPr="00D92BAE">
        <w:rPr>
          <w:b/>
        </w:rPr>
        <w:t xml:space="preserve">§ </w:t>
      </w:r>
      <w:r w:rsidR="000C5256">
        <w:rPr>
          <w:b/>
        </w:rPr>
        <w:t>30t</w:t>
      </w:r>
      <w:r>
        <w:rPr>
          <w:b/>
        </w:rPr>
        <w:tab/>
      </w:r>
    </w:p>
    <w:p w:rsidR="000C50C7" w:rsidRPr="00D92BAE" w:rsidRDefault="000C50C7" w:rsidP="000C50C7">
      <w:pPr>
        <w:jc w:val="center"/>
        <w:rPr>
          <w:b/>
        </w:rPr>
      </w:pPr>
      <w:r w:rsidRPr="00D92BAE">
        <w:rPr>
          <w:b/>
        </w:rPr>
        <w:t xml:space="preserve">Očkovací </w:t>
      </w:r>
      <w:r w:rsidR="00D72C54">
        <w:rPr>
          <w:b/>
        </w:rPr>
        <w:t>poukaz</w:t>
      </w:r>
      <w:r w:rsidR="00143B7E">
        <w:rPr>
          <w:b/>
        </w:rPr>
        <w:t xml:space="preserve"> pre seniorov</w:t>
      </w:r>
    </w:p>
    <w:p w:rsidR="000C50C7" w:rsidRPr="00D92BAE" w:rsidRDefault="000C50C7" w:rsidP="000C50C7">
      <w:pPr>
        <w:rPr>
          <w:b/>
        </w:rPr>
      </w:pPr>
    </w:p>
    <w:p w:rsidR="006F4892" w:rsidRDefault="006F4892" w:rsidP="006F4892">
      <w:pPr>
        <w:ind w:firstLine="708"/>
        <w:jc w:val="both"/>
      </w:pPr>
      <w:r>
        <w:t xml:space="preserve">(1) </w:t>
      </w:r>
      <w:r w:rsidR="000C50C7" w:rsidRPr="00D92BAE">
        <w:t xml:space="preserve">Na podporu </w:t>
      </w:r>
      <w:proofErr w:type="spellStart"/>
      <w:r w:rsidR="000C50C7" w:rsidRPr="00D92BAE">
        <w:t>protipandemických</w:t>
      </w:r>
      <w:proofErr w:type="spellEnd"/>
      <w:r w:rsidR="000C50C7" w:rsidRPr="00D92BAE">
        <w:t xml:space="preserve"> opatrení </w:t>
      </w:r>
      <w:r w:rsidR="006905C9">
        <w:t>sa</w:t>
      </w:r>
      <w:r w:rsidR="000C50C7" w:rsidRPr="00D92BAE">
        <w:t xml:space="preserve"> </w:t>
      </w:r>
      <w:r w:rsidR="000C5256">
        <w:t>poskyt</w:t>
      </w:r>
      <w:r w:rsidR="00143B7E">
        <w:t>uje</w:t>
      </w:r>
      <w:r w:rsidR="000C50C7" w:rsidRPr="00D92BAE">
        <w:t xml:space="preserve"> očkovací </w:t>
      </w:r>
      <w:r w:rsidR="00143B7E">
        <w:t xml:space="preserve">poukaz pre seniorov  (ďalej len „poukaz“) </w:t>
      </w:r>
      <w:r w:rsidR="000C50C7" w:rsidRPr="00D92BAE">
        <w:t xml:space="preserve">vo </w:t>
      </w:r>
      <w:r w:rsidR="000C50C7" w:rsidRPr="000C5256">
        <w:t xml:space="preserve">výške </w:t>
      </w:r>
      <w:r w:rsidR="00B96FFD" w:rsidRPr="000C5256">
        <w:t>500</w:t>
      </w:r>
      <w:r w:rsidR="000C50C7" w:rsidRPr="00D92BAE">
        <w:t xml:space="preserve"> eur pre jednu</w:t>
      </w:r>
      <w:r w:rsidR="000C50C7">
        <w:t xml:space="preserve"> </w:t>
      </w:r>
      <w:r w:rsidR="000C50C7" w:rsidRPr="00D92BAE">
        <w:t>fyzickú osobu</w:t>
      </w:r>
      <w:r>
        <w:t>, ktorá spĺňa tieto podmienky:</w:t>
      </w:r>
      <w:r w:rsidR="008C1EBE">
        <w:t xml:space="preserve"> </w:t>
      </w:r>
      <w:r>
        <w:t xml:space="preserve">a) </w:t>
      </w:r>
      <w:r w:rsidR="00CE6DA5">
        <w:t xml:space="preserve">do </w:t>
      </w:r>
      <w:r>
        <w:t xml:space="preserve">konca roka 2021 dovŕšila vek aspoň 60 rokov, </w:t>
      </w:r>
      <w:r w:rsidR="008C1EBE">
        <w:t> </w:t>
      </w:r>
    </w:p>
    <w:p w:rsidR="006F4892" w:rsidRDefault="006F4892" w:rsidP="006F4892">
      <w:r>
        <w:t>b) má trvalý pobyt alebo prechodný pobyt</w:t>
      </w:r>
      <w:r w:rsidR="008C1EBE">
        <w:t xml:space="preserve"> na území Slovenskej republiky</w:t>
      </w:r>
      <w:r w:rsidR="00CE6DA5">
        <w:t>,</w:t>
      </w:r>
      <w:r w:rsidR="000C50C7" w:rsidRPr="004D45FB">
        <w:t xml:space="preserve"> </w:t>
      </w:r>
    </w:p>
    <w:p w:rsidR="008C1EBE" w:rsidRDefault="00CE6DA5" w:rsidP="006F4892">
      <w:pPr>
        <w:jc w:val="both"/>
      </w:pPr>
      <w:r>
        <w:t>c</w:t>
      </w:r>
      <w:r w:rsidR="006F4892">
        <w:t>) absolvovala očkovanie</w:t>
      </w:r>
      <w:r>
        <w:t xml:space="preserve"> na území Slovenskej republiky</w:t>
      </w:r>
      <w:r w:rsidR="006F4892">
        <w:t xml:space="preserve"> posilňovacou dávkou očkovacej látky </w:t>
      </w:r>
      <w:r w:rsidR="006F4892" w:rsidRPr="00D92BAE">
        <w:t xml:space="preserve">proti ochoreniu COVID-19 </w:t>
      </w:r>
      <w:r w:rsidR="006F4892">
        <w:t xml:space="preserve">spôsobenému </w:t>
      </w:r>
      <w:proofErr w:type="spellStart"/>
      <w:r w:rsidR="006F4892">
        <w:t>korona</w:t>
      </w:r>
      <w:proofErr w:type="spellEnd"/>
      <w:r w:rsidR="006F4892">
        <w:t xml:space="preserve"> vírusom SARS </w:t>
      </w:r>
      <w:r w:rsidR="006F4892" w:rsidRPr="00D92BAE">
        <w:t>CoV-2</w:t>
      </w:r>
      <w:r w:rsidR="006F4892">
        <w:t>, pričom</w:t>
      </w:r>
      <w:r w:rsidR="00684655">
        <w:t xml:space="preserve"> </w:t>
      </w:r>
      <w:r w:rsidR="006F4892">
        <w:t>absolvovala</w:t>
      </w:r>
      <w:r>
        <w:t xml:space="preserve"> očkovanie</w:t>
      </w:r>
      <w:r w:rsidR="00684655">
        <w:t xml:space="preserve"> </w:t>
      </w:r>
    </w:p>
    <w:p w:rsidR="008C1EBE" w:rsidRDefault="006F4892" w:rsidP="006F4892">
      <w:pPr>
        <w:ind w:firstLine="708"/>
        <w:jc w:val="both"/>
      </w:pPr>
      <w:r>
        <w:t xml:space="preserve">1. </w:t>
      </w:r>
      <w:r w:rsidR="00CE6DA5">
        <w:t>prvou dávkou</w:t>
      </w:r>
      <w:r w:rsidR="008C1EBE">
        <w:t xml:space="preserve"> očkovacej látky</w:t>
      </w:r>
      <w:r w:rsidR="00CE6DA5">
        <w:t xml:space="preserve"> alebo jednodávkovou očkovacou látkou</w:t>
      </w:r>
      <w:r w:rsidR="008C1EBE">
        <w:t xml:space="preserve"> v </w:t>
      </w:r>
      <w:r w:rsidR="00D72C54">
        <w:t>období</w:t>
      </w:r>
      <w:r w:rsidR="00356A92">
        <w:t xml:space="preserve"> od 25</w:t>
      </w:r>
      <w:r w:rsidR="008C1EBE">
        <w:t xml:space="preserve">. novembra 2021 do </w:t>
      </w:r>
      <w:r w:rsidR="00684655">
        <w:t>24</w:t>
      </w:r>
      <w:r w:rsidR="008C1EBE">
        <w:t>. decembra 2021 alebo</w:t>
      </w:r>
      <w:r w:rsidR="00684655">
        <w:t xml:space="preserve"> sa do tohto </w:t>
      </w:r>
      <w:r w:rsidR="00EA0162">
        <w:t>termínu</w:t>
      </w:r>
      <w:r w:rsidR="00684655">
        <w:t xml:space="preserve"> </w:t>
      </w:r>
      <w:r w:rsidR="00EA0162">
        <w:t xml:space="preserve">na takéto očkovanie </w:t>
      </w:r>
      <w:r w:rsidR="00684655">
        <w:t>registrovala</w:t>
      </w:r>
      <w:r w:rsidR="00EA0162">
        <w:t xml:space="preserve">,  </w:t>
      </w:r>
      <w:r w:rsidR="00684655">
        <w:t>a</w:t>
      </w:r>
      <w:r w:rsidR="00EA0162">
        <w:t>k</w:t>
      </w:r>
      <w:r w:rsidR="00684655">
        <w:t xml:space="preserve"> absolvuje očkovanie do </w:t>
      </w:r>
      <w:r w:rsidR="00EA0162">
        <w:t>15</w:t>
      </w:r>
      <w:r w:rsidR="00FD4ADC">
        <w:t>. januára 2022 alebo</w:t>
      </w:r>
    </w:p>
    <w:p w:rsidR="007B49E8" w:rsidRDefault="00A14462" w:rsidP="000C50C7">
      <w:pPr>
        <w:ind w:firstLine="708"/>
        <w:jc w:val="both"/>
      </w:pPr>
      <w:r>
        <w:t>2.</w:t>
      </w:r>
      <w:r w:rsidR="00B96FFD">
        <w:t xml:space="preserve"> </w:t>
      </w:r>
      <w:r w:rsidR="00CE6DA5">
        <w:t>posilňovacou</w:t>
      </w:r>
      <w:r w:rsidR="008C1EBE">
        <w:t xml:space="preserve"> </w:t>
      </w:r>
      <w:r w:rsidR="00CE6DA5">
        <w:t>dávkou</w:t>
      </w:r>
      <w:r w:rsidR="000C50C7">
        <w:t xml:space="preserve"> očkovacej látky</w:t>
      </w:r>
      <w:r w:rsidR="00FD4ADC">
        <w:t xml:space="preserve"> do </w:t>
      </w:r>
      <w:r w:rsidR="00684655">
        <w:t>24</w:t>
      </w:r>
      <w:r w:rsidR="008C1EBE">
        <w:t>. decembra 2021</w:t>
      </w:r>
      <w:r w:rsidR="00684655">
        <w:t xml:space="preserve"> alebo sa do tohto </w:t>
      </w:r>
      <w:r w:rsidR="00EA0162">
        <w:t xml:space="preserve">termínu na takéto očkovanie </w:t>
      </w:r>
      <w:r w:rsidR="00684655">
        <w:t>registrovala</w:t>
      </w:r>
      <w:r w:rsidR="00EA0162">
        <w:t>,</w:t>
      </w:r>
      <w:r w:rsidR="00684655">
        <w:t xml:space="preserve"> </w:t>
      </w:r>
      <w:r w:rsidR="00EA0162">
        <w:t xml:space="preserve">ak absolvuje očkovanie </w:t>
      </w:r>
      <w:r w:rsidR="00684655">
        <w:t xml:space="preserve">do </w:t>
      </w:r>
      <w:r w:rsidR="00EA0162">
        <w:t>15. januára 2022</w:t>
      </w:r>
      <w:r w:rsidR="006F4892">
        <w:t xml:space="preserve"> alebo</w:t>
      </w:r>
    </w:p>
    <w:p w:rsidR="00684655" w:rsidRDefault="00A14462" w:rsidP="000C50C7">
      <w:pPr>
        <w:ind w:firstLine="708"/>
        <w:jc w:val="both"/>
      </w:pPr>
      <w:r>
        <w:t>3.</w:t>
      </w:r>
      <w:r w:rsidR="007B49E8">
        <w:t xml:space="preserve"> </w:t>
      </w:r>
      <w:r w:rsidR="00CE6DA5">
        <w:t>posilňovacou</w:t>
      </w:r>
      <w:r w:rsidR="00641306">
        <w:t xml:space="preserve"> </w:t>
      </w:r>
      <w:r w:rsidR="00CE6DA5">
        <w:t>dávkou</w:t>
      </w:r>
      <w:r w:rsidR="00FD4ADC">
        <w:t xml:space="preserve"> očkovacej látky</w:t>
      </w:r>
      <w:r w:rsidR="007B49E8">
        <w:t xml:space="preserve"> do</w:t>
      </w:r>
      <w:r>
        <w:t xml:space="preserve"> 30.</w:t>
      </w:r>
      <w:r w:rsidR="007B49E8">
        <w:t xml:space="preserve"> júna 2022</w:t>
      </w:r>
      <w:r w:rsidR="00641306">
        <w:t>,</w:t>
      </w:r>
      <w:r w:rsidR="007B49E8">
        <w:t xml:space="preserve"> </w:t>
      </w:r>
      <w:r w:rsidR="00356A92">
        <w:t>za podmienok, že</w:t>
      </w:r>
      <w:r w:rsidR="007B49E8">
        <w:t xml:space="preserve"> </w:t>
      </w:r>
      <w:r>
        <w:t>očkovanie druhou dávkou</w:t>
      </w:r>
      <w:r w:rsidR="00FD4ADC">
        <w:t xml:space="preserve"> očkovacej látky alebo jednodávkovou očkovacou</w:t>
      </w:r>
      <w:r>
        <w:t xml:space="preserve"> látkou</w:t>
      </w:r>
      <w:r w:rsidR="00356A92">
        <w:t xml:space="preserve"> absolvovala </w:t>
      </w:r>
      <w:r w:rsidR="007B49E8">
        <w:t xml:space="preserve">do </w:t>
      </w:r>
      <w:r w:rsidR="00356A92">
        <w:t>15. januára</w:t>
      </w:r>
      <w:r w:rsidR="007B49E8">
        <w:t xml:space="preserve"> 202</w:t>
      </w:r>
      <w:r w:rsidR="00356A92">
        <w:t>2, pričom posilňovaciu dávku očkovacej látky absolvovala do siedmich mesiacov od očkovania druhou dávkou očkovacej látky alebo jednodávkovou očkovacou látkou</w:t>
      </w:r>
      <w:r w:rsidR="004403D2">
        <w:t>.</w:t>
      </w:r>
    </w:p>
    <w:p w:rsidR="000C50C7" w:rsidRDefault="000C50C7" w:rsidP="000C50C7">
      <w:pPr>
        <w:ind w:firstLine="708"/>
        <w:jc w:val="both"/>
      </w:pPr>
      <w:r>
        <w:t xml:space="preserve"> </w:t>
      </w:r>
    </w:p>
    <w:p w:rsidR="009174CF" w:rsidRDefault="000C5256" w:rsidP="000C50C7">
      <w:pPr>
        <w:ind w:firstLine="708"/>
        <w:jc w:val="both"/>
      </w:pPr>
      <w:r>
        <w:t>(</w:t>
      </w:r>
      <w:r w:rsidR="00057328">
        <w:t>2</w:t>
      </w:r>
      <w:r w:rsidR="000C50C7">
        <w:t xml:space="preserve">) Na účely </w:t>
      </w:r>
      <w:r>
        <w:t>poskytnutia</w:t>
      </w:r>
      <w:r w:rsidR="000C50C7">
        <w:t xml:space="preserve"> </w:t>
      </w:r>
      <w:r w:rsidR="009174CF">
        <w:t xml:space="preserve">poukazu </w:t>
      </w:r>
      <w:r w:rsidR="000C50C7">
        <w:t>možno používať údaje z databázy fyzických osôb zaočkovaných proti ochoreniu COVID-19 spôsobenému</w:t>
      </w:r>
      <w:r w:rsidR="000C50C7" w:rsidRPr="00D64226">
        <w:t xml:space="preserve"> korona vírusom SARS-CoV-2</w:t>
      </w:r>
      <w:r w:rsidR="000C50C7">
        <w:t xml:space="preserve">, ktorú </w:t>
      </w:r>
      <w:r w:rsidR="000C50C7">
        <w:lastRenderedPageBreak/>
        <w:t>vedie Národné centru</w:t>
      </w:r>
      <w:r w:rsidR="006A673C">
        <w:t xml:space="preserve">m zdravotníckych informácií. </w:t>
      </w:r>
      <w:r w:rsidR="009174CF">
        <w:t>Národné centrum zdravotníckych informácií</w:t>
      </w:r>
      <w:r w:rsidR="00F37D6B">
        <w:t xml:space="preserve"> je povinné poskytnúť ministerstvu financií</w:t>
      </w:r>
      <w:r w:rsidR="009174CF">
        <w:t xml:space="preserve"> údaje v rozsahu podľa odseku 3. </w:t>
      </w:r>
      <w:r w:rsidR="00586A7A">
        <w:t>Pre posúdenie splnenia podmienok podľa odseku 1 sú záväzné údaje uvedené v databáze Národného centra zdravotníckych informácií.</w:t>
      </w:r>
    </w:p>
    <w:p w:rsidR="009174CF" w:rsidRDefault="009174CF" w:rsidP="000C50C7">
      <w:pPr>
        <w:ind w:firstLine="708"/>
        <w:jc w:val="both"/>
      </w:pPr>
    </w:p>
    <w:p w:rsidR="000C50C7" w:rsidRDefault="009174CF" w:rsidP="000C50C7">
      <w:pPr>
        <w:ind w:firstLine="708"/>
        <w:jc w:val="both"/>
      </w:pPr>
      <w:r>
        <w:t xml:space="preserve">(3) </w:t>
      </w:r>
      <w:r w:rsidR="008362A0">
        <w:t xml:space="preserve">Na účely poskytnutia poukazu ministerstvo financií môže získavať a spracovávať údaje </w:t>
      </w:r>
      <w:r w:rsidR="00DD7092">
        <w:t xml:space="preserve">o fyzickej osobe podľa odseku 1 </w:t>
      </w:r>
      <w:r w:rsidR="008362A0">
        <w:t>v rozsahu meno a priezvisko, adresa trvalého pobytu alebo prechodného pobytu, dátum narodenia,</w:t>
      </w:r>
      <w:r w:rsidR="00356A92">
        <w:t xml:space="preserve"> rodné číslo,</w:t>
      </w:r>
      <w:r w:rsidR="008362A0">
        <w:t xml:space="preserve"> telefónne číslo</w:t>
      </w:r>
      <w:r w:rsidR="00F378D3">
        <w:t>,</w:t>
      </w:r>
      <w:r w:rsidR="008362A0">
        <w:t xml:space="preserve"> dátum absolvovania očkovania</w:t>
      </w:r>
      <w:r w:rsidR="00F378D3">
        <w:t xml:space="preserve"> a dátum registrácie na očkovanie</w:t>
      </w:r>
      <w:r w:rsidR="008362A0">
        <w:t>.</w:t>
      </w:r>
    </w:p>
    <w:p w:rsidR="000C50C7" w:rsidRPr="00D92BAE" w:rsidRDefault="009174CF" w:rsidP="009174CF">
      <w:pPr>
        <w:ind w:firstLine="708"/>
        <w:jc w:val="both"/>
      </w:pPr>
      <w:r>
        <w:t xml:space="preserve"> </w:t>
      </w:r>
    </w:p>
    <w:p w:rsidR="00E82CBE" w:rsidRDefault="00057328" w:rsidP="00E82CBE">
      <w:pPr>
        <w:ind w:firstLine="708"/>
        <w:jc w:val="both"/>
      </w:pPr>
      <w:r>
        <w:t>(</w:t>
      </w:r>
      <w:r w:rsidR="009174CF">
        <w:t>4</w:t>
      </w:r>
      <w:r w:rsidR="00CE6DA5">
        <w:t xml:space="preserve">) </w:t>
      </w:r>
      <w:r>
        <w:t xml:space="preserve">Poukaz poskytuje </w:t>
      </w:r>
      <w:r w:rsidR="00E82CBE">
        <w:t xml:space="preserve">ministerstvo financií </w:t>
      </w:r>
      <w:r>
        <w:t>v</w:t>
      </w:r>
      <w:r w:rsidR="00E82CBE">
        <w:t xml:space="preserve"> </w:t>
      </w:r>
      <w:r>
        <w:t xml:space="preserve">elektronickej </w:t>
      </w:r>
      <w:r w:rsidR="00E82CBE">
        <w:t xml:space="preserve">podobe </w:t>
      </w:r>
      <w:r>
        <w:t>alebo</w:t>
      </w:r>
      <w:r w:rsidR="00E82CBE">
        <w:t xml:space="preserve"> </w:t>
      </w:r>
      <w:r>
        <w:t>listinnej</w:t>
      </w:r>
      <w:r w:rsidR="00E82CBE">
        <w:t xml:space="preserve"> podobe. </w:t>
      </w:r>
      <w:r w:rsidR="00F37D6B">
        <w:t xml:space="preserve">Listinná podoba poukazu má povahu ceniny. </w:t>
      </w:r>
      <w:r w:rsidR="00E82CBE">
        <w:t>Po</w:t>
      </w:r>
      <w:r w:rsidR="00BF064E">
        <w:t>stup pri</w:t>
      </w:r>
      <w:r w:rsidR="00E82CBE">
        <w:t> poskytovaní poukazu</w:t>
      </w:r>
      <w:r w:rsidR="00586A7A">
        <w:t xml:space="preserve">, </w:t>
      </w:r>
      <w:r w:rsidR="00E82CBE">
        <w:t xml:space="preserve"> </w:t>
      </w:r>
      <w:r w:rsidR="00586A7A">
        <w:t xml:space="preserve">vrátane náležitostí poukazu </w:t>
      </w:r>
      <w:r w:rsidR="00E82CBE">
        <w:t>ustanoví vláda nariadením.</w:t>
      </w:r>
    </w:p>
    <w:p w:rsidR="00057328" w:rsidRDefault="000C50C7" w:rsidP="000C50C7">
      <w:pPr>
        <w:ind w:firstLine="708"/>
        <w:jc w:val="both"/>
      </w:pPr>
      <w:r w:rsidRPr="00D92BAE">
        <w:t xml:space="preserve"> </w:t>
      </w:r>
    </w:p>
    <w:p w:rsidR="00AA5CBB" w:rsidRDefault="009174CF" w:rsidP="000C50C7">
      <w:pPr>
        <w:ind w:firstLine="708"/>
        <w:jc w:val="both"/>
      </w:pPr>
      <w:r>
        <w:t>(5</w:t>
      </w:r>
      <w:r w:rsidR="00E82CBE">
        <w:t>) Po</w:t>
      </w:r>
      <w:r w:rsidR="00D72C54">
        <w:t>skytn</w:t>
      </w:r>
      <w:r w:rsidR="00E82CBE">
        <w:t>u</w:t>
      </w:r>
      <w:r w:rsidR="00D72C54">
        <w:t>tý pou</w:t>
      </w:r>
      <w:r w:rsidR="00E82CBE">
        <w:t xml:space="preserve">kaz </w:t>
      </w:r>
      <w:r w:rsidR="00D72C54">
        <w:t xml:space="preserve">môže použiť aj iná </w:t>
      </w:r>
      <w:r w:rsidR="00E82CBE">
        <w:t>f</w:t>
      </w:r>
      <w:r w:rsidR="00AA5CBB">
        <w:t>yzick</w:t>
      </w:r>
      <w:r w:rsidR="00D72C54">
        <w:t>á</w:t>
      </w:r>
      <w:r w:rsidR="00AA5CBB">
        <w:t xml:space="preserve"> osob</w:t>
      </w:r>
      <w:r w:rsidR="00D72C54">
        <w:t xml:space="preserve">a. </w:t>
      </w:r>
      <w:r w:rsidR="00AA5CBB">
        <w:t xml:space="preserve"> </w:t>
      </w:r>
    </w:p>
    <w:p w:rsidR="00AA5CBB" w:rsidRDefault="00AA5CBB" w:rsidP="000C50C7">
      <w:pPr>
        <w:ind w:firstLine="708"/>
        <w:jc w:val="both"/>
      </w:pPr>
    </w:p>
    <w:p w:rsidR="000C50C7" w:rsidRPr="000C5256" w:rsidRDefault="000C50C7" w:rsidP="000C50C7">
      <w:pPr>
        <w:ind w:firstLine="708"/>
        <w:jc w:val="both"/>
      </w:pPr>
      <w:r>
        <w:t>(</w:t>
      </w:r>
      <w:r w:rsidR="009174CF">
        <w:t>6</w:t>
      </w:r>
      <w:r>
        <w:t xml:space="preserve">) </w:t>
      </w:r>
      <w:r w:rsidR="00D72C54">
        <w:t>P</w:t>
      </w:r>
      <w:r w:rsidR="00BF064E">
        <w:t>oskytnutie p</w:t>
      </w:r>
      <w:r w:rsidR="00D72C54">
        <w:t>oukaz</w:t>
      </w:r>
      <w:r w:rsidR="00BF064E">
        <w:t>u</w:t>
      </w:r>
      <w:r>
        <w:t xml:space="preserve"> sa považuje za podporu poskytovanú</w:t>
      </w:r>
      <w:r w:rsidRPr="00084F11">
        <w:t xml:space="preserve"> z</w:t>
      </w:r>
      <w:r>
        <w:t xml:space="preserve"> prostriedkov štátneho rozpočtu podľa osobitného predpisu.</w:t>
      </w:r>
      <w:r w:rsidR="00B003BB">
        <w:rPr>
          <w:vertAlign w:val="superscript"/>
        </w:rPr>
        <w:t>51ae</w:t>
      </w:r>
      <w:r w:rsidR="000C5256">
        <w:t>)</w:t>
      </w:r>
    </w:p>
    <w:p w:rsidR="000C50C7" w:rsidRDefault="000C50C7" w:rsidP="000C50C7">
      <w:pPr>
        <w:ind w:firstLine="708"/>
        <w:jc w:val="both"/>
      </w:pPr>
    </w:p>
    <w:p w:rsidR="00EA0162" w:rsidRDefault="000C50C7" w:rsidP="000C5256">
      <w:pPr>
        <w:ind w:firstLine="708"/>
        <w:jc w:val="both"/>
      </w:pPr>
      <w:r>
        <w:t>(</w:t>
      </w:r>
      <w:r w:rsidR="009174CF">
        <w:t>7</w:t>
      </w:r>
      <w:r>
        <w:t xml:space="preserve">) </w:t>
      </w:r>
      <w:r w:rsidR="00DA4919">
        <w:t xml:space="preserve">Poukaz možno použiť na úhradu za poskytnutie služieb, ktorých poskytovanie postihli negatívne následky pandémie. </w:t>
      </w:r>
      <w:r w:rsidR="00386090">
        <w:t>V</w:t>
      </w:r>
      <w:r w:rsidR="000C5256">
        <w:t>láda nariadení</w:t>
      </w:r>
      <w:r w:rsidR="00495BD0">
        <w:t>m</w:t>
      </w:r>
      <w:r w:rsidR="00386090">
        <w:t xml:space="preserve"> ustanoví </w:t>
      </w:r>
    </w:p>
    <w:p w:rsidR="000C5256" w:rsidRDefault="008265B6" w:rsidP="000C5256">
      <w:pPr>
        <w:ind w:firstLine="708"/>
        <w:jc w:val="both"/>
      </w:pPr>
      <w:r>
        <w:t>a</w:t>
      </w:r>
      <w:r w:rsidR="00EA0162">
        <w:t xml:space="preserve">) </w:t>
      </w:r>
      <w:r w:rsidR="00386090">
        <w:t>rozsah služieb,  na úhradu ktorých možno použiť poukaz</w:t>
      </w:r>
      <w:r w:rsidR="00D96276">
        <w:t>,</w:t>
      </w:r>
    </w:p>
    <w:p w:rsidR="00D96276" w:rsidRDefault="008265B6" w:rsidP="000C5256">
      <w:pPr>
        <w:ind w:firstLine="708"/>
        <w:jc w:val="both"/>
      </w:pPr>
      <w:r>
        <w:t>b</w:t>
      </w:r>
      <w:r w:rsidR="00D96276">
        <w:t xml:space="preserve">) obdobie, počas ktorého možno použiť </w:t>
      </w:r>
      <w:r w:rsidR="00B92EAF">
        <w:t>poukaz</w:t>
      </w:r>
      <w:r w:rsidR="00DA4919">
        <w:t>,</w:t>
      </w:r>
    </w:p>
    <w:p w:rsidR="00EA0162" w:rsidRDefault="008265B6" w:rsidP="000C5256">
      <w:pPr>
        <w:ind w:firstLine="708"/>
        <w:jc w:val="both"/>
      </w:pPr>
      <w:r>
        <w:t>c</w:t>
      </w:r>
      <w:r w:rsidR="00DA4919">
        <w:t xml:space="preserve">) spôsob </w:t>
      </w:r>
      <w:r w:rsidR="00DD7092">
        <w:t>použitia poukazu</w:t>
      </w:r>
      <w:r w:rsidR="00BE1BE7">
        <w:t>.</w:t>
      </w:r>
      <w:r w:rsidR="00DA4919">
        <w:t xml:space="preserve"> </w:t>
      </w:r>
    </w:p>
    <w:p w:rsidR="00EA0162" w:rsidRDefault="00EA0162" w:rsidP="000C5256">
      <w:pPr>
        <w:ind w:firstLine="708"/>
        <w:jc w:val="both"/>
      </w:pPr>
    </w:p>
    <w:p w:rsidR="00EA0162" w:rsidRDefault="00EA0162" w:rsidP="000C5256">
      <w:pPr>
        <w:ind w:firstLine="708"/>
        <w:jc w:val="both"/>
      </w:pPr>
      <w:r>
        <w:t>(8) Vláda nariadením môže ustanoviť pred</w:t>
      </w:r>
      <w:r w:rsidR="00CF05C0">
        <w:t>ĺ</w:t>
      </w:r>
      <w:r>
        <w:t xml:space="preserve">ženie </w:t>
      </w:r>
      <w:r w:rsidR="008265B6">
        <w:t>termínov</w:t>
      </w:r>
      <w:r>
        <w:t xml:space="preserve"> na absolvovanie očkovania alebo </w:t>
      </w:r>
      <w:r w:rsidR="00F37D6B">
        <w:t xml:space="preserve">predĺženie </w:t>
      </w:r>
      <w:r>
        <w:t>termín</w:t>
      </w:r>
      <w:r w:rsidR="00F37D6B">
        <w:t>ov</w:t>
      </w:r>
      <w:r>
        <w:t xml:space="preserve"> na registráciu</w:t>
      </w:r>
      <w:r w:rsidR="008265B6">
        <w:t xml:space="preserve"> na takéto očkovanie</w:t>
      </w:r>
      <w:r w:rsidR="00F37D6B" w:rsidRPr="00F37D6B">
        <w:t xml:space="preserve"> </w:t>
      </w:r>
      <w:r w:rsidR="00F37D6B">
        <w:t>podľa odseku 1.</w:t>
      </w:r>
    </w:p>
    <w:p w:rsidR="00495BD0" w:rsidRDefault="000C5256" w:rsidP="000C5256">
      <w:pPr>
        <w:ind w:firstLine="708"/>
        <w:jc w:val="both"/>
      </w:pPr>
      <w:r>
        <w:t xml:space="preserve"> </w:t>
      </w:r>
    </w:p>
    <w:p w:rsidR="00054786" w:rsidRDefault="008265B6" w:rsidP="000C5256">
      <w:pPr>
        <w:ind w:firstLine="708"/>
        <w:jc w:val="both"/>
      </w:pPr>
      <w:r>
        <w:t>(9</w:t>
      </w:r>
      <w:r w:rsidR="00054786">
        <w:t xml:space="preserve">) </w:t>
      </w:r>
      <w:r w:rsidR="00535482">
        <w:t xml:space="preserve">Osoba, ktorá poskytla službu uhradenú poukazom, má nárok na peňažnú náhradu od ministerstva financií vo výške úhrady vykonanej poukazom. </w:t>
      </w:r>
      <w:r w:rsidR="00BE1BE7">
        <w:t>N</w:t>
      </w:r>
      <w:r w:rsidR="00DA4919">
        <w:t xml:space="preserve">a </w:t>
      </w:r>
      <w:r w:rsidR="00535482">
        <w:t xml:space="preserve">účely uplatnenia nároku na peňažnú náhradu sa </w:t>
      </w:r>
      <w:r w:rsidR="00BE1BE7">
        <w:t xml:space="preserve"> </w:t>
      </w:r>
      <w:r w:rsidR="00750E6E">
        <w:t xml:space="preserve">osoba, ktorá poskytla službu </w:t>
      </w:r>
      <w:r w:rsidR="00535482">
        <w:t xml:space="preserve">uhradenú poukazom </w:t>
      </w:r>
      <w:r w:rsidR="00054786">
        <w:t xml:space="preserve">zaregistruje na </w:t>
      </w:r>
      <w:r w:rsidR="00545D5A">
        <w:t xml:space="preserve">webovom sídle </w:t>
      </w:r>
      <w:r w:rsidR="00750E6E">
        <w:t>ministerstv</w:t>
      </w:r>
      <w:r w:rsidR="00545D5A">
        <w:t>a</w:t>
      </w:r>
      <w:r w:rsidR="00750E6E">
        <w:t xml:space="preserve"> financií.</w:t>
      </w:r>
      <w:r w:rsidR="003C1619">
        <w:t xml:space="preserve"> Pri registrácii uvedie meno a priezvisko, adresu trvalého pobytu, </w:t>
      </w:r>
      <w:r w:rsidR="003B37F4">
        <w:t>identifikačné číslo organizácie,</w:t>
      </w:r>
      <w:r w:rsidR="003C1619">
        <w:t xml:space="preserve"> ak bolo pridelené a číslo účtu v banke alebo v pobočke zahraničnej banky</w:t>
      </w:r>
      <w:r w:rsidR="00BF064E">
        <w:t>,</w:t>
      </w:r>
      <w:r w:rsidR="003C1619">
        <w:t xml:space="preserve"> na ktorý sa má poukázať peňažná náhrada, ak ide o fyzickú osobu alebo </w:t>
      </w:r>
      <w:r w:rsidR="00545D5A">
        <w:t>názov</w:t>
      </w:r>
      <w:r w:rsidR="003C1619">
        <w:t>, sídlo</w:t>
      </w:r>
      <w:r w:rsidR="00356A92">
        <w:t>, identifikačné číslo organizácie</w:t>
      </w:r>
      <w:r w:rsidR="00586A7A">
        <w:t xml:space="preserve"> </w:t>
      </w:r>
      <w:r w:rsidR="003C1619">
        <w:t>a číslo účtu v banke alebo v pobočke zahraničnej banky</w:t>
      </w:r>
      <w:r w:rsidR="00BF064E">
        <w:t>,</w:t>
      </w:r>
      <w:r w:rsidR="003C1619">
        <w:t xml:space="preserve"> na ktorý sa má poukázať peňažná  náhrada, ak ide o právnickú osobu.</w:t>
      </w:r>
      <w:r w:rsidR="0028687D">
        <w:t xml:space="preserve"> Ďalšie </w:t>
      </w:r>
      <w:r w:rsidR="00054786">
        <w:t>podmienky</w:t>
      </w:r>
      <w:r w:rsidR="0028687D">
        <w:t xml:space="preserve">, spôsob, </w:t>
      </w:r>
      <w:r w:rsidR="00545D5A">
        <w:t>termíny</w:t>
      </w:r>
      <w:r w:rsidR="00054786">
        <w:t xml:space="preserve"> </w:t>
      </w:r>
      <w:r w:rsidR="0028687D">
        <w:t>uplatňovania nároku na peňažnú náhradu a vyplácania peňažnej náhrady,</w:t>
      </w:r>
      <w:r w:rsidR="00054786">
        <w:t xml:space="preserve"> spôsob a termín</w:t>
      </w:r>
      <w:r w:rsidR="0028687D">
        <w:t>y</w:t>
      </w:r>
      <w:r w:rsidR="00054786">
        <w:t xml:space="preserve"> registrácie ustanoví vláda nariadením.</w:t>
      </w:r>
      <w:r w:rsidR="00535482">
        <w:t xml:space="preserve"> Ministerstvo financií vedie zoznam osôb zaregistrovaných na účely uplatnenia nároku na peňažnú náhradu a môže ho zverejniť na svojom webovom sídle.</w:t>
      </w:r>
    </w:p>
    <w:p w:rsidR="00BF064E" w:rsidRDefault="00BF064E" w:rsidP="000C5256">
      <w:pPr>
        <w:ind w:firstLine="708"/>
        <w:jc w:val="both"/>
      </w:pPr>
    </w:p>
    <w:p w:rsidR="00BF064E" w:rsidRDefault="00BF064E" w:rsidP="000C5256">
      <w:pPr>
        <w:ind w:firstLine="708"/>
        <w:jc w:val="both"/>
      </w:pPr>
      <w:r>
        <w:t>(</w:t>
      </w:r>
      <w:r w:rsidR="00EE0702">
        <w:t>10</w:t>
      </w:r>
      <w:r>
        <w:t>) Poukaz v listinnej podobe sa poskytuje prostredníctvom</w:t>
      </w:r>
      <w:r w:rsidR="00EE0702">
        <w:t xml:space="preserve"> </w:t>
      </w:r>
      <w:r>
        <w:t>poskytovateľa univerzálnej služby</w:t>
      </w:r>
      <w:r w:rsidR="001558CF">
        <w:t>.</w:t>
      </w:r>
      <w:r w:rsidRPr="001558CF">
        <w:rPr>
          <w:vertAlign w:val="superscript"/>
        </w:rPr>
        <w:t>51af</w:t>
      </w:r>
      <w:r>
        <w:t>)</w:t>
      </w:r>
      <w:r w:rsidR="001558CF">
        <w:t xml:space="preserve"> </w:t>
      </w:r>
      <w:r>
        <w:t xml:space="preserve"> M</w:t>
      </w:r>
      <w:r w:rsidR="001558CF">
        <w:t>inisterstvo financií</w:t>
      </w:r>
      <w:r>
        <w:t xml:space="preserve"> uzatvorí s poskytovateľom </w:t>
      </w:r>
      <w:r w:rsidR="00EE0702">
        <w:t>univerzálnej</w:t>
      </w:r>
      <w:r>
        <w:t xml:space="preserve"> služby z</w:t>
      </w:r>
      <w:r w:rsidR="00EE0702">
        <w:t>m</w:t>
      </w:r>
      <w:r>
        <w:t xml:space="preserve">luvu, v ktorej sa dohodne najmä spôsob a lehoty poskytovania poukazu. </w:t>
      </w:r>
    </w:p>
    <w:p w:rsidR="006905C9" w:rsidRDefault="00054786" w:rsidP="000C5256">
      <w:pPr>
        <w:ind w:firstLine="708"/>
        <w:jc w:val="both"/>
      </w:pPr>
      <w:r>
        <w:t xml:space="preserve"> </w:t>
      </w:r>
    </w:p>
    <w:p w:rsidR="00B92EAF" w:rsidRDefault="00EE0702" w:rsidP="000C5256">
      <w:pPr>
        <w:ind w:firstLine="708"/>
        <w:jc w:val="both"/>
      </w:pPr>
      <w:r>
        <w:t>(11</w:t>
      </w:r>
      <w:r w:rsidR="00B92EAF">
        <w:t xml:space="preserve">) Ministerstvo financií je oprávnené činnosti podľa </w:t>
      </w:r>
      <w:r w:rsidR="00795697">
        <w:t>odsek</w:t>
      </w:r>
      <w:r w:rsidR="00D72C54">
        <w:t>ov</w:t>
      </w:r>
      <w:r w:rsidR="00795697">
        <w:t xml:space="preserve"> </w:t>
      </w:r>
      <w:r w:rsidR="00F31A93" w:rsidRPr="00CF05C0">
        <w:t>4</w:t>
      </w:r>
      <w:r w:rsidR="00795697" w:rsidRPr="00CF05C0">
        <w:t xml:space="preserve"> a </w:t>
      </w:r>
      <w:r w:rsidR="008265B6" w:rsidRPr="00CF05C0">
        <w:t>9</w:t>
      </w:r>
      <w:r w:rsidR="00B92EAF">
        <w:t xml:space="preserve"> zabezpečiť prostredníctvom poverenej osoby, ktorou môže byť len právnická osoba v zriaďovateľskej pôsobnosti alebo zakladateľskej p</w:t>
      </w:r>
      <w:r w:rsidR="008265B6">
        <w:t>ôsobnosti ministerstva financií; na tieto účely je poverená osoba oprávnená získavať a spracovávať údaje v rozsahu podľa odseku 3.</w:t>
      </w:r>
      <w:r w:rsidR="005856EB">
        <w:t>“.</w:t>
      </w:r>
      <w:r w:rsidR="008265B6">
        <w:t xml:space="preserve"> </w:t>
      </w:r>
    </w:p>
    <w:p w:rsidR="00EA0162" w:rsidRDefault="00EA0162" w:rsidP="000C5256">
      <w:pPr>
        <w:ind w:firstLine="708"/>
        <w:jc w:val="both"/>
      </w:pPr>
    </w:p>
    <w:p w:rsidR="00EA0162" w:rsidRDefault="00EA0162" w:rsidP="000C5256">
      <w:pPr>
        <w:ind w:firstLine="708"/>
        <w:jc w:val="both"/>
      </w:pPr>
    </w:p>
    <w:p w:rsidR="00795697" w:rsidRDefault="00EE0702" w:rsidP="000C5256">
      <w:pPr>
        <w:ind w:firstLine="708"/>
        <w:jc w:val="both"/>
      </w:pPr>
      <w:r>
        <w:t>Poznámka pod čiarou k odkazu 51af znie:</w:t>
      </w:r>
    </w:p>
    <w:p w:rsidR="00D72C54" w:rsidRDefault="00EE0702" w:rsidP="000C5256">
      <w:pPr>
        <w:ind w:firstLine="708"/>
        <w:jc w:val="both"/>
      </w:pPr>
      <w:r>
        <w:t>„</w:t>
      </w:r>
      <w:r w:rsidR="00BF064E" w:rsidRPr="00EE0702">
        <w:rPr>
          <w:vertAlign w:val="superscript"/>
        </w:rPr>
        <w:t>51af</w:t>
      </w:r>
      <w:r w:rsidR="00BF064E">
        <w:t xml:space="preserve">) </w:t>
      </w:r>
      <w:r>
        <w:t xml:space="preserve"> § 3 ods.</w:t>
      </w:r>
      <w:r w:rsidR="0025418E">
        <w:t xml:space="preserve"> 1 zákona č.</w:t>
      </w:r>
      <w:r>
        <w:t xml:space="preserve"> 324/2011 Z. z. o poštových službách a o zmene a doplnení niektorých zákonov.“.</w:t>
      </w:r>
    </w:p>
    <w:p w:rsidR="007B7674" w:rsidRDefault="007B7674" w:rsidP="00495BD0">
      <w:pPr>
        <w:ind w:firstLine="708"/>
        <w:jc w:val="center"/>
      </w:pPr>
    </w:p>
    <w:p w:rsidR="00117E04" w:rsidRDefault="00117E04" w:rsidP="00495BD0">
      <w:pPr>
        <w:ind w:firstLine="708"/>
        <w:jc w:val="center"/>
      </w:pPr>
    </w:p>
    <w:p w:rsidR="00117E04" w:rsidRDefault="00117E04" w:rsidP="00117E04">
      <w:pPr>
        <w:ind w:firstLine="708"/>
      </w:pPr>
      <w:r>
        <w:t>2. Za § 33a sa vkladá § 33b, ktorý znie:</w:t>
      </w:r>
    </w:p>
    <w:p w:rsidR="00117E04" w:rsidRDefault="00117E04" w:rsidP="00117E04">
      <w:pPr>
        <w:ind w:firstLine="708"/>
        <w:jc w:val="center"/>
      </w:pPr>
      <w:r>
        <w:t>„§ 33</w:t>
      </w:r>
      <w:r w:rsidR="00B375FF">
        <w:t>b</w:t>
      </w:r>
    </w:p>
    <w:p w:rsidR="00117E04" w:rsidRDefault="00117E04" w:rsidP="00117E04">
      <w:pPr>
        <w:ind w:firstLine="708"/>
        <w:jc w:val="center"/>
      </w:pPr>
    </w:p>
    <w:p w:rsidR="00117E04" w:rsidRDefault="00117E04" w:rsidP="00117E04">
      <w:pPr>
        <w:jc w:val="both"/>
        <w:rPr>
          <w:color w:val="000000"/>
          <w:sz w:val="22"/>
          <w:szCs w:val="22"/>
        </w:rPr>
      </w:pPr>
      <w:r>
        <w:rPr>
          <w:color w:val="000000"/>
        </w:rPr>
        <w:t>(1) Počas obdobia pandémie možno bežné výdavky rozpočtované v rozpočtovom roku 2021 na podporu poskytovanú z výdavkov štátneho rozpočtu na riešenie dôsledkov krízovej situácie mimo času vojny a vojnového stavu,</w:t>
      </w:r>
      <w:r>
        <w:rPr>
          <w:color w:val="000000"/>
          <w:vertAlign w:val="superscript"/>
        </w:rPr>
        <w:t>54c</w:t>
      </w:r>
      <w:r>
        <w:rPr>
          <w:color w:val="000000"/>
        </w:rPr>
        <w:t>) ktoré neboli z výdavkov štátneho rozpočtu poskytnuté do 31. decembra 2021, použiť až do 31. decembra 2022; tieto výdavky viaže ministerstvo financií na základe oznámenia príslušného správcu kapitoly. Ministerstvo financií povolí v roku 2022 prekročenie limitu výdavkov o sumu takto viazaných prostriedkov.</w:t>
      </w:r>
    </w:p>
    <w:p w:rsidR="00117E04" w:rsidRDefault="00117E04" w:rsidP="00117E04">
      <w:pPr>
        <w:jc w:val="both"/>
      </w:pPr>
    </w:p>
    <w:p w:rsidR="00117E04" w:rsidRDefault="00117E04" w:rsidP="00117E04">
      <w:pPr>
        <w:jc w:val="both"/>
      </w:pPr>
      <w:r>
        <w:rPr>
          <w:color w:val="000000"/>
        </w:rPr>
        <w:t>(2)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Ustanovenia osobitného predpisu o  úprave schodku štátneho rozpočtu</w:t>
      </w:r>
      <w:r>
        <w:rPr>
          <w:color w:val="000000"/>
          <w:vertAlign w:val="superscript"/>
        </w:rPr>
        <w:t>54d</w:t>
      </w:r>
      <w:r>
        <w:rPr>
          <w:color w:val="000000"/>
        </w:rPr>
        <w:t>) sa rovnako uplatnia aj na prostriedky podľa odseku 1.“</w:t>
      </w:r>
      <w:r w:rsidR="00B375FF">
        <w:rPr>
          <w:color w:val="000000"/>
        </w:rPr>
        <w:t>.</w:t>
      </w:r>
    </w:p>
    <w:p w:rsidR="00117E04" w:rsidRDefault="00117E04" w:rsidP="00117E04">
      <w:pPr>
        <w:jc w:val="both"/>
      </w:pPr>
    </w:p>
    <w:p w:rsidR="00117E04" w:rsidRDefault="00117E04" w:rsidP="00117E04">
      <w:pPr>
        <w:jc w:val="both"/>
      </w:pPr>
      <w:r>
        <w:t>Poznámky pod čiarou k odkazom 54c a 54d znejú:</w:t>
      </w:r>
    </w:p>
    <w:p w:rsidR="00117E04" w:rsidRDefault="00117E04" w:rsidP="00117E04">
      <w:pPr>
        <w:jc w:val="both"/>
      </w:pPr>
      <w:r>
        <w:t>„</w:t>
      </w:r>
      <w:r>
        <w:rPr>
          <w:vertAlign w:val="superscript"/>
        </w:rPr>
        <w:t>54c)</w:t>
      </w:r>
      <w:r>
        <w:t xml:space="preserve"> § 2 písm. a) zákona č. 387/2002 Z. z. o riadení štátu v krízových situáciách mimo času vojny a vojnového stavu.</w:t>
      </w:r>
    </w:p>
    <w:p w:rsidR="00117E04" w:rsidRDefault="00117E04" w:rsidP="00117E04">
      <w:pPr>
        <w:jc w:val="both"/>
      </w:pPr>
      <w:r>
        <w:rPr>
          <w:vertAlign w:val="superscript"/>
        </w:rPr>
        <w:t>54d)</w:t>
      </w:r>
      <w:r>
        <w:t xml:space="preserve"> § 8 ods. 7 a 8 zákona č. 523/2004 Z. z. v znení zákona č. 468/2010 Z. z.“.“.</w:t>
      </w:r>
    </w:p>
    <w:p w:rsidR="00117E04" w:rsidRDefault="00117E04" w:rsidP="00117E04">
      <w:pPr>
        <w:ind w:firstLine="708"/>
        <w:jc w:val="center"/>
      </w:pPr>
    </w:p>
    <w:p w:rsidR="00117E04" w:rsidRDefault="00117E04" w:rsidP="00117E04">
      <w:pPr>
        <w:ind w:firstLine="708"/>
      </w:pPr>
    </w:p>
    <w:p w:rsidR="00495BD0" w:rsidRDefault="00495BD0" w:rsidP="00495BD0">
      <w:pPr>
        <w:ind w:firstLine="708"/>
        <w:jc w:val="center"/>
      </w:pPr>
      <w:r>
        <w:t>Čl.</w:t>
      </w:r>
      <w:r w:rsidR="007F1403">
        <w:t xml:space="preserve"> </w:t>
      </w:r>
      <w:r>
        <w:t>II</w:t>
      </w:r>
    </w:p>
    <w:p w:rsidR="00495BD0" w:rsidRDefault="00495BD0" w:rsidP="00495BD0">
      <w:pPr>
        <w:ind w:firstLine="708"/>
        <w:jc w:val="center"/>
      </w:pPr>
    </w:p>
    <w:p w:rsidR="00495BD0" w:rsidRDefault="00495BD0" w:rsidP="00495BD0">
      <w:pPr>
        <w:ind w:firstLine="708"/>
        <w:jc w:val="both"/>
      </w:pPr>
      <w:r>
        <w:t>Tento zákon nadobúda účinnosť dňom vyhlásenia.</w:t>
      </w:r>
    </w:p>
    <w:sectPr w:rsidR="00495BD0" w:rsidSect="00495BD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11C" w:rsidRDefault="009F511C" w:rsidP="00495BD0">
      <w:r>
        <w:separator/>
      </w:r>
    </w:p>
  </w:endnote>
  <w:endnote w:type="continuationSeparator" w:id="0">
    <w:p w:rsidR="009F511C" w:rsidRDefault="009F511C" w:rsidP="00495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0040344"/>
      <w:docPartObj>
        <w:docPartGallery w:val="Page Numbers (Bottom of Page)"/>
        <w:docPartUnique/>
      </w:docPartObj>
    </w:sdtPr>
    <w:sdtEndPr/>
    <w:sdtContent>
      <w:p w:rsidR="00495BD0" w:rsidRDefault="00495BD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C5">
          <w:rPr>
            <w:noProof/>
          </w:rPr>
          <w:t>3</w:t>
        </w:r>
        <w:r>
          <w:fldChar w:fldCharType="end"/>
        </w:r>
      </w:p>
    </w:sdtContent>
  </w:sdt>
  <w:p w:rsidR="00495BD0" w:rsidRDefault="00495BD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11C" w:rsidRDefault="009F511C" w:rsidP="00495BD0">
      <w:r>
        <w:separator/>
      </w:r>
    </w:p>
  </w:footnote>
  <w:footnote w:type="continuationSeparator" w:id="0">
    <w:p w:rsidR="009F511C" w:rsidRDefault="009F511C" w:rsidP="00495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65F"/>
    <w:multiLevelType w:val="hybridMultilevel"/>
    <w:tmpl w:val="5DBA016E"/>
    <w:lvl w:ilvl="0" w:tplc="8F1A4BE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C7"/>
    <w:rsid w:val="00054786"/>
    <w:rsid w:val="00057328"/>
    <w:rsid w:val="000C50C7"/>
    <w:rsid w:val="000C5256"/>
    <w:rsid w:val="00117E04"/>
    <w:rsid w:val="0012215C"/>
    <w:rsid w:val="00126D03"/>
    <w:rsid w:val="00143B7E"/>
    <w:rsid w:val="001558CF"/>
    <w:rsid w:val="0017781C"/>
    <w:rsid w:val="0025418E"/>
    <w:rsid w:val="00257C70"/>
    <w:rsid w:val="0028687D"/>
    <w:rsid w:val="00356A92"/>
    <w:rsid w:val="00386090"/>
    <w:rsid w:val="003B37F4"/>
    <w:rsid w:val="003C1619"/>
    <w:rsid w:val="003D4542"/>
    <w:rsid w:val="004119EC"/>
    <w:rsid w:val="004403D2"/>
    <w:rsid w:val="00442CC5"/>
    <w:rsid w:val="00495BD0"/>
    <w:rsid w:val="004F5440"/>
    <w:rsid w:val="00535482"/>
    <w:rsid w:val="00545D5A"/>
    <w:rsid w:val="00547024"/>
    <w:rsid w:val="005856EB"/>
    <w:rsid w:val="00586A7A"/>
    <w:rsid w:val="005A5C9C"/>
    <w:rsid w:val="0062639E"/>
    <w:rsid w:val="00641306"/>
    <w:rsid w:val="006724C9"/>
    <w:rsid w:val="00684655"/>
    <w:rsid w:val="00685D21"/>
    <w:rsid w:val="006905C9"/>
    <w:rsid w:val="006A673C"/>
    <w:rsid w:val="006C1C29"/>
    <w:rsid w:val="006E2E63"/>
    <w:rsid w:val="006F4892"/>
    <w:rsid w:val="007059BA"/>
    <w:rsid w:val="00750E6E"/>
    <w:rsid w:val="007849B1"/>
    <w:rsid w:val="00795697"/>
    <w:rsid w:val="007B49E8"/>
    <w:rsid w:val="007B7674"/>
    <w:rsid w:val="007F1403"/>
    <w:rsid w:val="008265B6"/>
    <w:rsid w:val="0082709A"/>
    <w:rsid w:val="008362A0"/>
    <w:rsid w:val="00852AD6"/>
    <w:rsid w:val="008C1EBE"/>
    <w:rsid w:val="009174CF"/>
    <w:rsid w:val="009B4D46"/>
    <w:rsid w:val="009E0DEC"/>
    <w:rsid w:val="009F511C"/>
    <w:rsid w:val="00A14462"/>
    <w:rsid w:val="00A95270"/>
    <w:rsid w:val="00AA5CBB"/>
    <w:rsid w:val="00B003BB"/>
    <w:rsid w:val="00B375FF"/>
    <w:rsid w:val="00B50619"/>
    <w:rsid w:val="00B642CC"/>
    <w:rsid w:val="00B92EAF"/>
    <w:rsid w:val="00B96FFD"/>
    <w:rsid w:val="00BE1BE7"/>
    <w:rsid w:val="00BF064E"/>
    <w:rsid w:val="00BF6853"/>
    <w:rsid w:val="00C04964"/>
    <w:rsid w:val="00C04CF0"/>
    <w:rsid w:val="00C51484"/>
    <w:rsid w:val="00C83426"/>
    <w:rsid w:val="00CE6DA5"/>
    <w:rsid w:val="00CF05C0"/>
    <w:rsid w:val="00D2160B"/>
    <w:rsid w:val="00D72C54"/>
    <w:rsid w:val="00D96276"/>
    <w:rsid w:val="00DA4919"/>
    <w:rsid w:val="00DB6D9A"/>
    <w:rsid w:val="00DD7092"/>
    <w:rsid w:val="00E14E30"/>
    <w:rsid w:val="00E21F4E"/>
    <w:rsid w:val="00E82CBE"/>
    <w:rsid w:val="00EA0162"/>
    <w:rsid w:val="00EE0702"/>
    <w:rsid w:val="00F25A95"/>
    <w:rsid w:val="00F31A93"/>
    <w:rsid w:val="00F378D3"/>
    <w:rsid w:val="00F37D6B"/>
    <w:rsid w:val="00FC71C3"/>
    <w:rsid w:val="00FD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88A2A-209F-43CC-8889-025A3069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C50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Zkladntext1">
    <w:name w:val="Základní text1"/>
    <w:rsid w:val="000C50C7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470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47024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495BD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95B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95BD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95BD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6F4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BEEC35-D8E7-4714-8C56-2977EF45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financií SR</Company>
  <LinksUpToDate>false</LinksUpToDate>
  <CharactersWithSpaces>6658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Ivanicova Eva</dc:creator>
  <cp:keywords/>
  <dc:description/>
  <cp:lastModifiedBy>Ivanicova Eva</cp:lastModifiedBy>
  <cp:revision>7</cp:revision>
  <cp:lastPrinted>2021-12-01T12:50:00Z</cp:lastPrinted>
  <dcterms:created xsi:type="dcterms:W3CDTF">2021-11-29T14:47:00Z</dcterms:created>
  <dcterms:modified xsi:type="dcterms:W3CDTF">2021-12-01T12:50:00Z</dcterms:modified>
</cp:coreProperties>
</file>