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8" w:rsidRDefault="004F7B78" w:rsidP="004F7B78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4F7B78" w:rsidRDefault="004F7B78" w:rsidP="004F7B7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VIII. volebné obdobie</w:t>
      </w:r>
    </w:p>
    <w:p w:rsidR="004F7B78" w:rsidRDefault="004F7B78" w:rsidP="004F7B7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4F7B78" w:rsidRDefault="004F7B78" w:rsidP="004F7B78">
      <w:pPr>
        <w:pStyle w:val="Zkladntext2"/>
        <w:spacing w:line="360" w:lineRule="auto"/>
        <w:rPr>
          <w:bCs/>
        </w:rPr>
      </w:pPr>
      <w:r>
        <w:rPr>
          <w:bCs/>
        </w:rPr>
        <w:t>Číslo: PREDS-277/2021</w:t>
      </w:r>
    </w:p>
    <w:p w:rsidR="004F7B78" w:rsidRDefault="004F7B78" w:rsidP="004F7B78">
      <w:pPr>
        <w:pStyle w:val="Zkladntext2"/>
        <w:spacing w:line="360" w:lineRule="auto"/>
        <w:rPr>
          <w:bCs/>
        </w:rPr>
      </w:pPr>
    </w:p>
    <w:p w:rsidR="004F7B78" w:rsidRPr="00A44613" w:rsidRDefault="004F7B78" w:rsidP="004F7B78">
      <w:pPr>
        <w:pStyle w:val="Zkladntext2"/>
        <w:spacing w:line="360" w:lineRule="auto"/>
        <w:jc w:val="center"/>
        <w:rPr>
          <w:b/>
          <w:bCs/>
          <w:sz w:val="28"/>
          <w:szCs w:val="28"/>
        </w:rPr>
      </w:pPr>
    </w:p>
    <w:p w:rsidR="004F7B78" w:rsidRPr="005275A0" w:rsidRDefault="004F7B78" w:rsidP="004F7B7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943B9">
        <w:rPr>
          <w:b/>
          <w:sz w:val="32"/>
          <w:szCs w:val="32"/>
        </w:rPr>
        <w:t>52</w:t>
      </w:r>
      <w:r w:rsidRPr="005275A0">
        <w:rPr>
          <w:b/>
          <w:sz w:val="32"/>
          <w:szCs w:val="32"/>
        </w:rPr>
        <w:t>a</w:t>
      </w:r>
    </w:p>
    <w:p w:rsidR="004F7B78" w:rsidRDefault="004F7B78" w:rsidP="004F7B78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4F7B78" w:rsidRDefault="004F7B78" w:rsidP="004F7B78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4F7B78" w:rsidRPr="001239DC" w:rsidRDefault="004F7B78" w:rsidP="004F7B78">
      <w:pPr>
        <w:spacing w:line="276" w:lineRule="auto"/>
        <w:jc w:val="both"/>
        <w:rPr>
          <w:b/>
        </w:rPr>
      </w:pPr>
    </w:p>
    <w:p w:rsidR="004F7B78" w:rsidRPr="006B15D1" w:rsidRDefault="004F7B78" w:rsidP="004F7B78">
      <w:pPr>
        <w:spacing w:before="120" w:line="276" w:lineRule="auto"/>
        <w:jc w:val="both"/>
        <w:rPr>
          <w:b/>
        </w:rPr>
      </w:pPr>
      <w:r>
        <w:rPr>
          <w:b/>
        </w:rPr>
        <w:t xml:space="preserve">o prerokovaní </w:t>
      </w:r>
      <w:r w:rsidRPr="006B15D1">
        <w:rPr>
          <w:b/>
          <w:bCs/>
        </w:rPr>
        <w:t xml:space="preserve">zákona </w:t>
      </w:r>
      <w:r w:rsidRPr="006B15D1">
        <w:rPr>
          <w:b/>
        </w:rPr>
        <w:t>z</w:t>
      </w:r>
      <w:r>
        <w:rPr>
          <w:b/>
        </w:rPr>
        <w:t>o</w:t>
      </w:r>
      <w:r w:rsidRPr="006B15D1">
        <w:rPr>
          <w:b/>
        </w:rPr>
        <w:t> 7. októbra 2021, ktorým sa mení a dopĺňa zákon č. 55/2017 Z. z. o štátnej službe a o zmene a doplnení niektorých zákonov v znení neskorších predpisov a ktorým sa menia a dopĺňajú niektoré zákony, vrátený prezidentkou Slovenskej republiky na opätovné  prerokovanie  Národnou  radou  Slovenskej  republiky (tlač 752)</w:t>
      </w:r>
      <w:r>
        <w:rPr>
          <w:b/>
        </w:rPr>
        <w:t xml:space="preserve"> </w:t>
      </w:r>
      <w:r w:rsidRPr="008108F2">
        <w:rPr>
          <w:b/>
        </w:rPr>
        <w:t xml:space="preserve"> vo výboroch Národnej rady Slovenskej republiky</w:t>
      </w:r>
    </w:p>
    <w:p w:rsidR="004F7B78" w:rsidRPr="001239DC" w:rsidRDefault="004F7B78" w:rsidP="004F7B78">
      <w:pPr>
        <w:spacing w:line="276" w:lineRule="auto"/>
      </w:pPr>
      <w:r w:rsidRPr="001239DC">
        <w:t>___________________________________________________________________________</w:t>
      </w:r>
    </w:p>
    <w:p w:rsidR="004F7B78" w:rsidRPr="001239DC" w:rsidRDefault="004F7B78" w:rsidP="004F7B78">
      <w:pPr>
        <w:spacing w:line="276" w:lineRule="auto"/>
      </w:pPr>
    </w:p>
    <w:p w:rsidR="004F7B78" w:rsidRPr="001239DC" w:rsidRDefault="004F7B78" w:rsidP="004F7B78">
      <w:pPr>
        <w:spacing w:line="276" w:lineRule="auto"/>
        <w:jc w:val="both"/>
      </w:pPr>
    </w:p>
    <w:p w:rsidR="004F7B78" w:rsidRPr="006B15D1" w:rsidRDefault="004F7B78" w:rsidP="004F7B78">
      <w:pPr>
        <w:spacing w:line="276" w:lineRule="auto"/>
        <w:ind w:firstLine="708"/>
        <w:jc w:val="both"/>
        <w:rPr>
          <w:b/>
        </w:rPr>
      </w:pPr>
      <w:r w:rsidRPr="001239DC">
        <w:t xml:space="preserve">Prezidentka Slovenskej republiky </w:t>
      </w:r>
      <w:r w:rsidRPr="001239DC">
        <w:rPr>
          <w:bCs/>
        </w:rPr>
        <w:t xml:space="preserve">v zmysle čl. 102 ods. 1 písm. o) Ústavy Slovenskej republiky </w:t>
      </w:r>
      <w:r w:rsidRPr="001239DC">
        <w:t xml:space="preserve">vrátila zákon </w:t>
      </w:r>
      <w:r w:rsidRPr="006B15D1">
        <w:t xml:space="preserve">zo 7. októbra 2021, ktorým sa mení a dopĺňa zákon č. 55/2017 Z. z. o štátnej službe a o zmene a doplnení niektorých zákonov v znení neskorších predpisov a ktorým sa menia a dopĺňajú niektoré zákony, vrátený prezidentkou Slovenskej republiky na opätovné  prerokovanie  Národnou  radou  Slovenskej  republiky </w:t>
      </w:r>
      <w:r w:rsidRPr="009D74DB">
        <w:rPr>
          <w:b/>
        </w:rPr>
        <w:t>(tlač 752)</w:t>
      </w:r>
      <w:r>
        <w:t>.</w:t>
      </w:r>
    </w:p>
    <w:p w:rsidR="004F7B78" w:rsidRPr="001239DC" w:rsidRDefault="004F7B78" w:rsidP="004F7B78">
      <w:pPr>
        <w:spacing w:line="276" w:lineRule="auto"/>
        <w:ind w:right="540" w:firstLine="709"/>
        <w:jc w:val="both"/>
      </w:pPr>
    </w:p>
    <w:p w:rsidR="004F7B78" w:rsidRPr="009D74DB" w:rsidRDefault="004F7B78" w:rsidP="004F7B78">
      <w:pPr>
        <w:spacing w:line="276" w:lineRule="auto"/>
        <w:ind w:firstLine="708"/>
        <w:jc w:val="both"/>
        <w:rPr>
          <w:bCs/>
        </w:rPr>
      </w:pPr>
      <w:r w:rsidRPr="009D74DB">
        <w:rPr>
          <w:bCs/>
        </w:rPr>
        <w:t xml:space="preserve">Vo svojom rozhodnutí </w:t>
      </w:r>
      <w:r w:rsidRPr="009D74DB">
        <w:t xml:space="preserve">č. 5147-2021-KPSR z 25. októbra 2021 uviedla dôvody na vrátenie zákona a v časti III navrhla, </w:t>
      </w:r>
      <w:r w:rsidRPr="009D74DB">
        <w:rPr>
          <w:bCs/>
        </w:rPr>
        <w:t xml:space="preserve">aby Národná rada Slovenskej republiky pri opätovnom prerokovaní zákon </w:t>
      </w:r>
      <w:r w:rsidRPr="009D74DB">
        <w:rPr>
          <w:b/>
          <w:bCs/>
        </w:rPr>
        <w:t>neprijala ako celok</w:t>
      </w:r>
      <w:r w:rsidRPr="009D74DB">
        <w:rPr>
          <w:bCs/>
        </w:rPr>
        <w:t>.</w:t>
      </w:r>
    </w:p>
    <w:p w:rsidR="004F7B78" w:rsidRDefault="004F7B78" w:rsidP="004F7B78">
      <w:pPr>
        <w:spacing w:line="276" w:lineRule="auto"/>
        <w:ind w:firstLine="708"/>
        <w:jc w:val="both"/>
        <w:rPr>
          <w:szCs w:val="20"/>
        </w:rPr>
      </w:pPr>
    </w:p>
    <w:p w:rsidR="00CB6195" w:rsidRPr="00CB6195" w:rsidRDefault="00CB6195" w:rsidP="00CB6195">
      <w:pPr>
        <w:spacing w:line="276" w:lineRule="auto"/>
        <w:ind w:firstLine="708"/>
        <w:jc w:val="center"/>
        <w:rPr>
          <w:b/>
        </w:rPr>
      </w:pPr>
      <w:r w:rsidRPr="00CB6195">
        <w:rPr>
          <w:b/>
        </w:rPr>
        <w:t>I.</w:t>
      </w:r>
    </w:p>
    <w:p w:rsidR="00CB6195" w:rsidRDefault="00CB6195" w:rsidP="004F7B78">
      <w:pPr>
        <w:spacing w:line="276" w:lineRule="auto"/>
        <w:ind w:firstLine="708"/>
        <w:jc w:val="both"/>
      </w:pPr>
    </w:p>
    <w:p w:rsidR="004F7B78" w:rsidRPr="001239DC" w:rsidRDefault="004F7B78" w:rsidP="004F7B78">
      <w:pPr>
        <w:spacing w:line="276" w:lineRule="auto"/>
        <w:ind w:firstLine="708"/>
        <w:jc w:val="both"/>
      </w:pPr>
      <w:r w:rsidRPr="001239DC">
        <w:t xml:space="preserve">Predseda Národnej rady Slovenskej republiky rozhodnutím č. </w:t>
      </w:r>
      <w:r>
        <w:t>781</w:t>
      </w:r>
      <w:r w:rsidRPr="001239DC">
        <w:t xml:space="preserve"> z </w:t>
      </w:r>
      <w:r>
        <w:t>26</w:t>
      </w:r>
      <w:r w:rsidRPr="001239DC">
        <w:t xml:space="preserve">. </w:t>
      </w:r>
      <w:r>
        <w:t>októbra</w:t>
      </w:r>
      <w:r w:rsidRPr="001239DC">
        <w:t xml:space="preserve"> 20</w:t>
      </w:r>
      <w:r>
        <w:t>21</w:t>
      </w:r>
      <w:r w:rsidRPr="001239DC">
        <w:t xml:space="preserve"> pridelil predmetný vrátený zákon na prerokovanie: </w:t>
      </w:r>
    </w:p>
    <w:p w:rsidR="004F7B78" w:rsidRPr="001239DC" w:rsidRDefault="004F7B78" w:rsidP="004F7B78">
      <w:pPr>
        <w:pStyle w:val="Zkladntext"/>
        <w:spacing w:after="0" w:line="276" w:lineRule="auto"/>
        <w:ind w:left="360"/>
      </w:pPr>
    </w:p>
    <w:p w:rsidR="004F7B78" w:rsidRPr="001239DC" w:rsidRDefault="004F7B78" w:rsidP="004F7B78">
      <w:pPr>
        <w:pStyle w:val="Zkladntext"/>
        <w:spacing w:after="0" w:line="276" w:lineRule="auto"/>
        <w:ind w:left="360"/>
      </w:pPr>
      <w:r w:rsidRPr="001239DC">
        <w:t>Ústavnoprávnemu výboru Národnej rady Slovenskej republiky</w:t>
      </w:r>
    </w:p>
    <w:p w:rsidR="004F7B78" w:rsidRPr="001239DC" w:rsidRDefault="004F7B78" w:rsidP="004F7B78">
      <w:pPr>
        <w:pStyle w:val="Zkladntext"/>
        <w:spacing w:after="0" w:line="276" w:lineRule="auto"/>
        <w:ind w:left="360"/>
      </w:pPr>
      <w:r w:rsidRPr="001239DC">
        <w:t xml:space="preserve">a </w:t>
      </w:r>
    </w:p>
    <w:p w:rsidR="004F7B78" w:rsidRPr="001239DC" w:rsidRDefault="004F7B78" w:rsidP="004F7B78">
      <w:pPr>
        <w:pStyle w:val="Zkladntext"/>
        <w:spacing w:after="0" w:line="276" w:lineRule="auto"/>
        <w:ind w:left="360"/>
      </w:pPr>
      <w:r w:rsidRPr="001239DC">
        <w:t>Výboru Národnej rady Slovenskej republiky pre sociálne veci, ktorý určil aj ako gestorský výbor.</w:t>
      </w:r>
    </w:p>
    <w:p w:rsidR="004820B5" w:rsidRDefault="004820B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lastRenderedPageBreak/>
        <w:t>I</w:t>
      </w:r>
      <w:r w:rsidR="001752D8">
        <w:rPr>
          <w:b/>
          <w:bCs/>
        </w:rPr>
        <w:t>I</w:t>
      </w:r>
      <w:r w:rsidRPr="00E35790">
        <w:rPr>
          <w:b/>
          <w:bCs/>
        </w:rPr>
        <w:t>.</w:t>
      </w:r>
    </w:p>
    <w:p w:rsidR="00EF2131" w:rsidRPr="001239DC" w:rsidRDefault="00EF2131" w:rsidP="00EF2131">
      <w:pPr>
        <w:spacing w:line="276" w:lineRule="auto"/>
        <w:ind w:firstLine="708"/>
        <w:jc w:val="both"/>
        <w:rPr>
          <w:rStyle w:val="awspan1"/>
          <w:rFonts w:eastAsiaTheme="majorEastAsia"/>
        </w:rPr>
      </w:pPr>
    </w:p>
    <w:p w:rsidR="00EF2131" w:rsidRPr="00EF2131" w:rsidRDefault="00EF2131" w:rsidP="00EF2131">
      <w:pPr>
        <w:spacing w:line="276" w:lineRule="auto"/>
        <w:ind w:firstLine="708"/>
        <w:jc w:val="both"/>
        <w:rPr>
          <w:rStyle w:val="awspan1"/>
          <w:rFonts w:eastAsiaTheme="majorEastAsia"/>
        </w:rPr>
      </w:pPr>
      <w:r w:rsidRPr="00EF2131">
        <w:rPr>
          <w:rStyle w:val="awspan1"/>
          <w:rFonts w:eastAsiaTheme="majorEastAsia"/>
        </w:rPr>
        <w:t>Výbory</w:t>
      </w:r>
      <w:r w:rsidRPr="00EF2131">
        <w:rPr>
          <w:rStyle w:val="awspan1"/>
          <w:rFonts w:eastAsiaTheme="majorEastAsia"/>
          <w:spacing w:val="12"/>
        </w:rPr>
        <w:t xml:space="preserve"> </w:t>
      </w:r>
      <w:r w:rsidRPr="00EF2131">
        <w:rPr>
          <w:rStyle w:val="awspan1"/>
          <w:rFonts w:eastAsiaTheme="majorEastAsia"/>
        </w:rPr>
        <w:t>Národnej</w:t>
      </w:r>
      <w:r w:rsidRPr="00EF2131">
        <w:rPr>
          <w:rStyle w:val="awspan1"/>
          <w:rFonts w:eastAsiaTheme="majorEastAsia"/>
          <w:spacing w:val="12"/>
        </w:rPr>
        <w:t xml:space="preserve"> </w:t>
      </w:r>
      <w:r w:rsidRPr="00EF2131">
        <w:rPr>
          <w:rStyle w:val="awspan1"/>
          <w:rFonts w:eastAsiaTheme="majorEastAsia"/>
        </w:rPr>
        <w:t>rady</w:t>
      </w:r>
      <w:r w:rsidRPr="00EF2131">
        <w:rPr>
          <w:rStyle w:val="awspan1"/>
          <w:rFonts w:eastAsiaTheme="majorEastAsia"/>
          <w:spacing w:val="12"/>
        </w:rPr>
        <w:t xml:space="preserve"> </w:t>
      </w:r>
      <w:r w:rsidRPr="00EF2131">
        <w:rPr>
          <w:rStyle w:val="awspan1"/>
          <w:rFonts w:eastAsiaTheme="majorEastAsia"/>
        </w:rPr>
        <w:t>Slovenskej</w:t>
      </w:r>
      <w:r w:rsidRPr="00EF2131">
        <w:rPr>
          <w:rStyle w:val="awspan1"/>
          <w:rFonts w:eastAsiaTheme="majorEastAsia"/>
          <w:spacing w:val="12"/>
        </w:rPr>
        <w:t xml:space="preserve"> </w:t>
      </w:r>
      <w:r w:rsidRPr="00EF2131">
        <w:rPr>
          <w:rStyle w:val="awspan1"/>
          <w:rFonts w:eastAsiaTheme="majorEastAsia"/>
        </w:rPr>
        <w:t>republiky</w:t>
      </w:r>
      <w:r w:rsidRPr="00EF2131">
        <w:rPr>
          <w:rStyle w:val="awspan1"/>
          <w:rFonts w:eastAsiaTheme="majorEastAsia"/>
          <w:spacing w:val="12"/>
        </w:rPr>
        <w:t xml:space="preserve"> </w:t>
      </w:r>
      <w:r w:rsidRPr="00EF2131">
        <w:rPr>
          <w:rStyle w:val="awspan1"/>
          <w:rFonts w:eastAsiaTheme="majorEastAsia"/>
        </w:rPr>
        <w:t>prerokovali</w:t>
      </w:r>
      <w:r w:rsidRPr="00EF2131">
        <w:rPr>
          <w:rStyle w:val="awspan1"/>
          <w:rFonts w:eastAsiaTheme="majorEastAsia"/>
          <w:spacing w:val="12"/>
        </w:rPr>
        <w:t xml:space="preserve"> predmetný vrátený zákon </w:t>
      </w:r>
      <w:r w:rsidRPr="00EF2131">
        <w:rPr>
          <w:rStyle w:val="awspan1"/>
          <w:rFonts w:eastAsiaTheme="majorEastAsia"/>
        </w:rPr>
        <w:t>a k</w:t>
      </w:r>
      <w:r w:rsidRPr="00EF2131">
        <w:rPr>
          <w:rStyle w:val="awspan1"/>
          <w:rFonts w:eastAsiaTheme="majorEastAsia"/>
          <w:spacing w:val="-2"/>
        </w:rPr>
        <w:t xml:space="preserve"> </w:t>
      </w:r>
      <w:r w:rsidRPr="00EF2131">
        <w:rPr>
          <w:rStyle w:val="awspan1"/>
          <w:rFonts w:eastAsiaTheme="majorEastAsia"/>
        </w:rPr>
        <w:t>návrhu</w:t>
      </w:r>
      <w:r w:rsidRPr="00EF2131">
        <w:rPr>
          <w:rStyle w:val="awspan1"/>
          <w:rFonts w:eastAsiaTheme="majorEastAsia"/>
          <w:spacing w:val="-2"/>
        </w:rPr>
        <w:t xml:space="preserve"> </w:t>
      </w:r>
      <w:r w:rsidRPr="00EF2131">
        <w:rPr>
          <w:rStyle w:val="awspan1"/>
          <w:rFonts w:eastAsiaTheme="majorEastAsia"/>
        </w:rPr>
        <w:t>prezidentky Slovenskej republiky zaujali tieto stanoviská:</w:t>
      </w:r>
    </w:p>
    <w:p w:rsidR="00EF2131" w:rsidRPr="00EF2131" w:rsidRDefault="00EF2131" w:rsidP="00EF2131">
      <w:pPr>
        <w:spacing w:line="276" w:lineRule="auto"/>
        <w:jc w:val="both"/>
      </w:pPr>
    </w:p>
    <w:p w:rsidR="00EF2131" w:rsidRPr="00FD24F7" w:rsidRDefault="00EF2131" w:rsidP="00EF2131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rPr>
          <w:b/>
        </w:rPr>
        <w:tab/>
      </w:r>
      <w:r w:rsidRPr="007F37C3">
        <w:rPr>
          <w:b/>
        </w:rPr>
        <w:t xml:space="preserve">Ústavnoprávny výbor Národnej rady Slovenskej republiky </w:t>
      </w:r>
      <w:r w:rsidRPr="007F37C3">
        <w:rPr>
          <w:rStyle w:val="awspan1"/>
          <w:rFonts w:eastAsiaTheme="majorEastAsia"/>
        </w:rPr>
        <w:t>prerokoval</w:t>
      </w:r>
      <w:r w:rsidRPr="007F37C3">
        <w:rPr>
          <w:rStyle w:val="awspan1"/>
          <w:rFonts w:eastAsiaTheme="majorEastAsia"/>
          <w:spacing w:val="39"/>
        </w:rPr>
        <w:t xml:space="preserve"> </w:t>
      </w:r>
      <w:r w:rsidRPr="007F37C3">
        <w:t xml:space="preserve">vrátený zákon </w:t>
      </w:r>
      <w:r>
        <w:t xml:space="preserve">dňa 19. </w:t>
      </w:r>
      <w:r w:rsidRPr="007F37C3">
        <w:t>novembra 2021</w:t>
      </w:r>
      <w:r w:rsidR="007700FE">
        <w:t xml:space="preserve"> a</w:t>
      </w:r>
      <w:r>
        <w:t xml:space="preserve">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3 Ústavy Slovenskej republiky a § 52 ods. 4 zákona Národnej rady Slovenskej republiky č.  350/1996 Z. z. o  rokovacom poriadku Národnej rady Slovenskej republiky v znení neskorších predpisov. </w:t>
      </w:r>
    </w:p>
    <w:p w:rsidR="00EF2131" w:rsidRPr="007F37C3" w:rsidRDefault="00EF2131" w:rsidP="00EF2131">
      <w:pPr>
        <w:pStyle w:val="Zkladntext2"/>
        <w:spacing w:line="276" w:lineRule="auto"/>
        <w:ind w:firstLine="708"/>
        <w:rPr>
          <w:szCs w:val="24"/>
        </w:rPr>
      </w:pPr>
    </w:p>
    <w:p w:rsidR="00EF2131" w:rsidRPr="007700FE" w:rsidRDefault="00EF2131" w:rsidP="00F761F1">
      <w:pPr>
        <w:pStyle w:val="Nadpis2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00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Výbor Národnej rady Slovenskej republiky pre sociálne veci </w:t>
      </w:r>
      <w:r w:rsidRPr="007700FE">
        <w:rPr>
          <w:rStyle w:val="awspan1"/>
          <w:rFonts w:ascii="Times New Roman" w:hAnsi="Times New Roman" w:cs="Times New Roman"/>
          <w:color w:val="auto"/>
        </w:rPr>
        <w:t>prerokoval</w:t>
      </w:r>
      <w:r w:rsidRPr="007700FE">
        <w:rPr>
          <w:rStyle w:val="awspan1"/>
          <w:rFonts w:ascii="Times New Roman" w:hAnsi="Times New Roman" w:cs="Times New Roman"/>
          <w:color w:val="auto"/>
          <w:spacing w:val="39"/>
        </w:rPr>
        <w:t xml:space="preserve"> </w:t>
      </w:r>
      <w:r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vrátený zákon </w:t>
      </w:r>
      <w:r w:rsidR="007700FE" w:rsidRPr="007700FE">
        <w:rPr>
          <w:rFonts w:ascii="Times New Roman" w:hAnsi="Times New Roman" w:cs="Times New Roman"/>
          <w:color w:val="auto"/>
          <w:sz w:val="24"/>
          <w:szCs w:val="24"/>
        </w:rPr>
        <w:t>dňa 22</w:t>
      </w:r>
      <w:r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. novembra 2021 a </w:t>
      </w:r>
      <w:r w:rsidR="007700FE"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00FE" w:rsidRPr="007700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neprijal </w:t>
      </w:r>
      <w:r w:rsidR="007700FE" w:rsidRPr="007700FE">
        <w:rPr>
          <w:rFonts w:ascii="Times New Roman" w:hAnsi="Times New Roman" w:cs="Times New Roman"/>
          <w:b/>
          <w:color w:val="auto"/>
          <w:sz w:val="24"/>
          <w:szCs w:val="24"/>
        </w:rPr>
        <w:t>uznesenie,</w:t>
      </w:r>
      <w:r w:rsidR="007700FE"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 keďže návrh uznesenia </w:t>
      </w:r>
      <w:r w:rsidR="007700FE" w:rsidRPr="007700FE">
        <w:rPr>
          <w:rFonts w:ascii="Times New Roman" w:hAnsi="Times New Roman" w:cs="Times New Roman"/>
          <w:b/>
          <w:bCs/>
          <w:color w:val="auto"/>
          <w:sz w:val="24"/>
          <w:szCs w:val="24"/>
        </w:rPr>
        <w:t>nezískal</w:t>
      </w:r>
      <w:r w:rsidR="007700FE"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00FE" w:rsidRPr="007700FE">
        <w:rPr>
          <w:rFonts w:ascii="Times New Roman" w:hAnsi="Times New Roman" w:cs="Times New Roman"/>
          <w:b/>
          <w:color w:val="auto"/>
          <w:sz w:val="24"/>
          <w:szCs w:val="24"/>
        </w:rPr>
        <w:t>súhlas</w:t>
      </w:r>
      <w:r w:rsidR="007700FE" w:rsidRPr="007700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nadpolovičnej </w:t>
      </w:r>
      <w:r w:rsidR="007700FE" w:rsidRPr="007700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väčšiny všetkých poslancov </w:t>
      </w:r>
      <w:r w:rsidR="007700FE" w:rsidRPr="007700FE">
        <w:rPr>
          <w:rFonts w:ascii="Times New Roman" w:hAnsi="Times New Roman" w:cs="Times New Roman"/>
          <w:bCs/>
          <w:color w:val="auto"/>
          <w:sz w:val="24"/>
          <w:szCs w:val="24"/>
        </w:rPr>
        <w:t>podľa</w:t>
      </w:r>
      <w:r w:rsidR="007700FE" w:rsidRPr="007700FE">
        <w:rPr>
          <w:rFonts w:ascii="Times New Roman" w:hAnsi="Times New Roman" w:cs="Times New Roman"/>
          <w:color w:val="auto"/>
          <w:sz w:val="24"/>
          <w:szCs w:val="24"/>
        </w:rPr>
        <w:t xml:space="preserve"> čl.  84 ods. 3 Ústavy Slovenskej republiky a § 52 ods. 4 zákona Národnej rady Slovenskej republiky č.  350/1996 Z. z. o  rokovacom poriadku Národnej rady Slovenskej republiky v znení neskorších predpisov. </w:t>
      </w:r>
    </w:p>
    <w:p w:rsidR="00EF2131" w:rsidRPr="007700FE" w:rsidRDefault="00EF2131" w:rsidP="00EF2131">
      <w:pPr>
        <w:spacing w:line="276" w:lineRule="auto"/>
        <w:jc w:val="center"/>
        <w:rPr>
          <w:b/>
        </w:rPr>
      </w:pPr>
    </w:p>
    <w:p w:rsidR="007700FE" w:rsidRDefault="007700FE" w:rsidP="00EF2131">
      <w:pPr>
        <w:spacing w:line="276" w:lineRule="auto"/>
        <w:jc w:val="center"/>
        <w:rPr>
          <w:b/>
          <w:color w:val="000000"/>
        </w:rPr>
      </w:pPr>
    </w:p>
    <w:p w:rsidR="00EF2131" w:rsidRPr="001239DC" w:rsidRDefault="001A713B" w:rsidP="00EF213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III</w:t>
      </w:r>
      <w:r w:rsidR="00EF2131" w:rsidRPr="001239DC">
        <w:rPr>
          <w:b/>
          <w:color w:val="000000"/>
        </w:rPr>
        <w:t>.</w:t>
      </w:r>
    </w:p>
    <w:p w:rsidR="00EF2131" w:rsidRPr="00304EDD" w:rsidRDefault="00EF2131" w:rsidP="00E2397F">
      <w:pPr>
        <w:spacing w:line="276" w:lineRule="auto"/>
        <w:ind w:firstLine="708"/>
        <w:jc w:val="both"/>
        <w:rPr>
          <w:b/>
        </w:rPr>
      </w:pPr>
    </w:p>
    <w:p w:rsidR="00B943B9" w:rsidRDefault="00B943B9" w:rsidP="00F761F1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Návrh </w:t>
      </w:r>
      <w:r w:rsidR="00F761F1">
        <w:rPr>
          <w:bCs/>
        </w:rPr>
        <w:t xml:space="preserve">spoločnej </w:t>
      </w:r>
      <w:r>
        <w:rPr>
          <w:bCs/>
        </w:rPr>
        <w:t xml:space="preserve">správy, vrátane stanoviska gestorského výboru, prerokoval </w:t>
      </w:r>
      <w:r w:rsidR="00C65BDA">
        <w:rPr>
          <w:bCs/>
        </w:rPr>
        <w:t>Výbor N</w:t>
      </w:r>
      <w:r w:rsidR="00F761F1">
        <w:rPr>
          <w:bCs/>
        </w:rPr>
        <w:t xml:space="preserve">árodnej rady Slovenskej republiky </w:t>
      </w:r>
      <w:r w:rsidR="00C65BDA">
        <w:rPr>
          <w:bCs/>
        </w:rPr>
        <w:t>pre sociálne veci n</w:t>
      </w:r>
      <w:r>
        <w:rPr>
          <w:bCs/>
        </w:rPr>
        <w:t xml:space="preserve">a </w:t>
      </w:r>
      <w:r w:rsidR="00C65BDA">
        <w:rPr>
          <w:bCs/>
        </w:rPr>
        <w:t>57</w:t>
      </w:r>
      <w:r>
        <w:rPr>
          <w:bCs/>
        </w:rPr>
        <w:t xml:space="preserve">. schôdzi </w:t>
      </w:r>
      <w:r w:rsidR="001A713B">
        <w:rPr>
          <w:bCs/>
        </w:rPr>
        <w:t xml:space="preserve">dňa </w:t>
      </w:r>
      <w:r>
        <w:rPr>
          <w:bCs/>
        </w:rPr>
        <w:t>23. novembra 20</w:t>
      </w:r>
      <w:r w:rsidR="00C65BDA">
        <w:rPr>
          <w:bCs/>
        </w:rPr>
        <w:t>21</w:t>
      </w:r>
      <w:r>
        <w:rPr>
          <w:bCs/>
        </w:rPr>
        <w:t xml:space="preserve">. Stanovisko gestorského výboru </w:t>
      </w:r>
      <w:r w:rsidR="00255D61">
        <w:rPr>
          <w:bCs/>
        </w:rPr>
        <w:t xml:space="preserve">(schváliť zákon ako celok) </w:t>
      </w:r>
      <w:r>
        <w:rPr>
          <w:bCs/>
        </w:rPr>
        <w:t xml:space="preserve">nebolo schválené, keďže návrh stanoviska nezískal súhlas potrebnej väčšiny. </w:t>
      </w:r>
      <w:r w:rsidR="00C65BDA">
        <w:rPr>
          <w:bCs/>
        </w:rPr>
        <w:t xml:space="preserve">Výbor </w:t>
      </w:r>
      <w:r w:rsidR="00F761F1">
        <w:rPr>
          <w:bCs/>
        </w:rPr>
        <w:t xml:space="preserve">Národnej rady Slovenskej republiky pre sociálne veci </w:t>
      </w:r>
      <w:r>
        <w:t xml:space="preserve">určil za  spoločnú spravodajkyňu poslankyňu </w:t>
      </w:r>
      <w:r w:rsidR="00F761F1">
        <w:rPr>
          <w:b/>
        </w:rPr>
        <w:t>Luciu Drábikovú</w:t>
      </w:r>
      <w:r>
        <w:t xml:space="preserve">, ktorá predkladá predmetnú informáciu a bude predkladať návrh na ďalší postup. </w:t>
      </w:r>
    </w:p>
    <w:p w:rsidR="00EF2131" w:rsidRDefault="00EF2131" w:rsidP="00F761F1">
      <w:pPr>
        <w:spacing w:line="276" w:lineRule="auto"/>
        <w:ind w:firstLine="708"/>
        <w:jc w:val="both"/>
        <w:rPr>
          <w:b/>
        </w:rPr>
      </w:pPr>
    </w:p>
    <w:p w:rsidR="00BF0962" w:rsidRDefault="00BF0962" w:rsidP="00E2397F">
      <w:pPr>
        <w:spacing w:line="276" w:lineRule="auto"/>
        <w:ind w:firstLine="708"/>
        <w:jc w:val="both"/>
        <w:rPr>
          <w:b/>
        </w:rPr>
      </w:pPr>
    </w:p>
    <w:p w:rsidR="001A713B" w:rsidRPr="00304EDD" w:rsidRDefault="001A713B" w:rsidP="00E2397F">
      <w:pPr>
        <w:spacing w:line="276" w:lineRule="auto"/>
        <w:ind w:firstLine="708"/>
        <w:jc w:val="both"/>
        <w:rPr>
          <w:b/>
        </w:rPr>
      </w:pPr>
    </w:p>
    <w:p w:rsidR="00EF2131" w:rsidRPr="001239DC" w:rsidRDefault="00EF2131" w:rsidP="00EF2131">
      <w:pPr>
        <w:spacing w:line="276" w:lineRule="auto"/>
        <w:jc w:val="center"/>
        <w:rPr>
          <w:b/>
        </w:rPr>
      </w:pPr>
      <w:r w:rsidRPr="001239DC">
        <w:rPr>
          <w:b/>
        </w:rPr>
        <w:t xml:space="preserve">Bratislava </w:t>
      </w:r>
      <w:r>
        <w:rPr>
          <w:b/>
        </w:rPr>
        <w:t>23</w:t>
      </w:r>
      <w:r w:rsidRPr="001239DC">
        <w:rPr>
          <w:b/>
        </w:rPr>
        <w:t xml:space="preserve">. </w:t>
      </w:r>
      <w:r>
        <w:rPr>
          <w:b/>
        </w:rPr>
        <w:t>novembra</w:t>
      </w:r>
      <w:r w:rsidRPr="001239DC">
        <w:rPr>
          <w:b/>
        </w:rPr>
        <w:t xml:space="preserve"> 20</w:t>
      </w:r>
      <w:r>
        <w:rPr>
          <w:b/>
        </w:rPr>
        <w:t>2</w:t>
      </w:r>
      <w:r w:rsidRPr="001239DC">
        <w:rPr>
          <w:b/>
        </w:rPr>
        <w:t>1</w:t>
      </w:r>
    </w:p>
    <w:p w:rsidR="00EF2131" w:rsidRPr="001239DC" w:rsidRDefault="00EF2131" w:rsidP="00EF2131">
      <w:pPr>
        <w:spacing w:line="276" w:lineRule="auto"/>
        <w:jc w:val="both"/>
      </w:pPr>
    </w:p>
    <w:p w:rsidR="00EF2131" w:rsidRDefault="00EF2131" w:rsidP="00EF2131">
      <w:pPr>
        <w:spacing w:line="276" w:lineRule="auto"/>
        <w:jc w:val="both"/>
      </w:pPr>
    </w:p>
    <w:p w:rsidR="001A713B" w:rsidRPr="001239DC" w:rsidRDefault="001A713B" w:rsidP="00EF2131">
      <w:pPr>
        <w:spacing w:line="276" w:lineRule="auto"/>
        <w:jc w:val="both"/>
      </w:pPr>
      <w:bookmarkStart w:id="0" w:name="_GoBack"/>
      <w:bookmarkEnd w:id="0"/>
    </w:p>
    <w:p w:rsidR="00EF2131" w:rsidRPr="001239DC" w:rsidRDefault="00EF2131" w:rsidP="00EF2131">
      <w:pPr>
        <w:spacing w:line="276" w:lineRule="auto"/>
      </w:pPr>
    </w:p>
    <w:p w:rsidR="00EF2131" w:rsidRPr="001239DC" w:rsidRDefault="00EF2131" w:rsidP="00EF2131">
      <w:pPr>
        <w:spacing w:line="276" w:lineRule="auto"/>
        <w:jc w:val="center"/>
        <w:rPr>
          <w:b/>
        </w:rPr>
      </w:pPr>
      <w:r>
        <w:rPr>
          <w:b/>
        </w:rPr>
        <w:t xml:space="preserve">Vladimír  L e d e c k ý  </w:t>
      </w:r>
      <w:r w:rsidRPr="001239DC">
        <w:rPr>
          <w:b/>
        </w:rPr>
        <w:t>v. r.</w:t>
      </w:r>
    </w:p>
    <w:p w:rsidR="00EF2131" w:rsidRPr="001239DC" w:rsidRDefault="00EF2131" w:rsidP="00F761F1">
      <w:pPr>
        <w:spacing w:line="276" w:lineRule="auto"/>
        <w:jc w:val="center"/>
      </w:pPr>
      <w:r w:rsidRPr="001239DC">
        <w:rPr>
          <w:b/>
        </w:rPr>
        <w:t>predsed</w:t>
      </w:r>
      <w:r>
        <w:rPr>
          <w:b/>
        </w:rPr>
        <w:t>a</w:t>
      </w:r>
      <w:r w:rsidRPr="001239DC">
        <w:rPr>
          <w:b/>
        </w:rPr>
        <w:t xml:space="preserve"> výboru </w:t>
      </w:r>
    </w:p>
    <w:sectPr w:rsidR="00EF2131" w:rsidRPr="001239DC" w:rsidSect="004820B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BF" w:rsidRDefault="009D4FBF">
      <w:r>
        <w:separator/>
      </w:r>
    </w:p>
  </w:endnote>
  <w:endnote w:type="continuationSeparator" w:id="0">
    <w:p w:rsidR="009D4FBF" w:rsidRDefault="009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F0422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A713B">
      <w:rPr>
        <w:noProof/>
      </w:rPr>
      <w:t>2</w:t>
    </w:r>
    <w:r>
      <w:fldChar w:fldCharType="end"/>
    </w:r>
  </w:p>
  <w:p w:rsidR="00054A84" w:rsidRDefault="001A71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BF" w:rsidRDefault="009D4FBF">
      <w:r>
        <w:separator/>
      </w:r>
    </w:p>
  </w:footnote>
  <w:footnote w:type="continuationSeparator" w:id="0">
    <w:p w:rsidR="009D4FBF" w:rsidRDefault="009D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FF4"/>
    <w:multiLevelType w:val="hybridMultilevel"/>
    <w:tmpl w:val="FD288400"/>
    <w:lvl w:ilvl="0" w:tplc="6142896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5"/>
    <w:rsid w:val="0006592A"/>
    <w:rsid w:val="00072CE2"/>
    <w:rsid w:val="000826F5"/>
    <w:rsid w:val="001111FB"/>
    <w:rsid w:val="001752D8"/>
    <w:rsid w:val="001A6219"/>
    <w:rsid w:val="001A713B"/>
    <w:rsid w:val="001B61DA"/>
    <w:rsid w:val="00255D61"/>
    <w:rsid w:val="002B5B4D"/>
    <w:rsid w:val="00304EDD"/>
    <w:rsid w:val="004411E3"/>
    <w:rsid w:val="004820B5"/>
    <w:rsid w:val="004A57AB"/>
    <w:rsid w:val="004C7EDD"/>
    <w:rsid w:val="004F7B78"/>
    <w:rsid w:val="005D0F93"/>
    <w:rsid w:val="006022C7"/>
    <w:rsid w:val="00627DB4"/>
    <w:rsid w:val="0065403B"/>
    <w:rsid w:val="007433B3"/>
    <w:rsid w:val="007700FE"/>
    <w:rsid w:val="007B6755"/>
    <w:rsid w:val="008108F2"/>
    <w:rsid w:val="008563A0"/>
    <w:rsid w:val="008B4660"/>
    <w:rsid w:val="008C5FF6"/>
    <w:rsid w:val="00991B09"/>
    <w:rsid w:val="009D4FBF"/>
    <w:rsid w:val="009E6304"/>
    <w:rsid w:val="00A4063B"/>
    <w:rsid w:val="00AA4764"/>
    <w:rsid w:val="00AD0B62"/>
    <w:rsid w:val="00B943B9"/>
    <w:rsid w:val="00BB6AA9"/>
    <w:rsid w:val="00BF0962"/>
    <w:rsid w:val="00C11CB2"/>
    <w:rsid w:val="00C536DD"/>
    <w:rsid w:val="00C65BDA"/>
    <w:rsid w:val="00CA4C9E"/>
    <w:rsid w:val="00CB6195"/>
    <w:rsid w:val="00CC058A"/>
    <w:rsid w:val="00D37D0C"/>
    <w:rsid w:val="00D50123"/>
    <w:rsid w:val="00D8488F"/>
    <w:rsid w:val="00E2397F"/>
    <w:rsid w:val="00E572AE"/>
    <w:rsid w:val="00E7557F"/>
    <w:rsid w:val="00EF2131"/>
    <w:rsid w:val="00F02647"/>
    <w:rsid w:val="00F0422E"/>
    <w:rsid w:val="00F30D5A"/>
    <w:rsid w:val="00F330DD"/>
    <w:rsid w:val="00F761F1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64F5"/>
  <w15:chartTrackingRefBased/>
  <w15:docId w15:val="{F0E75AB9-7909-4EFF-B4CC-E9D88C4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2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0B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820B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820B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820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0B5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0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0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0B5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F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213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F2131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awspan1">
    <w:name w:val="awspan1"/>
    <w:basedOn w:val="Predvolenpsmoodseku"/>
    <w:rsid w:val="00EF2131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B61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5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92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cp:lastPrinted>2021-11-23T10:01:00Z</cp:lastPrinted>
  <dcterms:created xsi:type="dcterms:W3CDTF">2021-10-15T11:32:00Z</dcterms:created>
  <dcterms:modified xsi:type="dcterms:W3CDTF">2021-11-23T10:40:00Z</dcterms:modified>
</cp:coreProperties>
</file>